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36F8" w:rsidRPr="000836F8" w:rsidRDefault="000836F8" w:rsidP="000836F8">
      <w:pPr>
        <w:rPr>
          <w:rFonts w:ascii="FbFRealBelet Bold" w:hAnsi="FbFRealBelet Bold" w:cs="FbFRealBelet Bold"/>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0836F8">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63745E75" wp14:editId="02589E00">
                <wp:simplePos x="0" y="0"/>
                <wp:positionH relativeFrom="margin">
                  <wp:posOffset>-60325</wp:posOffset>
                </wp:positionH>
                <wp:positionV relativeFrom="margin">
                  <wp:posOffset>3992245</wp:posOffset>
                </wp:positionV>
                <wp:extent cx="3032760" cy="137795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377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820B2" w:rsidRPr="008A2DB0" w:rsidRDefault="004820B2" w:rsidP="000836F8">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hint="cs"/>
                                <w:b/>
                                <w:bCs/>
                                <w:sz w:val="28"/>
                                <w:szCs w:val="28"/>
                                <w:rtl/>
                              </w:rPr>
                              <w:t>ארבעים</w:t>
                            </w:r>
                            <w:r>
                              <w:rPr>
                                <w:rFonts w:ascii="FbSfaradi Bold" w:hAnsi="FbSfaradi Bold" w:cs="PFT_Vilna" w:hint="cs"/>
                                <w:b/>
                                <w:bCs/>
                                <w:sz w:val="28"/>
                                <w:szCs w:val="28"/>
                                <w:rtl/>
                              </w:rPr>
                              <w:t xml:space="preserve"> שנה</w:t>
                            </w:r>
                          </w:p>
                          <w:p w:rsidR="004820B2" w:rsidRPr="008A2DB0" w:rsidRDefault="004820B2" w:rsidP="000836F8">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י</w:t>
                            </w:r>
                            <w:r>
                              <w:rPr>
                                <w:rFonts w:ascii="FbSfaradi Regular" w:hAnsi="FbSfaradi Regular" w:cs="PFT_Vilna"/>
                                <w:sz w:val="28"/>
                                <w:szCs w:val="28"/>
                              </w:rPr>
                              <w:t>”</w:t>
                            </w:r>
                            <w:r>
                              <w:rPr>
                                <w:rFonts w:ascii="FbSfaradi Regular" w:hAnsi="FbSfaradi Regular" w:cs="PFT_Vilna" w:hint="cs"/>
                                <w:sz w:val="28"/>
                                <w:szCs w:val="28"/>
                                <w:rtl/>
                              </w:rPr>
                              <w:t xml:space="preserve">ב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"פ</w:t>
                            </w:r>
                            <w:r w:rsidRPr="008A2DB0">
                              <w:rPr>
                                <w:rFonts w:ascii="FbSfaradi Regular" w:hAnsi="FbSfaradi Regular" w:cs="PFT_Vilna"/>
                                <w:sz w:val="28"/>
                                <w:szCs w:val="28"/>
                                <w:rtl/>
                              </w:rPr>
                              <w:t>]</w:t>
                            </w:r>
                          </w:p>
                          <w:p w:rsidR="004820B2" w:rsidRDefault="004820B2" w:rsidP="000836F8">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כ"ח סיון </w:t>
                            </w:r>
                          </w:p>
                          <w:p w:rsidR="004820B2" w:rsidRDefault="004820B2" w:rsidP="000836F8">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ג' תמוז</w:t>
                            </w:r>
                          </w:p>
                          <w:p w:rsidR="004820B2" w:rsidRDefault="004820B2" w:rsidP="000836F8">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קרח</w:t>
                            </w:r>
                          </w:p>
                          <w:p w:rsidR="004820B2" w:rsidRDefault="004820B2" w:rsidP="000836F8">
                            <w:pPr>
                              <w:pStyle w:val="NoParagraphStyle"/>
                              <w:spacing w:line="276" w:lineRule="auto"/>
                              <w:jc w:val="right"/>
                              <w:rPr>
                                <w:rFonts w:ascii="FbSfaradi Bold" w:hAnsi="FbSfaradi Bold" w:cs="PFT_Vilna"/>
                                <w:sz w:val="28"/>
                                <w:szCs w:val="28"/>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745E75" id="_x0000_t202" coordsize="21600,21600" o:spt="202" path="m,l,21600r21600,l21600,xe">
                <v:stroke joinstyle="miter"/>
                <v:path gradientshapeok="t" o:connecttype="rect"/>
              </v:shapetype>
              <v:shape id="Text Box 3" o:spid="_x0000_s1026" type="#_x0000_t202" style="position:absolute;margin-left:-4.75pt;margin-top:314.35pt;width:238.8pt;height:108.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" filled="f" stroked="f" strokecolor="black [0]" insetpen="t">
                <v:textbox inset="2.88pt,2.88pt,2.88pt,2.88pt">
                  <w:txbxContent>
                    <w:p w:rsidR="004820B2" w:rsidRPr="008A2DB0" w:rsidRDefault="004820B2" w:rsidP="000836F8">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hint="cs"/>
                          <w:b/>
                          <w:bCs/>
                          <w:sz w:val="28"/>
                          <w:szCs w:val="28"/>
                          <w:rtl/>
                        </w:rPr>
                        <w:t>ארבעים</w:t>
                      </w:r>
                      <w:r>
                        <w:rPr>
                          <w:rFonts w:ascii="FbSfaradi Bold" w:hAnsi="FbSfaradi Bold" w:cs="PFT_Vilna" w:hint="cs"/>
                          <w:b/>
                          <w:bCs/>
                          <w:sz w:val="28"/>
                          <w:szCs w:val="28"/>
                          <w:rtl/>
                        </w:rPr>
                        <w:t xml:space="preserve"> שנה</w:t>
                      </w:r>
                    </w:p>
                    <w:p w:rsidR="004820B2" w:rsidRPr="008A2DB0" w:rsidRDefault="004820B2" w:rsidP="000836F8">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י</w:t>
                      </w:r>
                      <w:r>
                        <w:rPr>
                          <w:rFonts w:ascii="FbSfaradi Regular" w:hAnsi="FbSfaradi Regular" w:cs="PFT_Vilna"/>
                          <w:sz w:val="28"/>
                          <w:szCs w:val="28"/>
                        </w:rPr>
                        <w:t>”</w:t>
                      </w:r>
                      <w:r>
                        <w:rPr>
                          <w:rFonts w:ascii="FbSfaradi Regular" w:hAnsi="FbSfaradi Regular" w:cs="PFT_Vilna" w:hint="cs"/>
                          <w:sz w:val="28"/>
                          <w:szCs w:val="28"/>
                          <w:rtl/>
                        </w:rPr>
                        <w:t xml:space="preserve">ב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"פ</w:t>
                      </w:r>
                      <w:r w:rsidRPr="008A2DB0">
                        <w:rPr>
                          <w:rFonts w:ascii="FbSfaradi Regular" w:hAnsi="FbSfaradi Regular" w:cs="PFT_Vilna"/>
                          <w:sz w:val="28"/>
                          <w:szCs w:val="28"/>
                          <w:rtl/>
                        </w:rPr>
                        <w:t>]</w:t>
                      </w:r>
                    </w:p>
                    <w:p w:rsidR="004820B2" w:rsidRDefault="004820B2" w:rsidP="000836F8">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כ"ח סיון </w:t>
                      </w:r>
                    </w:p>
                    <w:p w:rsidR="004820B2" w:rsidRDefault="004820B2" w:rsidP="000836F8">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ג' תמוז</w:t>
                      </w:r>
                    </w:p>
                    <w:p w:rsidR="004820B2" w:rsidRDefault="004820B2" w:rsidP="000836F8">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קרח</w:t>
                      </w:r>
                    </w:p>
                    <w:p w:rsidR="004820B2" w:rsidRDefault="004820B2" w:rsidP="000836F8">
                      <w:pPr>
                        <w:pStyle w:val="NoParagraphStyle"/>
                        <w:spacing w:line="276" w:lineRule="auto"/>
                        <w:jc w:val="right"/>
                        <w:rPr>
                          <w:rFonts w:ascii="FbSfaradi Bold" w:hAnsi="FbSfaradi Bold" w:cs="PFT_Vilna"/>
                          <w:sz w:val="28"/>
                          <w:szCs w:val="28"/>
                          <w:rtl/>
                        </w:rPr>
                      </w:pPr>
                    </w:p>
                  </w:txbxContent>
                </v:textbox>
                <w10:wrap type="square" anchorx="margin" anchory="margin"/>
              </v:shape>
            </w:pict>
          </mc:Fallback>
        </mc:AlternateContent>
      </w:r>
      <w:r w:rsidRPr="000836F8">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1CB22445" wp14:editId="79261C5E">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820B2" w:rsidRDefault="004820B2" w:rsidP="000836F8">
                            <w:pPr>
                              <w:widowControl w:val="0"/>
                              <w:bidi/>
                              <w:spacing w:line="156" w:lineRule="auto"/>
                              <w:jc w:val="center"/>
                              <w:rPr>
                                <w:rFonts w:ascii="FbSfaradi Regular" w:hAnsi="FbSfaradi Regular" w:cs="FbSfaradi Regular"/>
                                <w:sz w:val="26"/>
                                <w:szCs w:val="26"/>
                                <w:rtl/>
                              </w:rPr>
                            </w:pPr>
                          </w:p>
                          <w:p w:rsidR="004820B2" w:rsidRPr="00827182" w:rsidRDefault="004820B2" w:rsidP="000836F8">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4820B2" w:rsidRPr="00E967C0" w:rsidRDefault="004820B2" w:rsidP="000836F8">
                            <w:pPr>
                              <w:widowControl w:val="0"/>
                              <w:bidi/>
                              <w:spacing w:line="240" w:lineRule="auto"/>
                              <w:jc w:val="center"/>
                              <w:rPr>
                                <w:rFonts w:ascii="FbSfaradi Regular" w:hAnsi="FbSfaradi Regular" w:cs="FbSfaradi Regular"/>
                                <w:sz w:val="2"/>
                                <w:szCs w:val="2"/>
                                <w:rtl/>
                              </w:rPr>
                            </w:pPr>
                          </w:p>
                          <w:p w:rsidR="004820B2" w:rsidRPr="0041359D" w:rsidRDefault="004820B2" w:rsidP="000836F8">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4820B2" w:rsidRPr="0041359D" w:rsidRDefault="004820B2" w:rsidP="000836F8">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4820B2" w:rsidRPr="00827182" w:rsidRDefault="004820B2" w:rsidP="000836F8">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4820B2" w:rsidRPr="0041359D" w:rsidRDefault="004820B2" w:rsidP="000836F8">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B22445" id="Text Box 5" o:spid="_x0000_s1027"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TM3EAMAAL4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" filled="f" stroked="f" strokecolor="black [0]" insetpen="t">
                <v:textbox inset="2.88pt,2.88pt,2.88pt,2.88pt">
                  <w:txbxContent>
                    <w:p w:rsidR="004820B2" w:rsidRDefault="004820B2" w:rsidP="000836F8">
                      <w:pPr>
                        <w:widowControl w:val="0"/>
                        <w:bidi/>
                        <w:spacing w:line="156" w:lineRule="auto"/>
                        <w:jc w:val="center"/>
                        <w:rPr>
                          <w:rFonts w:ascii="FbSfaradi Regular" w:hAnsi="FbSfaradi Regular" w:cs="FbSfaradi Regular"/>
                          <w:sz w:val="26"/>
                          <w:szCs w:val="26"/>
                          <w:rtl/>
                        </w:rPr>
                      </w:pPr>
                    </w:p>
                    <w:p w:rsidR="004820B2" w:rsidRPr="00827182" w:rsidRDefault="004820B2" w:rsidP="000836F8">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4820B2" w:rsidRPr="00E967C0" w:rsidRDefault="004820B2" w:rsidP="000836F8">
                      <w:pPr>
                        <w:widowControl w:val="0"/>
                        <w:bidi/>
                        <w:spacing w:line="240" w:lineRule="auto"/>
                        <w:jc w:val="center"/>
                        <w:rPr>
                          <w:rFonts w:ascii="FbSfaradi Regular" w:hAnsi="FbSfaradi Regular" w:cs="FbSfaradi Regular"/>
                          <w:sz w:val="2"/>
                          <w:szCs w:val="2"/>
                          <w:rtl/>
                        </w:rPr>
                      </w:pPr>
                    </w:p>
                    <w:p w:rsidR="004820B2" w:rsidRPr="0041359D" w:rsidRDefault="004820B2" w:rsidP="000836F8">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4820B2" w:rsidRPr="0041359D" w:rsidRDefault="004820B2" w:rsidP="000836F8">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4820B2" w:rsidRPr="00827182" w:rsidRDefault="004820B2" w:rsidP="000836F8">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4820B2" w:rsidRPr="0041359D" w:rsidRDefault="004820B2" w:rsidP="000836F8">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0836F8">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461B46EC" wp14:editId="1F7CA07B">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820B2" w:rsidRPr="00880CC5" w:rsidRDefault="004820B2" w:rsidP="000836F8">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1B46EC" id="Text Box 2" o:spid="_x0000_s1028"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wADQ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" filled="f" stroked="f" strokecolor="black [0]" insetpen="t">
                <v:textbox inset="2.88pt,2.88pt,2.88pt,2.88pt">
                  <w:txbxContent>
                    <w:p w:rsidR="004820B2" w:rsidRPr="00880CC5" w:rsidRDefault="004820B2" w:rsidP="000836F8">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Pr="000836F8">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0B2552DF" wp14:editId="31E8F3BA">
                <wp:simplePos x="0" y="0"/>
                <wp:positionH relativeFrom="margin">
                  <wp:posOffset>0</wp:posOffset>
                </wp:positionH>
                <wp:positionV relativeFrom="margin">
                  <wp:posOffset>5790647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820B2" w:rsidRPr="00A85094" w:rsidRDefault="004820B2" w:rsidP="000836F8">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4820B2" w:rsidRPr="00A85094" w:rsidRDefault="004820B2" w:rsidP="000836F8">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4820B2" w:rsidRPr="00A85094" w:rsidRDefault="004820B2" w:rsidP="000836F8">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4820B2" w:rsidRDefault="004820B2" w:rsidP="000836F8">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4820B2" w:rsidRPr="00A85094" w:rsidRDefault="004820B2" w:rsidP="000836F8">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ושמונים</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2552DF" id="Text Box 4" o:spid="_x0000_s1029" type="#_x0000_t202" style="position:absolute;margin-left:0;margin-top:455.9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XLZ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" filled="f" stroked="f" strokecolor="black [0]" insetpen="t">
                <v:textbox inset="2.88pt,2.88pt,2.88pt,2.88pt">
                  <w:txbxContent>
                    <w:p w:rsidR="004820B2" w:rsidRPr="00A85094" w:rsidRDefault="004820B2" w:rsidP="000836F8">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4820B2" w:rsidRPr="00A85094" w:rsidRDefault="004820B2" w:rsidP="000836F8">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4820B2" w:rsidRPr="00A85094" w:rsidRDefault="004820B2" w:rsidP="000836F8">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4820B2" w:rsidRDefault="004820B2" w:rsidP="000836F8">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4820B2" w:rsidRPr="00A85094" w:rsidRDefault="004820B2" w:rsidP="000836F8">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ושמונים</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Pr="000836F8">
        <w:rPr>
          <w:rFonts w:ascii="FbFRealBelet Bold" w:hAnsi="FbFRealBelet Bold" w:cs="FbFRealBelet Bold"/>
          <w:b/>
          <w:bCs/>
          <w:sz w:val="32"/>
          <w:szCs w:val="32"/>
          <w:rtl/>
        </w:rPr>
        <w:br w:type="page"/>
      </w:r>
    </w:p>
    <w:p w:rsidR="000836F8" w:rsidRPr="000836F8" w:rsidRDefault="007E0A34" w:rsidP="007E0A34">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כ"ח סיון</w:t>
      </w:r>
      <w:r w:rsidR="000836F8" w:rsidRPr="000836F8">
        <w:rPr>
          <w:rFonts w:ascii="FbFRealBelet Bold" w:hAnsi="FbFRealBelet Bold" w:cs="FbFRealBelet Bold"/>
          <w:b/>
          <w:bCs/>
          <w:sz w:val="32"/>
          <w:szCs w:val="32"/>
          <w:rtl/>
        </w:rPr>
        <w:t>–</w:t>
      </w:r>
      <w:r w:rsidR="000836F8" w:rsidRPr="000836F8">
        <w:rPr>
          <w:rFonts w:ascii="FbFRealBelet Bold" w:hAnsi="FbFRealBelet Bold" w:cs="FbFRealBelet Bold" w:hint="cs"/>
          <w:b/>
          <w:bCs/>
          <w:sz w:val="32"/>
          <w:szCs w:val="32"/>
          <w:rtl/>
        </w:rPr>
        <w:t xml:space="preserve"> </w:t>
      </w:r>
      <w:r>
        <w:rPr>
          <w:rFonts w:ascii="FbFRealBelet Bold" w:hAnsi="FbFRealBelet Bold" w:cs="FbFRealBelet Bold" w:hint="cs"/>
          <w:b/>
          <w:bCs/>
          <w:sz w:val="32"/>
          <w:szCs w:val="32"/>
          <w:rtl/>
        </w:rPr>
        <w:t>ג' תמוז</w:t>
      </w:r>
      <w:r w:rsidR="000836F8" w:rsidRPr="000836F8">
        <w:rPr>
          <w:rFonts w:ascii="FbFRealBelet Bold" w:hAnsi="FbFRealBelet Bold" w:cs="FbFRealBelet Bold" w:hint="cs"/>
          <w:b/>
          <w:bCs/>
          <w:sz w:val="32"/>
          <w:szCs w:val="32"/>
          <w:rtl/>
        </w:rPr>
        <w:t xml:space="preserve"> </w:t>
      </w:r>
      <w:r w:rsidR="000836F8" w:rsidRPr="000836F8">
        <w:rPr>
          <w:rFonts w:ascii="FbFRealBelet Bold" w:hAnsi="FbFRealBelet Bold" w:cs="FbFRealBelet Bold"/>
          <w:b/>
          <w:bCs/>
          <w:sz w:val="32"/>
          <w:szCs w:val="32"/>
          <w:rtl/>
        </w:rPr>
        <w:t>–</w:t>
      </w:r>
      <w:r w:rsidR="000836F8" w:rsidRPr="000836F8">
        <w:rPr>
          <w:rFonts w:ascii="FbFRealBelet Bold" w:hAnsi="FbFRealBelet Bold" w:cs="FbFRealBelet Bold" w:hint="cs"/>
          <w:b/>
          <w:bCs/>
          <w:sz w:val="32"/>
          <w:szCs w:val="32"/>
          <w:rtl/>
        </w:rPr>
        <w:t xml:space="preserve"> ש"פ </w:t>
      </w:r>
      <w:r>
        <w:rPr>
          <w:rFonts w:ascii="FbFRealBelet Bold" w:hAnsi="FbFRealBelet Bold" w:cs="FbFRealBelet Bold" w:hint="cs"/>
          <w:b/>
          <w:bCs/>
          <w:sz w:val="32"/>
          <w:szCs w:val="32"/>
          <w:rtl/>
        </w:rPr>
        <w:t>קרח</w:t>
      </w:r>
      <w:r w:rsidR="000836F8" w:rsidRPr="000836F8">
        <w:rPr>
          <w:rFonts w:ascii="FbFRealBelet Bold" w:hAnsi="FbFRealBelet Bold" w:cs="FbFRealBelet Bold"/>
          <w:b/>
          <w:bCs/>
          <w:sz w:val="32"/>
          <w:szCs w:val="32"/>
          <w:rtl/>
        </w:rPr>
        <w:br/>
        <w:t xml:space="preserve">גליון </w:t>
      </w:r>
      <w:r w:rsidR="000836F8" w:rsidRPr="000836F8">
        <w:rPr>
          <w:rFonts w:ascii="FbFRealBelet Bold" w:hAnsi="FbFRealBelet Bold" w:cs="FbFRealBelet Bold" w:hint="cs"/>
          <w:b/>
          <w:bCs/>
          <w:sz w:val="32"/>
          <w:szCs w:val="32"/>
          <w:rtl/>
        </w:rPr>
        <w:t>י</w:t>
      </w:r>
      <w:r>
        <w:rPr>
          <w:rFonts w:ascii="FbFRealBelet Bold" w:hAnsi="FbFRealBelet Bold" w:cs="FbFRealBelet Bold" w:hint="cs"/>
          <w:b/>
          <w:bCs/>
          <w:sz w:val="32"/>
          <w:szCs w:val="32"/>
          <w:rtl/>
        </w:rPr>
        <w:t>"ב</w:t>
      </w:r>
      <w:r w:rsidR="000836F8" w:rsidRPr="000836F8">
        <w:rPr>
          <w:rFonts w:ascii="FbFRealBelet Bold" w:hAnsi="FbFRealBelet Bold" w:cs="FbFRealBelet Bold"/>
          <w:b/>
          <w:bCs/>
          <w:sz w:val="32"/>
          <w:szCs w:val="32"/>
          <w:rtl/>
        </w:rPr>
        <w:t xml:space="preserve"> [אלף-ק</w:t>
      </w:r>
      <w:r>
        <w:rPr>
          <w:rFonts w:ascii="FbFRealBelet Bold" w:hAnsi="FbFRealBelet Bold" w:cs="FbFRealBelet Bold" w:hint="cs"/>
          <w:b/>
          <w:bCs/>
          <w:sz w:val="32"/>
          <w:szCs w:val="32"/>
          <w:rtl/>
        </w:rPr>
        <w:t>"פ</w:t>
      </w:r>
      <w:r w:rsidR="000836F8" w:rsidRPr="000836F8">
        <w:rPr>
          <w:rFonts w:ascii="FbFRealBelet Bold" w:hAnsi="FbFRealBelet Bold" w:cs="FbFRealBelet Bold"/>
          <w:b/>
          <w:bCs/>
          <w:sz w:val="32"/>
          <w:szCs w:val="32"/>
          <w:rtl/>
        </w:rPr>
        <w:t>]</w:t>
      </w:r>
    </w:p>
    <w:p w:rsidR="000836F8" w:rsidRPr="000836F8" w:rsidRDefault="000836F8" w:rsidP="000836F8">
      <w:pPr>
        <w:keepNext/>
        <w:bidi/>
        <w:spacing w:after="100" w:line="240" w:lineRule="auto"/>
        <w:jc w:val="center"/>
        <w:rPr>
          <w:rFonts w:ascii="FbFrankReal" w:eastAsia="Times New Roman" w:hAnsi="FbFrankReal" w:cs="FbFrankReal"/>
          <w:bCs/>
          <w:rtl/>
          <w:lang w:val="en-GB"/>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26498913"/>
      <w:bookmarkStart w:id="88" w:name="_Toc26502309"/>
      <w:r w:rsidRPr="000836F8">
        <w:rPr>
          <w:rFonts w:ascii="FbTehilaMedium" w:eastAsia="Calibri" w:hAnsi="FbTehilaMedium" w:cs="FbTehilaMedium"/>
          <w:sz w:val="70"/>
          <w:szCs w:val="7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0"/>
          <w:szCs w:val="20"/>
          <w:lang w:bidi="he-IL"/>
        </w:rPr>
      </w:sdtEndPr>
      <w:sdtContent>
        <w:p w:rsidR="004820B2" w:rsidRDefault="000836F8" w:rsidP="004820B2">
          <w:pPr>
            <w:pStyle w:val="TOC1"/>
            <w:rPr>
              <w:rFonts w:asciiTheme="minorHAnsi" w:eastAsiaTheme="minorEastAsia" w:hAnsiTheme="minorHAnsi" w:cstheme="minorBidi"/>
              <w:sz w:val="22"/>
              <w:szCs w:val="22"/>
            </w:rPr>
          </w:pPr>
          <w:r w:rsidRPr="000836F8">
            <w:rPr>
              <w:rFonts w:ascii="FbFRealBelet Bold" w:hAnsi="FbFRealBelet Bold" w:cs="FbFRealBelet Bold"/>
              <w:sz w:val="220"/>
              <w:szCs w:val="220"/>
            </w:rPr>
            <w:fldChar w:fldCharType="begin"/>
          </w:r>
          <w:r w:rsidRPr="000836F8">
            <w:rPr>
              <w:rFonts w:ascii="FbFRealBelet Bold" w:hAnsi="FbFRealBelet Bold" w:cs="FbFRealBelet Bold"/>
              <w:sz w:val="220"/>
              <w:szCs w:val="220"/>
            </w:rPr>
            <w:instrText xml:space="preserve"> TOC \o "1-2" \h \z \t "</w:instrText>
          </w:r>
          <w:r w:rsidRPr="000836F8">
            <w:rPr>
              <w:rFonts w:ascii="FbFRealBelet Bold" w:hAnsi="FbFRealBelet Bold" w:cs="FbFRealBelet Bold"/>
              <w:sz w:val="220"/>
              <w:szCs w:val="220"/>
              <w:rtl/>
            </w:rPr>
            <w:instrText>שם,3</w:instrText>
          </w:r>
          <w:r w:rsidRPr="000836F8">
            <w:rPr>
              <w:rFonts w:ascii="FbFRealBelet Bold" w:hAnsi="FbFRealBelet Bold" w:cs="FbFRealBelet Bold"/>
              <w:sz w:val="220"/>
              <w:szCs w:val="220"/>
            </w:rPr>
            <w:instrText xml:space="preserve">" </w:instrText>
          </w:r>
          <w:r w:rsidRPr="000836F8">
            <w:rPr>
              <w:rFonts w:ascii="FbFRealBelet Bold" w:hAnsi="FbFRealBelet Bold" w:cs="FbFRealBelet Bold"/>
              <w:sz w:val="220"/>
              <w:szCs w:val="220"/>
            </w:rPr>
            <w:fldChar w:fldCharType="separate"/>
          </w:r>
          <w:hyperlink w:anchor="_Toc43963075" w:history="1">
            <w:r w:rsidR="004820B2" w:rsidRPr="008C79A1">
              <w:rPr>
                <w:rStyle w:val="Hyperlink"/>
                <w:rFonts w:hint="eastAsia"/>
                <w:rtl/>
              </w:rPr>
              <w:t>עניני</w:t>
            </w:r>
            <w:r w:rsidR="004820B2" w:rsidRPr="008C79A1">
              <w:rPr>
                <w:rStyle w:val="Hyperlink"/>
                <w:rtl/>
              </w:rPr>
              <w:t xml:space="preserve"> </w:t>
            </w:r>
            <w:r w:rsidR="004820B2" w:rsidRPr="008C79A1">
              <w:rPr>
                <w:rStyle w:val="Hyperlink"/>
                <w:rFonts w:hint="eastAsia"/>
                <w:rtl/>
              </w:rPr>
              <w:t>גאולה</w:t>
            </w:r>
            <w:r w:rsidR="004820B2" w:rsidRPr="008C79A1">
              <w:rPr>
                <w:rStyle w:val="Hyperlink"/>
                <w:rtl/>
              </w:rPr>
              <w:t xml:space="preserve"> </w:t>
            </w:r>
            <w:r w:rsidR="004820B2" w:rsidRPr="008C79A1">
              <w:rPr>
                <w:rStyle w:val="Hyperlink"/>
                <w:rFonts w:hint="eastAsia"/>
                <w:rtl/>
              </w:rPr>
              <w:t>ומשיח</w:t>
            </w:r>
          </w:hyperlink>
        </w:p>
        <w:p w:rsidR="004820B2" w:rsidRDefault="004820B2" w:rsidP="004820B2">
          <w:pPr>
            <w:pStyle w:val="TOC2"/>
            <w:rPr>
              <w:rFonts w:asciiTheme="minorHAnsi" w:eastAsiaTheme="minorEastAsia" w:hAnsiTheme="minorHAnsi" w:cstheme="minorBidi"/>
            </w:rPr>
          </w:pPr>
          <w:hyperlink w:anchor="_Toc43963076" w:history="1">
            <w:r w:rsidRPr="008C79A1">
              <w:rPr>
                <w:rStyle w:val="Hyperlink"/>
                <w:rFonts w:hint="eastAsia"/>
                <w:rtl/>
              </w:rPr>
              <w:t>גדרי</w:t>
            </w:r>
            <w:r w:rsidRPr="008C79A1">
              <w:rPr>
                <w:rStyle w:val="Hyperlink"/>
                <w:rtl/>
              </w:rPr>
              <w:t xml:space="preserve"> </w:t>
            </w:r>
            <w:r w:rsidRPr="008C79A1">
              <w:rPr>
                <w:rStyle w:val="Hyperlink"/>
                <w:rFonts w:hint="eastAsia"/>
                <w:rtl/>
              </w:rPr>
              <w:t>הציפי</w:t>
            </w:r>
            <w:r w:rsidRPr="008C79A1">
              <w:rPr>
                <w:rStyle w:val="Hyperlink"/>
                <w:rtl/>
              </w:rPr>
              <w:t xml:space="preserve">' </w:t>
            </w:r>
            <w:r w:rsidRPr="008C79A1">
              <w:rPr>
                <w:rStyle w:val="Hyperlink"/>
                <w:rFonts w:hint="eastAsia"/>
                <w:rtl/>
              </w:rPr>
              <w:t>לביאת</w:t>
            </w:r>
            <w:r w:rsidRPr="008C79A1">
              <w:rPr>
                <w:rStyle w:val="Hyperlink"/>
                <w:rtl/>
              </w:rPr>
              <w:t xml:space="preserve"> </w:t>
            </w:r>
            <w:r w:rsidRPr="008C79A1">
              <w:rPr>
                <w:rStyle w:val="Hyperlink"/>
                <w:rFonts w:hint="eastAsia"/>
                <w:rtl/>
              </w:rPr>
              <w:t>המשיח</w:t>
            </w:r>
            <w:r>
              <w:rPr>
                <w:webHidden/>
              </w:rPr>
              <w:tab/>
            </w:r>
            <w:r>
              <w:rPr>
                <w:webHidden/>
              </w:rPr>
              <w:fldChar w:fldCharType="begin"/>
            </w:r>
            <w:r>
              <w:rPr>
                <w:webHidden/>
              </w:rPr>
              <w:instrText xml:space="preserve"> PAGEREF _Toc43963076 \h </w:instrText>
            </w:r>
            <w:r>
              <w:rPr>
                <w:webHidden/>
              </w:rPr>
            </w:r>
            <w:r>
              <w:rPr>
                <w:webHidden/>
              </w:rPr>
              <w:fldChar w:fldCharType="separate"/>
            </w:r>
            <w:r w:rsidR="008C1238">
              <w:rPr>
                <w:webHidden/>
                <w:rtl/>
              </w:rPr>
              <w:t>6</w:t>
            </w:r>
            <w:r>
              <w:rPr>
                <w:webHidden/>
              </w:rPr>
              <w:fldChar w:fldCharType="end"/>
            </w:r>
          </w:hyperlink>
        </w:p>
        <w:p w:rsidR="004820B2" w:rsidRDefault="004820B2" w:rsidP="004820B2">
          <w:pPr>
            <w:pStyle w:val="TOC3"/>
            <w:rPr>
              <w:rFonts w:asciiTheme="minorHAnsi" w:eastAsiaTheme="minorEastAsia" w:hAnsiTheme="minorHAnsi" w:cstheme="minorBidi"/>
              <w:sz w:val="22"/>
              <w:szCs w:val="22"/>
              <w:lang w:val="en-US"/>
            </w:rPr>
          </w:pPr>
          <w:hyperlink w:anchor="_Toc43963077" w:history="1">
            <w:r w:rsidRPr="008C79A1">
              <w:rPr>
                <w:rStyle w:val="Hyperlink"/>
                <w:rFonts w:hint="eastAsia"/>
                <w:rtl/>
              </w:rPr>
              <w:t>הרב</w:t>
            </w:r>
            <w:r w:rsidRPr="008C79A1">
              <w:rPr>
                <w:rStyle w:val="Hyperlink"/>
                <w:rtl/>
              </w:rPr>
              <w:t xml:space="preserve"> </w:t>
            </w:r>
            <w:r w:rsidRPr="008C79A1">
              <w:rPr>
                <w:rStyle w:val="Hyperlink"/>
                <w:rFonts w:hint="eastAsia"/>
                <w:rtl/>
              </w:rPr>
              <w:t>שלום</w:t>
            </w:r>
            <w:r w:rsidRPr="008C79A1">
              <w:rPr>
                <w:rStyle w:val="Hyperlink"/>
                <w:rtl/>
              </w:rPr>
              <w:t xml:space="preserve"> </w:t>
            </w:r>
            <w:r w:rsidRPr="008C79A1">
              <w:rPr>
                <w:rStyle w:val="Hyperlink"/>
                <w:rFonts w:hint="eastAsia"/>
                <w:rtl/>
              </w:rPr>
              <w:t>צירקינד</w:t>
            </w:r>
          </w:hyperlink>
        </w:p>
        <w:p w:rsidR="004820B2" w:rsidRDefault="004820B2" w:rsidP="004820B2">
          <w:pPr>
            <w:pStyle w:val="TOC1"/>
            <w:rPr>
              <w:rFonts w:asciiTheme="minorHAnsi" w:eastAsiaTheme="minorEastAsia" w:hAnsiTheme="minorHAnsi" w:cstheme="minorBidi"/>
              <w:sz w:val="22"/>
              <w:szCs w:val="22"/>
            </w:rPr>
          </w:pPr>
          <w:hyperlink w:anchor="_Toc43963078" w:history="1">
            <w:r w:rsidRPr="008C79A1">
              <w:rPr>
                <w:rStyle w:val="Hyperlink"/>
                <w:rFonts w:hint="eastAsia"/>
                <w:rtl/>
              </w:rPr>
              <w:t>תורת</w:t>
            </w:r>
            <w:r w:rsidRPr="008C79A1">
              <w:rPr>
                <w:rStyle w:val="Hyperlink"/>
                <w:rtl/>
              </w:rPr>
              <w:t xml:space="preserve"> </w:t>
            </w:r>
            <w:r w:rsidRPr="008C79A1">
              <w:rPr>
                <w:rStyle w:val="Hyperlink"/>
                <w:rFonts w:hint="eastAsia"/>
                <w:rtl/>
              </w:rPr>
              <w:t>רבינו</w:t>
            </w:r>
          </w:hyperlink>
        </w:p>
        <w:p w:rsidR="004820B2" w:rsidRDefault="004820B2" w:rsidP="004820B2">
          <w:pPr>
            <w:pStyle w:val="TOC2"/>
            <w:rPr>
              <w:rFonts w:asciiTheme="minorHAnsi" w:eastAsiaTheme="minorEastAsia" w:hAnsiTheme="minorHAnsi" w:cstheme="minorBidi"/>
            </w:rPr>
          </w:pPr>
          <w:hyperlink w:anchor="_Toc43963079" w:history="1">
            <w:r w:rsidRPr="008C79A1">
              <w:rPr>
                <w:rStyle w:val="Hyperlink"/>
                <w:rtl/>
              </w:rPr>
              <w:t>"</w:t>
            </w:r>
            <w:r w:rsidRPr="008C79A1">
              <w:rPr>
                <w:rStyle w:val="Hyperlink"/>
                <w:rFonts w:hint="eastAsia"/>
                <w:rtl/>
              </w:rPr>
              <w:t>לבוד</w:t>
            </w:r>
            <w:r w:rsidRPr="008C79A1">
              <w:rPr>
                <w:rStyle w:val="Hyperlink"/>
                <w:rtl/>
              </w:rPr>
              <w:t xml:space="preserve">" </w:t>
            </w:r>
            <w:r w:rsidRPr="008C79A1">
              <w:rPr>
                <w:rStyle w:val="Hyperlink"/>
                <w:rFonts w:hint="eastAsia"/>
                <w:rtl/>
              </w:rPr>
              <w:t>בזמן</w:t>
            </w:r>
            <w:r>
              <w:rPr>
                <w:webHidden/>
              </w:rPr>
              <w:tab/>
            </w:r>
            <w:r>
              <w:rPr>
                <w:webHidden/>
              </w:rPr>
              <w:fldChar w:fldCharType="begin"/>
            </w:r>
            <w:r>
              <w:rPr>
                <w:webHidden/>
              </w:rPr>
              <w:instrText xml:space="preserve"> PAGEREF _Toc43963079 \h </w:instrText>
            </w:r>
            <w:r>
              <w:rPr>
                <w:webHidden/>
              </w:rPr>
            </w:r>
            <w:r>
              <w:rPr>
                <w:webHidden/>
              </w:rPr>
              <w:fldChar w:fldCharType="separate"/>
            </w:r>
            <w:r w:rsidR="008C1238">
              <w:rPr>
                <w:webHidden/>
                <w:rtl/>
              </w:rPr>
              <w:t>19</w:t>
            </w:r>
            <w:r>
              <w:rPr>
                <w:webHidden/>
              </w:rPr>
              <w:fldChar w:fldCharType="end"/>
            </w:r>
          </w:hyperlink>
        </w:p>
        <w:p w:rsidR="004820B2" w:rsidRDefault="004820B2" w:rsidP="004820B2">
          <w:pPr>
            <w:pStyle w:val="TOC3"/>
            <w:rPr>
              <w:rFonts w:asciiTheme="minorHAnsi" w:eastAsiaTheme="minorEastAsia" w:hAnsiTheme="minorHAnsi" w:cstheme="minorBidi"/>
              <w:sz w:val="22"/>
              <w:szCs w:val="22"/>
              <w:lang w:val="en-US"/>
            </w:rPr>
          </w:pPr>
          <w:hyperlink w:anchor="_Toc43963080" w:history="1">
            <w:r w:rsidRPr="008C79A1">
              <w:rPr>
                <w:rStyle w:val="Hyperlink"/>
                <w:rFonts w:hint="eastAsia"/>
                <w:rtl/>
              </w:rPr>
              <w:t>הרב</w:t>
            </w:r>
            <w:r w:rsidRPr="008C79A1">
              <w:rPr>
                <w:rStyle w:val="Hyperlink"/>
                <w:rtl/>
              </w:rPr>
              <w:t xml:space="preserve"> </w:t>
            </w:r>
            <w:r w:rsidRPr="008C79A1">
              <w:rPr>
                <w:rStyle w:val="Hyperlink"/>
                <w:rFonts w:hint="eastAsia"/>
                <w:rtl/>
              </w:rPr>
              <w:t>חנני</w:t>
            </w:r>
            <w:r w:rsidRPr="008C79A1">
              <w:rPr>
                <w:rStyle w:val="Hyperlink"/>
                <w:rtl/>
              </w:rPr>
              <w:t xml:space="preserve">' </w:t>
            </w:r>
            <w:r w:rsidRPr="008C79A1">
              <w:rPr>
                <w:rStyle w:val="Hyperlink"/>
                <w:rFonts w:hint="eastAsia"/>
                <w:rtl/>
              </w:rPr>
              <w:t>יוסף</w:t>
            </w:r>
            <w:r w:rsidRPr="008C79A1">
              <w:rPr>
                <w:rStyle w:val="Hyperlink"/>
                <w:rtl/>
              </w:rPr>
              <w:t xml:space="preserve"> </w:t>
            </w:r>
            <w:r w:rsidRPr="008C79A1">
              <w:rPr>
                <w:rStyle w:val="Hyperlink"/>
                <w:rFonts w:hint="eastAsia"/>
                <w:rtl/>
              </w:rPr>
              <w:t>אייזנבך</w:t>
            </w:r>
          </w:hyperlink>
        </w:p>
        <w:p w:rsidR="004820B2" w:rsidRDefault="004820B2" w:rsidP="004820B2">
          <w:pPr>
            <w:pStyle w:val="TOC2"/>
            <w:rPr>
              <w:rFonts w:asciiTheme="minorHAnsi" w:eastAsiaTheme="minorEastAsia" w:hAnsiTheme="minorHAnsi" w:cstheme="minorBidi"/>
            </w:rPr>
          </w:pPr>
          <w:hyperlink w:anchor="_Toc43963081" w:history="1">
            <w:r w:rsidRPr="008C79A1">
              <w:rPr>
                <w:rStyle w:val="Hyperlink"/>
                <w:rFonts w:hint="eastAsia"/>
                <w:rtl/>
              </w:rPr>
              <w:t>בענין</w:t>
            </w:r>
            <w:r w:rsidRPr="008C79A1">
              <w:rPr>
                <w:rStyle w:val="Hyperlink"/>
                <w:rtl/>
              </w:rPr>
              <w:t xml:space="preserve"> </w:t>
            </w:r>
            <w:r w:rsidRPr="008C79A1">
              <w:rPr>
                <w:rStyle w:val="Hyperlink"/>
                <w:rFonts w:hint="eastAsia"/>
                <w:rtl/>
              </w:rPr>
              <w:t>טומאת</w:t>
            </w:r>
            <w:r w:rsidRPr="008C79A1">
              <w:rPr>
                <w:rStyle w:val="Hyperlink"/>
                <w:rtl/>
              </w:rPr>
              <w:t xml:space="preserve"> </w:t>
            </w:r>
            <w:r w:rsidRPr="008C79A1">
              <w:rPr>
                <w:rStyle w:val="Hyperlink"/>
                <w:rFonts w:hint="eastAsia"/>
                <w:rtl/>
              </w:rPr>
              <w:t>מת</w:t>
            </w:r>
            <w:r>
              <w:rPr>
                <w:webHidden/>
              </w:rPr>
              <w:tab/>
            </w:r>
            <w:r>
              <w:rPr>
                <w:webHidden/>
              </w:rPr>
              <w:fldChar w:fldCharType="begin"/>
            </w:r>
            <w:r>
              <w:rPr>
                <w:webHidden/>
              </w:rPr>
              <w:instrText xml:space="preserve"> PAGEREF _Toc43963081 \h </w:instrText>
            </w:r>
            <w:r>
              <w:rPr>
                <w:webHidden/>
              </w:rPr>
            </w:r>
            <w:r>
              <w:rPr>
                <w:webHidden/>
              </w:rPr>
              <w:fldChar w:fldCharType="separate"/>
            </w:r>
            <w:r w:rsidR="008C1238">
              <w:rPr>
                <w:webHidden/>
                <w:rtl/>
              </w:rPr>
              <w:t>26</w:t>
            </w:r>
            <w:r>
              <w:rPr>
                <w:webHidden/>
              </w:rPr>
              <w:fldChar w:fldCharType="end"/>
            </w:r>
          </w:hyperlink>
        </w:p>
        <w:p w:rsidR="004820B2" w:rsidRDefault="004820B2" w:rsidP="004820B2">
          <w:pPr>
            <w:pStyle w:val="TOC3"/>
            <w:rPr>
              <w:rFonts w:asciiTheme="minorHAnsi" w:eastAsiaTheme="minorEastAsia" w:hAnsiTheme="minorHAnsi" w:cstheme="minorBidi"/>
              <w:sz w:val="22"/>
              <w:szCs w:val="22"/>
              <w:lang w:val="en-US"/>
            </w:rPr>
          </w:pPr>
          <w:hyperlink w:anchor="_Toc43963082" w:history="1">
            <w:r w:rsidRPr="008C79A1">
              <w:rPr>
                <w:rStyle w:val="Hyperlink"/>
                <w:rFonts w:hint="eastAsia"/>
                <w:rtl/>
              </w:rPr>
              <w:t>הרב</w:t>
            </w:r>
            <w:r w:rsidRPr="008C79A1">
              <w:rPr>
                <w:rStyle w:val="Hyperlink"/>
                <w:rtl/>
              </w:rPr>
              <w:t xml:space="preserve"> </w:t>
            </w:r>
            <w:r w:rsidRPr="008C79A1">
              <w:rPr>
                <w:rStyle w:val="Hyperlink"/>
                <w:rFonts w:hint="eastAsia"/>
                <w:rtl/>
              </w:rPr>
              <w:t>אברהם</w:t>
            </w:r>
            <w:r w:rsidRPr="008C79A1">
              <w:rPr>
                <w:rStyle w:val="Hyperlink"/>
                <w:rtl/>
              </w:rPr>
              <w:t xml:space="preserve"> </w:t>
            </w:r>
            <w:r w:rsidRPr="008C79A1">
              <w:rPr>
                <w:rStyle w:val="Hyperlink"/>
                <w:rFonts w:hint="eastAsia"/>
                <w:rtl/>
              </w:rPr>
              <w:t>יצחק</w:t>
            </w:r>
            <w:r w:rsidRPr="008C79A1">
              <w:rPr>
                <w:rStyle w:val="Hyperlink"/>
                <w:rtl/>
              </w:rPr>
              <w:t xml:space="preserve"> </w:t>
            </w:r>
            <w:r w:rsidRPr="008C79A1">
              <w:rPr>
                <w:rStyle w:val="Hyperlink"/>
                <w:rFonts w:hint="eastAsia"/>
                <w:rtl/>
              </w:rPr>
              <w:t>ברוך</w:t>
            </w:r>
            <w:r w:rsidRPr="008C79A1">
              <w:rPr>
                <w:rStyle w:val="Hyperlink"/>
                <w:rtl/>
              </w:rPr>
              <w:t xml:space="preserve"> </w:t>
            </w:r>
            <w:r w:rsidRPr="008C79A1">
              <w:rPr>
                <w:rStyle w:val="Hyperlink"/>
                <w:rFonts w:hint="eastAsia"/>
                <w:rtl/>
              </w:rPr>
              <w:t>גערליצקי</w:t>
            </w:r>
          </w:hyperlink>
        </w:p>
        <w:p w:rsidR="004820B2" w:rsidRDefault="004820B2" w:rsidP="004820B2">
          <w:pPr>
            <w:pStyle w:val="TOC2"/>
            <w:rPr>
              <w:rFonts w:asciiTheme="minorHAnsi" w:eastAsiaTheme="minorEastAsia" w:hAnsiTheme="minorHAnsi" w:cstheme="minorBidi"/>
            </w:rPr>
          </w:pPr>
          <w:hyperlink w:anchor="_Toc43963083" w:history="1">
            <w:r w:rsidRPr="008C79A1">
              <w:rPr>
                <w:rStyle w:val="Hyperlink"/>
                <w:rFonts w:hint="eastAsia"/>
                <w:rtl/>
              </w:rPr>
              <w:t>בפיך</w:t>
            </w:r>
            <w:r w:rsidRPr="008C79A1">
              <w:rPr>
                <w:rStyle w:val="Hyperlink"/>
                <w:rtl/>
              </w:rPr>
              <w:t xml:space="preserve"> </w:t>
            </w:r>
            <w:r w:rsidRPr="008C79A1">
              <w:rPr>
                <w:rStyle w:val="Hyperlink"/>
                <w:rFonts w:hint="eastAsia"/>
                <w:rtl/>
              </w:rPr>
              <w:t>ובלבבך</w:t>
            </w:r>
            <w:r w:rsidRPr="008C79A1">
              <w:rPr>
                <w:rStyle w:val="Hyperlink"/>
                <w:rtl/>
              </w:rPr>
              <w:t xml:space="preserve"> </w:t>
            </w:r>
            <w:r w:rsidRPr="008C79A1">
              <w:rPr>
                <w:rStyle w:val="Hyperlink"/>
                <w:rFonts w:hint="eastAsia"/>
                <w:rtl/>
              </w:rPr>
              <w:t>לעשותו</w:t>
            </w:r>
            <w:r w:rsidRPr="008C79A1">
              <w:rPr>
                <w:rStyle w:val="Hyperlink"/>
                <w:rtl/>
              </w:rPr>
              <w:t xml:space="preserve"> -  </w:t>
            </w:r>
            <w:r w:rsidRPr="008C79A1">
              <w:rPr>
                <w:rStyle w:val="Hyperlink"/>
                <w:rFonts w:hint="eastAsia"/>
                <w:rtl/>
              </w:rPr>
              <w:t>מחשבה</w:t>
            </w:r>
            <w:r w:rsidRPr="008C79A1">
              <w:rPr>
                <w:rStyle w:val="Hyperlink"/>
                <w:rtl/>
              </w:rPr>
              <w:t xml:space="preserve"> </w:t>
            </w:r>
            <w:r w:rsidRPr="008C79A1">
              <w:rPr>
                <w:rStyle w:val="Hyperlink"/>
                <w:rFonts w:hint="eastAsia"/>
                <w:rtl/>
              </w:rPr>
              <w:t>דיבור</w:t>
            </w:r>
            <w:r w:rsidRPr="008C79A1">
              <w:rPr>
                <w:rStyle w:val="Hyperlink"/>
                <w:rtl/>
              </w:rPr>
              <w:t xml:space="preserve"> </w:t>
            </w:r>
            <w:r w:rsidRPr="008C79A1">
              <w:rPr>
                <w:rStyle w:val="Hyperlink"/>
                <w:rFonts w:hint="eastAsia"/>
                <w:rtl/>
              </w:rPr>
              <w:t>ומעשה</w:t>
            </w:r>
            <w:r>
              <w:rPr>
                <w:webHidden/>
              </w:rPr>
              <w:tab/>
            </w:r>
            <w:r>
              <w:rPr>
                <w:webHidden/>
              </w:rPr>
              <w:fldChar w:fldCharType="begin"/>
            </w:r>
            <w:r>
              <w:rPr>
                <w:webHidden/>
              </w:rPr>
              <w:instrText xml:space="preserve"> PAGEREF _Toc43963083 \h </w:instrText>
            </w:r>
            <w:r>
              <w:rPr>
                <w:webHidden/>
              </w:rPr>
            </w:r>
            <w:r>
              <w:rPr>
                <w:webHidden/>
              </w:rPr>
              <w:fldChar w:fldCharType="separate"/>
            </w:r>
            <w:r w:rsidR="008C1238">
              <w:rPr>
                <w:webHidden/>
                <w:rtl/>
              </w:rPr>
              <w:t>30</w:t>
            </w:r>
            <w:r>
              <w:rPr>
                <w:webHidden/>
              </w:rPr>
              <w:fldChar w:fldCharType="end"/>
            </w:r>
          </w:hyperlink>
        </w:p>
        <w:p w:rsidR="004820B2" w:rsidRDefault="004820B2" w:rsidP="004820B2">
          <w:pPr>
            <w:pStyle w:val="TOC3"/>
            <w:rPr>
              <w:rFonts w:asciiTheme="minorHAnsi" w:eastAsiaTheme="minorEastAsia" w:hAnsiTheme="minorHAnsi" w:cstheme="minorBidi"/>
              <w:sz w:val="22"/>
              <w:szCs w:val="22"/>
              <w:lang w:val="en-US"/>
            </w:rPr>
          </w:pPr>
          <w:hyperlink w:anchor="_Toc43963084" w:history="1">
            <w:r w:rsidRPr="008C79A1">
              <w:rPr>
                <w:rStyle w:val="Hyperlink"/>
                <w:rFonts w:hint="eastAsia"/>
                <w:rtl/>
              </w:rPr>
              <w:t>הרב</w:t>
            </w:r>
            <w:r w:rsidRPr="008C79A1">
              <w:rPr>
                <w:rStyle w:val="Hyperlink"/>
                <w:rtl/>
              </w:rPr>
              <w:t xml:space="preserve"> </w:t>
            </w:r>
            <w:r w:rsidRPr="008C79A1">
              <w:rPr>
                <w:rStyle w:val="Hyperlink"/>
                <w:rFonts w:hint="eastAsia"/>
                <w:rtl/>
              </w:rPr>
              <w:t>משה</w:t>
            </w:r>
            <w:r w:rsidRPr="008C79A1">
              <w:rPr>
                <w:rStyle w:val="Hyperlink"/>
                <w:rtl/>
              </w:rPr>
              <w:t xml:space="preserve"> </w:t>
            </w:r>
            <w:r w:rsidRPr="008C79A1">
              <w:rPr>
                <w:rStyle w:val="Hyperlink"/>
                <w:rFonts w:hint="eastAsia"/>
                <w:rtl/>
              </w:rPr>
              <w:t>מרקוביץ</w:t>
            </w:r>
          </w:hyperlink>
        </w:p>
        <w:p w:rsidR="004820B2" w:rsidRDefault="004820B2" w:rsidP="004820B2">
          <w:pPr>
            <w:pStyle w:val="TOC2"/>
            <w:rPr>
              <w:rFonts w:asciiTheme="minorHAnsi" w:eastAsiaTheme="minorEastAsia" w:hAnsiTheme="minorHAnsi" w:cstheme="minorBidi"/>
            </w:rPr>
          </w:pPr>
          <w:hyperlink w:anchor="_Toc43963085" w:history="1">
            <w:r w:rsidRPr="008C79A1">
              <w:rPr>
                <w:rStyle w:val="Hyperlink"/>
                <w:rtl/>
              </w:rPr>
              <w:t>"</w:t>
            </w:r>
            <w:r w:rsidRPr="008C79A1">
              <w:rPr>
                <w:rStyle w:val="Hyperlink"/>
                <w:rFonts w:hint="eastAsia"/>
                <w:rtl/>
              </w:rPr>
              <w:t>אל</w:t>
            </w:r>
            <w:r w:rsidRPr="008C79A1">
              <w:rPr>
                <w:rStyle w:val="Hyperlink"/>
                <w:rtl/>
              </w:rPr>
              <w:t xml:space="preserve"> </w:t>
            </w:r>
            <w:r w:rsidRPr="008C79A1">
              <w:rPr>
                <w:rStyle w:val="Hyperlink"/>
                <w:rFonts w:hint="eastAsia"/>
                <w:rtl/>
              </w:rPr>
              <w:t>יאמר</w:t>
            </w:r>
            <w:r w:rsidRPr="008C79A1">
              <w:rPr>
                <w:rStyle w:val="Hyperlink"/>
                <w:rtl/>
              </w:rPr>
              <w:t xml:space="preserve"> </w:t>
            </w:r>
            <w:r w:rsidRPr="008C79A1">
              <w:rPr>
                <w:rStyle w:val="Hyperlink"/>
                <w:rFonts w:hint="eastAsia"/>
                <w:rtl/>
              </w:rPr>
              <w:t>אדם</w:t>
            </w:r>
            <w:r w:rsidRPr="008C79A1">
              <w:rPr>
                <w:rStyle w:val="Hyperlink"/>
                <w:rtl/>
              </w:rPr>
              <w:t xml:space="preserve"> </w:t>
            </w:r>
            <w:r w:rsidRPr="008C79A1">
              <w:rPr>
                <w:rStyle w:val="Hyperlink"/>
                <w:rFonts w:hint="eastAsia"/>
                <w:rtl/>
              </w:rPr>
              <w:t>אי</w:t>
            </w:r>
            <w:r w:rsidRPr="008C79A1">
              <w:rPr>
                <w:rStyle w:val="Hyperlink"/>
                <w:rtl/>
              </w:rPr>
              <w:t xml:space="preserve"> </w:t>
            </w:r>
            <w:r w:rsidRPr="008C79A1">
              <w:rPr>
                <w:rStyle w:val="Hyperlink"/>
                <w:rFonts w:hint="eastAsia"/>
                <w:rtl/>
              </w:rPr>
              <w:t>אפשי</w:t>
            </w:r>
            <w:r w:rsidRPr="008C79A1">
              <w:rPr>
                <w:rStyle w:val="Hyperlink"/>
                <w:rtl/>
              </w:rPr>
              <w:t xml:space="preserve">" </w:t>
            </w:r>
            <w:r w:rsidRPr="008C79A1">
              <w:rPr>
                <w:rStyle w:val="Hyperlink"/>
                <w:rFonts w:hint="eastAsia"/>
                <w:rtl/>
              </w:rPr>
              <w:t>לפי</w:t>
            </w:r>
            <w:r w:rsidRPr="008C79A1">
              <w:rPr>
                <w:rStyle w:val="Hyperlink"/>
                <w:rtl/>
              </w:rPr>
              <w:t xml:space="preserve"> </w:t>
            </w:r>
            <w:r w:rsidRPr="008C79A1">
              <w:rPr>
                <w:rStyle w:val="Hyperlink"/>
                <w:rFonts w:hint="eastAsia"/>
                <w:rtl/>
              </w:rPr>
              <w:t>שיטת</w:t>
            </w:r>
            <w:r w:rsidRPr="008C79A1">
              <w:rPr>
                <w:rStyle w:val="Hyperlink"/>
                <w:rtl/>
              </w:rPr>
              <w:t xml:space="preserve"> </w:t>
            </w:r>
            <w:r w:rsidRPr="008C79A1">
              <w:rPr>
                <w:rStyle w:val="Hyperlink"/>
                <w:rFonts w:hint="eastAsia"/>
                <w:rtl/>
              </w:rPr>
              <w:t>הרמב</w:t>
            </w:r>
            <w:r w:rsidRPr="008C79A1">
              <w:rPr>
                <w:rStyle w:val="Hyperlink"/>
                <w:rtl/>
              </w:rPr>
              <w:t>"</w:t>
            </w:r>
            <w:r w:rsidRPr="008C79A1">
              <w:rPr>
                <w:rStyle w:val="Hyperlink"/>
                <w:rFonts w:hint="eastAsia"/>
                <w:rtl/>
              </w:rPr>
              <w:t>ם</w:t>
            </w:r>
            <w:r w:rsidRPr="008C79A1">
              <w:rPr>
                <w:rStyle w:val="Hyperlink"/>
                <w:rtl/>
              </w:rPr>
              <w:t xml:space="preserve">, </w:t>
            </w:r>
            <w:r w:rsidRPr="008C79A1">
              <w:rPr>
                <w:rStyle w:val="Hyperlink"/>
                <w:rFonts w:hint="eastAsia"/>
                <w:rtl/>
              </w:rPr>
              <w:t>רש</w:t>
            </w:r>
            <w:r w:rsidRPr="008C79A1">
              <w:rPr>
                <w:rStyle w:val="Hyperlink"/>
                <w:rtl/>
              </w:rPr>
              <w:t>"</w:t>
            </w:r>
            <w:r w:rsidRPr="008C79A1">
              <w:rPr>
                <w:rStyle w:val="Hyperlink"/>
                <w:rFonts w:hint="eastAsia"/>
                <w:rtl/>
              </w:rPr>
              <w:t>י</w:t>
            </w:r>
            <w:r w:rsidRPr="008C79A1">
              <w:rPr>
                <w:rStyle w:val="Hyperlink"/>
                <w:rtl/>
              </w:rPr>
              <w:t xml:space="preserve">, </w:t>
            </w:r>
            <w:r w:rsidRPr="008C79A1">
              <w:rPr>
                <w:rStyle w:val="Hyperlink"/>
                <w:rFonts w:hint="eastAsia"/>
                <w:rtl/>
              </w:rPr>
              <w:t>וחסידות</w:t>
            </w:r>
            <w:r>
              <w:rPr>
                <w:webHidden/>
              </w:rPr>
              <w:tab/>
            </w:r>
            <w:r>
              <w:rPr>
                <w:webHidden/>
              </w:rPr>
              <w:fldChar w:fldCharType="begin"/>
            </w:r>
            <w:r>
              <w:rPr>
                <w:webHidden/>
              </w:rPr>
              <w:instrText xml:space="preserve"> PAGEREF _Toc43963085 \h </w:instrText>
            </w:r>
            <w:r>
              <w:rPr>
                <w:webHidden/>
              </w:rPr>
            </w:r>
            <w:r>
              <w:rPr>
                <w:webHidden/>
              </w:rPr>
              <w:fldChar w:fldCharType="separate"/>
            </w:r>
            <w:r w:rsidR="008C1238">
              <w:rPr>
                <w:webHidden/>
                <w:rtl/>
              </w:rPr>
              <w:t>30</w:t>
            </w:r>
            <w:r>
              <w:rPr>
                <w:webHidden/>
              </w:rPr>
              <w:fldChar w:fldCharType="end"/>
            </w:r>
          </w:hyperlink>
        </w:p>
        <w:p w:rsidR="004820B2" w:rsidRDefault="004820B2" w:rsidP="004820B2">
          <w:pPr>
            <w:pStyle w:val="TOC3"/>
            <w:rPr>
              <w:rFonts w:asciiTheme="minorHAnsi" w:eastAsiaTheme="minorEastAsia" w:hAnsiTheme="minorHAnsi" w:cstheme="minorBidi"/>
              <w:sz w:val="22"/>
              <w:szCs w:val="22"/>
              <w:lang w:val="en-US"/>
            </w:rPr>
          </w:pPr>
          <w:hyperlink w:anchor="_Toc43963086" w:history="1">
            <w:r w:rsidRPr="008C79A1">
              <w:rPr>
                <w:rStyle w:val="Hyperlink"/>
                <w:rFonts w:hint="eastAsia"/>
                <w:rtl/>
              </w:rPr>
              <w:t>הרב</w:t>
            </w:r>
            <w:r w:rsidRPr="008C79A1">
              <w:rPr>
                <w:rStyle w:val="Hyperlink"/>
                <w:rtl/>
              </w:rPr>
              <w:t xml:space="preserve"> </w:t>
            </w:r>
            <w:r w:rsidRPr="008C79A1">
              <w:rPr>
                <w:rStyle w:val="Hyperlink"/>
                <w:rFonts w:hint="eastAsia"/>
                <w:rtl/>
              </w:rPr>
              <w:t>לוי</w:t>
            </w:r>
            <w:r w:rsidRPr="008C79A1">
              <w:rPr>
                <w:rStyle w:val="Hyperlink"/>
                <w:rtl/>
              </w:rPr>
              <w:t xml:space="preserve"> </w:t>
            </w:r>
            <w:r w:rsidRPr="008C79A1">
              <w:rPr>
                <w:rStyle w:val="Hyperlink"/>
                <w:rFonts w:hint="eastAsia"/>
                <w:rtl/>
              </w:rPr>
              <w:t>לברטוב</w:t>
            </w:r>
          </w:hyperlink>
        </w:p>
        <w:p w:rsidR="004820B2" w:rsidRDefault="004820B2" w:rsidP="004820B2">
          <w:pPr>
            <w:pStyle w:val="TOC2"/>
            <w:rPr>
              <w:rFonts w:asciiTheme="minorHAnsi" w:eastAsiaTheme="minorEastAsia" w:hAnsiTheme="minorHAnsi" w:cstheme="minorBidi"/>
            </w:rPr>
          </w:pPr>
          <w:hyperlink w:anchor="_Toc43963087" w:history="1">
            <w:r w:rsidRPr="008C79A1">
              <w:rPr>
                <w:rStyle w:val="Hyperlink"/>
                <w:rFonts w:hint="eastAsia"/>
                <w:rtl/>
              </w:rPr>
              <w:t>לשיטתייהו</w:t>
            </w:r>
            <w:r w:rsidRPr="008C79A1">
              <w:rPr>
                <w:rStyle w:val="Hyperlink"/>
                <w:rtl/>
              </w:rPr>
              <w:t xml:space="preserve"> </w:t>
            </w:r>
            <w:r w:rsidRPr="008C79A1">
              <w:rPr>
                <w:rStyle w:val="Hyperlink"/>
                <w:rFonts w:hint="eastAsia"/>
                <w:rtl/>
              </w:rPr>
              <w:t>דבתר</w:t>
            </w:r>
            <w:r w:rsidRPr="008C79A1">
              <w:rPr>
                <w:rStyle w:val="Hyperlink"/>
                <w:rtl/>
              </w:rPr>
              <w:t xml:space="preserve"> </w:t>
            </w:r>
            <w:r w:rsidRPr="008C79A1">
              <w:rPr>
                <w:rStyle w:val="Hyperlink"/>
                <w:rFonts w:hint="eastAsia"/>
                <w:rtl/>
              </w:rPr>
              <w:t>מקבל</w:t>
            </w:r>
            <w:r w:rsidRPr="008C79A1">
              <w:rPr>
                <w:rStyle w:val="Hyperlink"/>
                <w:rtl/>
              </w:rPr>
              <w:t xml:space="preserve"> </w:t>
            </w:r>
            <w:r w:rsidRPr="008C79A1">
              <w:rPr>
                <w:rStyle w:val="Hyperlink"/>
                <w:rFonts w:hint="eastAsia"/>
                <w:rtl/>
              </w:rPr>
              <w:t>אזלינן</w:t>
            </w:r>
            <w:r w:rsidRPr="008C79A1">
              <w:rPr>
                <w:rStyle w:val="Hyperlink"/>
                <w:rtl/>
              </w:rPr>
              <w:t xml:space="preserve"> - </w:t>
            </w:r>
            <w:r w:rsidRPr="008C79A1">
              <w:rPr>
                <w:rStyle w:val="Hyperlink"/>
                <w:rFonts w:hint="eastAsia"/>
                <w:rtl/>
              </w:rPr>
              <w:t>הווה</w:t>
            </w:r>
            <w:r w:rsidRPr="008C79A1">
              <w:rPr>
                <w:rStyle w:val="Hyperlink"/>
                <w:rtl/>
              </w:rPr>
              <w:t xml:space="preserve"> </w:t>
            </w:r>
            <w:r w:rsidRPr="008C79A1">
              <w:rPr>
                <w:rStyle w:val="Hyperlink"/>
                <w:rFonts w:hint="eastAsia"/>
                <w:rtl/>
              </w:rPr>
              <w:t>מכריע</w:t>
            </w:r>
            <w:r>
              <w:rPr>
                <w:webHidden/>
              </w:rPr>
              <w:tab/>
            </w:r>
            <w:r>
              <w:rPr>
                <w:webHidden/>
              </w:rPr>
              <w:fldChar w:fldCharType="begin"/>
            </w:r>
            <w:r>
              <w:rPr>
                <w:webHidden/>
              </w:rPr>
              <w:instrText xml:space="preserve"> PAGEREF _Toc43963087 \h </w:instrText>
            </w:r>
            <w:r>
              <w:rPr>
                <w:webHidden/>
              </w:rPr>
            </w:r>
            <w:r>
              <w:rPr>
                <w:webHidden/>
              </w:rPr>
              <w:fldChar w:fldCharType="separate"/>
            </w:r>
            <w:r w:rsidR="008C1238">
              <w:rPr>
                <w:webHidden/>
                <w:rtl/>
              </w:rPr>
              <w:t>36</w:t>
            </w:r>
            <w:r>
              <w:rPr>
                <w:webHidden/>
              </w:rPr>
              <w:fldChar w:fldCharType="end"/>
            </w:r>
          </w:hyperlink>
        </w:p>
        <w:p w:rsidR="004820B2" w:rsidRDefault="004820B2" w:rsidP="004820B2">
          <w:pPr>
            <w:pStyle w:val="TOC3"/>
            <w:rPr>
              <w:rFonts w:asciiTheme="minorHAnsi" w:eastAsiaTheme="minorEastAsia" w:hAnsiTheme="minorHAnsi" w:cstheme="minorBidi"/>
              <w:sz w:val="22"/>
              <w:szCs w:val="22"/>
              <w:lang w:val="en-US"/>
            </w:rPr>
          </w:pPr>
          <w:hyperlink w:anchor="_Toc43963088" w:history="1">
            <w:r w:rsidRPr="008C79A1">
              <w:rPr>
                <w:rStyle w:val="Hyperlink"/>
                <w:rFonts w:hint="eastAsia"/>
                <w:rtl/>
              </w:rPr>
              <w:t>הת</w:t>
            </w:r>
            <w:r w:rsidRPr="008C79A1">
              <w:rPr>
                <w:rStyle w:val="Hyperlink"/>
                <w:rtl/>
              </w:rPr>
              <w:t xml:space="preserve">' </w:t>
            </w:r>
            <w:r w:rsidRPr="008C79A1">
              <w:rPr>
                <w:rStyle w:val="Hyperlink"/>
                <w:rFonts w:hint="eastAsia"/>
                <w:rtl/>
              </w:rPr>
              <w:t>דב</w:t>
            </w:r>
            <w:r w:rsidRPr="008C79A1">
              <w:rPr>
                <w:rStyle w:val="Hyperlink"/>
                <w:rtl/>
              </w:rPr>
              <w:t xml:space="preserve"> </w:t>
            </w:r>
            <w:r w:rsidRPr="008C79A1">
              <w:rPr>
                <w:rStyle w:val="Hyperlink"/>
                <w:rFonts w:hint="eastAsia"/>
                <w:rtl/>
              </w:rPr>
              <w:t>בעריש</w:t>
            </w:r>
            <w:r w:rsidRPr="008C79A1">
              <w:rPr>
                <w:rStyle w:val="Hyperlink"/>
                <w:rtl/>
              </w:rPr>
              <w:t xml:space="preserve"> </w:t>
            </w:r>
            <w:r w:rsidRPr="008C79A1">
              <w:rPr>
                <w:rStyle w:val="Hyperlink"/>
                <w:rFonts w:hint="eastAsia"/>
                <w:rtl/>
              </w:rPr>
              <w:t>רוטנברג</w:t>
            </w:r>
          </w:hyperlink>
        </w:p>
        <w:p w:rsidR="004820B2" w:rsidRDefault="004820B2" w:rsidP="004820B2">
          <w:pPr>
            <w:pStyle w:val="TOC2"/>
            <w:rPr>
              <w:rFonts w:asciiTheme="minorHAnsi" w:eastAsiaTheme="minorEastAsia" w:hAnsiTheme="minorHAnsi" w:cstheme="minorBidi"/>
            </w:rPr>
          </w:pPr>
          <w:hyperlink w:anchor="_Toc43963089" w:history="1">
            <w:r w:rsidRPr="008C79A1">
              <w:rPr>
                <w:rStyle w:val="Hyperlink"/>
                <w:rFonts w:hint="eastAsia"/>
                <w:rtl/>
              </w:rPr>
              <w:t>החקירה</w:t>
            </w:r>
            <w:r w:rsidRPr="008C79A1">
              <w:rPr>
                <w:rStyle w:val="Hyperlink"/>
                <w:rtl/>
              </w:rPr>
              <w:t xml:space="preserve"> </w:t>
            </w:r>
            <w:r w:rsidRPr="008C79A1">
              <w:rPr>
                <w:rStyle w:val="Hyperlink"/>
                <w:rFonts w:hint="eastAsia"/>
                <w:rtl/>
              </w:rPr>
              <w:t>בגדר</w:t>
            </w:r>
            <w:r w:rsidRPr="008C79A1">
              <w:rPr>
                <w:rStyle w:val="Hyperlink"/>
                <w:rtl/>
              </w:rPr>
              <w:t xml:space="preserve"> </w:t>
            </w:r>
            <w:r w:rsidRPr="008C79A1">
              <w:rPr>
                <w:rStyle w:val="Hyperlink"/>
                <w:rFonts w:hint="eastAsia"/>
                <w:rtl/>
              </w:rPr>
              <w:t>ד</w:t>
            </w:r>
            <w:r w:rsidRPr="008C79A1">
              <w:rPr>
                <w:rStyle w:val="Hyperlink"/>
                <w:rtl/>
              </w:rPr>
              <w:t>"</w:t>
            </w:r>
            <w:r w:rsidRPr="008C79A1">
              <w:rPr>
                <w:rStyle w:val="Hyperlink"/>
                <w:rFonts w:hint="eastAsia"/>
                <w:rtl/>
              </w:rPr>
              <w:t>לפני</w:t>
            </w:r>
            <w:r w:rsidRPr="008C79A1">
              <w:rPr>
                <w:rStyle w:val="Hyperlink"/>
                <w:rtl/>
              </w:rPr>
              <w:t xml:space="preserve"> </w:t>
            </w:r>
            <w:r w:rsidRPr="008C79A1">
              <w:rPr>
                <w:rStyle w:val="Hyperlink"/>
                <w:rFonts w:hint="eastAsia"/>
                <w:rtl/>
              </w:rPr>
              <w:t>עור</w:t>
            </w:r>
            <w:r w:rsidRPr="008C79A1">
              <w:rPr>
                <w:rStyle w:val="Hyperlink"/>
                <w:rtl/>
              </w:rPr>
              <w:t xml:space="preserve">" </w:t>
            </w:r>
            <w:r w:rsidRPr="008C79A1">
              <w:rPr>
                <w:rStyle w:val="Hyperlink"/>
                <w:rFonts w:hint="eastAsia"/>
                <w:rtl/>
              </w:rPr>
              <w:t>בדברי</w:t>
            </w:r>
            <w:r w:rsidRPr="008C79A1">
              <w:rPr>
                <w:rStyle w:val="Hyperlink"/>
                <w:rtl/>
              </w:rPr>
              <w:t xml:space="preserve"> </w:t>
            </w:r>
            <w:r w:rsidRPr="008C79A1">
              <w:rPr>
                <w:rStyle w:val="Hyperlink"/>
                <w:rFonts w:hint="eastAsia"/>
                <w:rtl/>
              </w:rPr>
              <w:t>האחרונים</w:t>
            </w:r>
            <w:r>
              <w:rPr>
                <w:webHidden/>
              </w:rPr>
              <w:tab/>
            </w:r>
            <w:r>
              <w:rPr>
                <w:webHidden/>
              </w:rPr>
              <w:fldChar w:fldCharType="begin"/>
            </w:r>
            <w:r>
              <w:rPr>
                <w:webHidden/>
              </w:rPr>
              <w:instrText xml:space="preserve"> PAGEREF _Toc43963089 \h </w:instrText>
            </w:r>
            <w:r>
              <w:rPr>
                <w:webHidden/>
              </w:rPr>
            </w:r>
            <w:r>
              <w:rPr>
                <w:webHidden/>
              </w:rPr>
              <w:fldChar w:fldCharType="separate"/>
            </w:r>
            <w:r w:rsidR="008C1238">
              <w:rPr>
                <w:webHidden/>
                <w:rtl/>
              </w:rPr>
              <w:t>40</w:t>
            </w:r>
            <w:r>
              <w:rPr>
                <w:webHidden/>
              </w:rPr>
              <w:fldChar w:fldCharType="end"/>
            </w:r>
          </w:hyperlink>
        </w:p>
        <w:p w:rsidR="004820B2" w:rsidRDefault="004820B2" w:rsidP="004820B2">
          <w:pPr>
            <w:pStyle w:val="TOC3"/>
            <w:rPr>
              <w:rFonts w:asciiTheme="minorHAnsi" w:eastAsiaTheme="minorEastAsia" w:hAnsiTheme="minorHAnsi" w:cstheme="minorBidi"/>
              <w:sz w:val="22"/>
              <w:szCs w:val="22"/>
              <w:lang w:val="en-US"/>
            </w:rPr>
          </w:pPr>
          <w:hyperlink w:anchor="_Toc43963090" w:history="1">
            <w:r w:rsidRPr="008C79A1">
              <w:rPr>
                <w:rStyle w:val="Hyperlink"/>
                <w:rFonts w:hint="eastAsia"/>
                <w:rtl/>
              </w:rPr>
              <w:t>הנ</w:t>
            </w:r>
            <w:r w:rsidRPr="008C79A1">
              <w:rPr>
                <w:rStyle w:val="Hyperlink"/>
                <w:rtl/>
              </w:rPr>
              <w:t>"</w:t>
            </w:r>
            <w:r w:rsidRPr="008C79A1">
              <w:rPr>
                <w:rStyle w:val="Hyperlink"/>
                <w:rFonts w:hint="eastAsia"/>
                <w:rtl/>
              </w:rPr>
              <w:t>ל</w:t>
            </w:r>
          </w:hyperlink>
        </w:p>
        <w:p w:rsidR="004820B2" w:rsidRDefault="004820B2" w:rsidP="004820B2">
          <w:pPr>
            <w:pStyle w:val="TOC2"/>
            <w:rPr>
              <w:rFonts w:asciiTheme="minorHAnsi" w:eastAsiaTheme="minorEastAsia" w:hAnsiTheme="minorHAnsi" w:cstheme="minorBidi"/>
            </w:rPr>
          </w:pPr>
          <w:hyperlink w:anchor="_Toc43963091" w:history="1">
            <w:r w:rsidRPr="008C79A1">
              <w:rPr>
                <w:rStyle w:val="Hyperlink"/>
                <w:rFonts w:hint="eastAsia"/>
                <w:rtl/>
              </w:rPr>
              <w:t>תיקון</w:t>
            </w:r>
            <w:r w:rsidRPr="008C79A1">
              <w:rPr>
                <w:rStyle w:val="Hyperlink"/>
                <w:rFonts w:cs="Times New Roman"/>
                <w:rtl/>
                <w:lang w:bidi="ar-SA"/>
              </w:rPr>
              <w:t xml:space="preserve"> </w:t>
            </w:r>
            <w:r w:rsidRPr="008C79A1">
              <w:rPr>
                <w:rStyle w:val="Hyperlink"/>
                <w:rFonts w:hint="eastAsia"/>
                <w:rtl/>
              </w:rPr>
              <w:t>בלקוטי</w:t>
            </w:r>
            <w:r w:rsidRPr="008C79A1">
              <w:rPr>
                <w:rStyle w:val="Hyperlink"/>
                <w:rFonts w:cs="Times New Roman"/>
                <w:rtl/>
                <w:lang w:bidi="ar-SA"/>
              </w:rPr>
              <w:t xml:space="preserve"> </w:t>
            </w:r>
            <w:r w:rsidRPr="008C79A1">
              <w:rPr>
                <w:rStyle w:val="Hyperlink"/>
                <w:rFonts w:hint="eastAsia"/>
                <w:rtl/>
              </w:rPr>
              <w:t>שיחות</w:t>
            </w:r>
            <w:r w:rsidRPr="008C79A1">
              <w:rPr>
                <w:rStyle w:val="Hyperlink"/>
                <w:rFonts w:cs="Times New Roman"/>
                <w:rtl/>
                <w:lang w:bidi="ar-SA"/>
              </w:rPr>
              <w:t xml:space="preserve"> </w:t>
            </w:r>
            <w:r w:rsidRPr="008C79A1">
              <w:rPr>
                <w:rStyle w:val="Hyperlink"/>
                <w:rFonts w:hint="eastAsia"/>
                <w:rtl/>
              </w:rPr>
              <w:t>ח</w:t>
            </w:r>
            <w:r w:rsidRPr="008C79A1">
              <w:rPr>
                <w:rStyle w:val="Hyperlink"/>
                <w:rFonts w:cs="Times New Roman"/>
                <w:rtl/>
                <w:lang w:bidi="ar-SA"/>
              </w:rPr>
              <w:t>"</w:t>
            </w:r>
            <w:r w:rsidRPr="008C79A1">
              <w:rPr>
                <w:rStyle w:val="Hyperlink"/>
                <w:rFonts w:hint="eastAsia"/>
                <w:rtl/>
              </w:rPr>
              <w:t>ה</w:t>
            </w:r>
            <w:r w:rsidRPr="008C79A1">
              <w:rPr>
                <w:rStyle w:val="Hyperlink"/>
                <w:rFonts w:cs="Times New Roman"/>
                <w:rtl/>
                <w:lang w:bidi="ar-SA"/>
              </w:rPr>
              <w:t xml:space="preserve"> </w:t>
            </w:r>
            <w:r w:rsidRPr="008C79A1">
              <w:rPr>
                <w:rStyle w:val="Hyperlink"/>
                <w:rFonts w:hint="eastAsia"/>
                <w:rtl/>
              </w:rPr>
              <w:t>י</w:t>
            </w:r>
            <w:r w:rsidRPr="008C79A1">
              <w:rPr>
                <w:rStyle w:val="Hyperlink"/>
                <w:rFonts w:cs="Times New Roman"/>
                <w:rtl/>
                <w:lang w:bidi="ar-SA"/>
              </w:rPr>
              <w:t>"</w:t>
            </w:r>
            <w:r w:rsidRPr="008C79A1">
              <w:rPr>
                <w:rStyle w:val="Hyperlink"/>
                <w:rFonts w:hint="eastAsia"/>
                <w:rtl/>
              </w:rPr>
              <w:t>ט</w:t>
            </w:r>
            <w:r w:rsidRPr="008C79A1">
              <w:rPr>
                <w:rStyle w:val="Hyperlink"/>
                <w:rFonts w:cs="Times New Roman"/>
                <w:rtl/>
                <w:lang w:bidi="ar-SA"/>
              </w:rPr>
              <w:t xml:space="preserve"> </w:t>
            </w:r>
            <w:r w:rsidRPr="008C79A1">
              <w:rPr>
                <w:rStyle w:val="Hyperlink"/>
                <w:rFonts w:hint="eastAsia"/>
                <w:rtl/>
              </w:rPr>
              <w:t>כסלו</w:t>
            </w:r>
            <w:r>
              <w:rPr>
                <w:webHidden/>
              </w:rPr>
              <w:tab/>
            </w:r>
            <w:r>
              <w:rPr>
                <w:webHidden/>
              </w:rPr>
              <w:fldChar w:fldCharType="begin"/>
            </w:r>
            <w:r>
              <w:rPr>
                <w:webHidden/>
              </w:rPr>
              <w:instrText xml:space="preserve"> PAGEREF _Toc43963091 \h </w:instrText>
            </w:r>
            <w:r>
              <w:rPr>
                <w:webHidden/>
              </w:rPr>
            </w:r>
            <w:r>
              <w:rPr>
                <w:webHidden/>
              </w:rPr>
              <w:fldChar w:fldCharType="separate"/>
            </w:r>
            <w:r w:rsidR="008C1238">
              <w:rPr>
                <w:webHidden/>
                <w:rtl/>
              </w:rPr>
              <w:t>44</w:t>
            </w:r>
            <w:r>
              <w:rPr>
                <w:webHidden/>
              </w:rPr>
              <w:fldChar w:fldCharType="end"/>
            </w:r>
          </w:hyperlink>
        </w:p>
        <w:p w:rsidR="004820B2" w:rsidRDefault="004820B2" w:rsidP="004820B2">
          <w:pPr>
            <w:pStyle w:val="TOC3"/>
            <w:rPr>
              <w:rFonts w:asciiTheme="minorHAnsi" w:eastAsiaTheme="minorEastAsia" w:hAnsiTheme="minorHAnsi" w:cstheme="minorBidi"/>
              <w:sz w:val="22"/>
              <w:szCs w:val="22"/>
              <w:lang w:val="en-US"/>
            </w:rPr>
          </w:pPr>
          <w:hyperlink w:anchor="_Toc43963092" w:history="1">
            <w:r w:rsidRPr="008C79A1">
              <w:rPr>
                <w:rStyle w:val="Hyperlink"/>
                <w:rFonts w:hint="eastAsia"/>
                <w:rtl/>
              </w:rPr>
              <w:t>הרב</w:t>
            </w:r>
            <w:r w:rsidRPr="008C79A1">
              <w:rPr>
                <w:rStyle w:val="Hyperlink"/>
                <w:rtl/>
              </w:rPr>
              <w:t xml:space="preserve"> </w:t>
            </w:r>
            <w:r w:rsidRPr="008C79A1">
              <w:rPr>
                <w:rStyle w:val="Hyperlink"/>
                <w:rFonts w:hint="eastAsia"/>
                <w:rtl/>
              </w:rPr>
              <w:t>נח</w:t>
            </w:r>
            <w:r w:rsidRPr="008C79A1">
              <w:rPr>
                <w:rStyle w:val="Hyperlink"/>
                <w:rtl/>
              </w:rPr>
              <w:t xml:space="preserve"> </w:t>
            </w:r>
            <w:r w:rsidRPr="008C79A1">
              <w:rPr>
                <w:rStyle w:val="Hyperlink"/>
                <w:rFonts w:hint="eastAsia"/>
                <w:rtl/>
              </w:rPr>
              <w:t>יפה</w:t>
            </w:r>
          </w:hyperlink>
        </w:p>
        <w:p w:rsidR="004820B2" w:rsidRDefault="004820B2" w:rsidP="004820B2">
          <w:pPr>
            <w:pStyle w:val="TOC2"/>
            <w:rPr>
              <w:rFonts w:asciiTheme="minorHAnsi" w:eastAsiaTheme="minorEastAsia" w:hAnsiTheme="minorHAnsi" w:cstheme="minorBidi"/>
            </w:rPr>
          </w:pPr>
          <w:hyperlink w:anchor="_Toc43963093" w:history="1">
            <w:r w:rsidRPr="008C79A1">
              <w:rPr>
                <w:rStyle w:val="Hyperlink"/>
                <w:rFonts w:hint="eastAsia"/>
                <w:rtl/>
              </w:rPr>
              <w:t>ההתייחסות</w:t>
            </w:r>
            <w:r w:rsidRPr="008C79A1">
              <w:rPr>
                <w:rStyle w:val="Hyperlink"/>
                <w:rtl/>
              </w:rPr>
              <w:t xml:space="preserve"> </w:t>
            </w:r>
            <w:r w:rsidRPr="008C79A1">
              <w:rPr>
                <w:rStyle w:val="Hyperlink"/>
                <w:rFonts w:hint="eastAsia"/>
                <w:rtl/>
              </w:rPr>
              <w:t>לטבע</w:t>
            </w:r>
            <w:r>
              <w:rPr>
                <w:webHidden/>
              </w:rPr>
              <w:tab/>
            </w:r>
            <w:r>
              <w:rPr>
                <w:webHidden/>
              </w:rPr>
              <w:fldChar w:fldCharType="begin"/>
            </w:r>
            <w:r>
              <w:rPr>
                <w:webHidden/>
              </w:rPr>
              <w:instrText xml:space="preserve"> PAGEREF _Toc43963093 \h </w:instrText>
            </w:r>
            <w:r>
              <w:rPr>
                <w:webHidden/>
              </w:rPr>
            </w:r>
            <w:r>
              <w:rPr>
                <w:webHidden/>
              </w:rPr>
              <w:fldChar w:fldCharType="separate"/>
            </w:r>
            <w:r w:rsidR="008C1238">
              <w:rPr>
                <w:webHidden/>
                <w:rtl/>
              </w:rPr>
              <w:t>45</w:t>
            </w:r>
            <w:r>
              <w:rPr>
                <w:webHidden/>
              </w:rPr>
              <w:fldChar w:fldCharType="end"/>
            </w:r>
          </w:hyperlink>
        </w:p>
        <w:p w:rsidR="004820B2" w:rsidRDefault="004820B2" w:rsidP="004820B2">
          <w:pPr>
            <w:pStyle w:val="TOC3"/>
            <w:rPr>
              <w:rFonts w:asciiTheme="minorHAnsi" w:eastAsiaTheme="minorEastAsia" w:hAnsiTheme="minorHAnsi" w:cstheme="minorBidi"/>
              <w:sz w:val="22"/>
              <w:szCs w:val="22"/>
              <w:lang w:val="en-US"/>
            </w:rPr>
          </w:pPr>
          <w:hyperlink w:anchor="_Toc43963094" w:history="1">
            <w:r w:rsidRPr="008C79A1">
              <w:rPr>
                <w:rStyle w:val="Hyperlink"/>
                <w:rFonts w:hint="eastAsia"/>
                <w:shd w:val="clear" w:color="auto" w:fill="FFFFFF"/>
                <w:rtl/>
              </w:rPr>
              <w:t>הת</w:t>
            </w:r>
            <w:r w:rsidRPr="008C79A1">
              <w:rPr>
                <w:rStyle w:val="Hyperlink"/>
                <w:shd w:val="clear" w:color="auto" w:fill="FFFFFF"/>
                <w:rtl/>
              </w:rPr>
              <w:t xml:space="preserve">' </w:t>
            </w:r>
            <w:r w:rsidRPr="008C79A1">
              <w:rPr>
                <w:rStyle w:val="Hyperlink"/>
                <w:rFonts w:hint="eastAsia"/>
                <w:shd w:val="clear" w:color="auto" w:fill="FFFFFF"/>
                <w:rtl/>
              </w:rPr>
              <w:t>יועז</w:t>
            </w:r>
            <w:r w:rsidRPr="008C79A1">
              <w:rPr>
                <w:rStyle w:val="Hyperlink"/>
                <w:shd w:val="clear" w:color="auto" w:fill="FFFFFF"/>
                <w:rtl/>
              </w:rPr>
              <w:t xml:space="preserve"> </w:t>
            </w:r>
            <w:r w:rsidRPr="008C79A1">
              <w:rPr>
                <w:rStyle w:val="Hyperlink"/>
                <w:rFonts w:hint="eastAsia"/>
                <w:shd w:val="clear" w:color="auto" w:fill="FFFFFF"/>
                <w:rtl/>
              </w:rPr>
              <w:t>קמפבל</w:t>
            </w:r>
          </w:hyperlink>
        </w:p>
        <w:p w:rsidR="004820B2" w:rsidRDefault="004820B2" w:rsidP="004820B2">
          <w:pPr>
            <w:pStyle w:val="TOC2"/>
            <w:rPr>
              <w:rFonts w:asciiTheme="minorHAnsi" w:eastAsiaTheme="minorEastAsia" w:hAnsiTheme="minorHAnsi" w:cstheme="minorBidi"/>
            </w:rPr>
          </w:pPr>
          <w:hyperlink w:anchor="_Toc43963095" w:history="1">
            <w:r w:rsidRPr="008C79A1">
              <w:rPr>
                <w:rStyle w:val="Hyperlink"/>
                <w:rFonts w:eastAsia="Arial Unicode MS" w:hint="eastAsia"/>
                <w:rtl/>
              </w:rPr>
              <w:t>בגדר</w:t>
            </w:r>
            <w:r w:rsidRPr="008C79A1">
              <w:rPr>
                <w:rStyle w:val="Hyperlink"/>
                <w:rFonts w:eastAsia="Arial Unicode MS"/>
                <w:rtl/>
              </w:rPr>
              <w:t xml:space="preserve"> </w:t>
            </w:r>
            <w:r w:rsidRPr="008C79A1">
              <w:rPr>
                <w:rStyle w:val="Hyperlink"/>
                <w:rFonts w:eastAsia="Arial Unicode MS" w:hint="eastAsia"/>
                <w:rtl/>
              </w:rPr>
              <w:t>חיוב</w:t>
            </w:r>
            <w:r w:rsidRPr="008C79A1">
              <w:rPr>
                <w:rStyle w:val="Hyperlink"/>
                <w:rFonts w:eastAsia="Arial Unicode MS"/>
                <w:rtl/>
              </w:rPr>
              <w:t xml:space="preserve"> </w:t>
            </w:r>
            <w:r w:rsidRPr="008C79A1">
              <w:rPr>
                <w:rStyle w:val="Hyperlink"/>
                <w:rFonts w:eastAsia="Arial Unicode MS" w:hint="eastAsia"/>
                <w:rtl/>
              </w:rPr>
              <w:t>הסיבה</w:t>
            </w:r>
            <w:r w:rsidRPr="008C79A1">
              <w:rPr>
                <w:rStyle w:val="Hyperlink"/>
                <w:rFonts w:eastAsia="Arial Unicode MS"/>
                <w:rtl/>
              </w:rPr>
              <w:t xml:space="preserve"> </w:t>
            </w:r>
            <w:r w:rsidRPr="008C79A1">
              <w:rPr>
                <w:rStyle w:val="Hyperlink"/>
                <w:rFonts w:eastAsia="Arial Unicode MS" w:hint="eastAsia"/>
                <w:rtl/>
              </w:rPr>
              <w:t>במשנת</w:t>
            </w:r>
            <w:r w:rsidRPr="008C79A1">
              <w:rPr>
                <w:rStyle w:val="Hyperlink"/>
                <w:rFonts w:eastAsia="Arial Unicode MS"/>
                <w:rtl/>
              </w:rPr>
              <w:t xml:space="preserve"> </w:t>
            </w:r>
            <w:r w:rsidRPr="008C79A1">
              <w:rPr>
                <w:rStyle w:val="Hyperlink"/>
                <w:rFonts w:eastAsia="Arial Unicode MS" w:hint="eastAsia"/>
                <w:rtl/>
              </w:rPr>
              <w:t>הרבי</w:t>
            </w:r>
            <w:r w:rsidRPr="008C79A1">
              <w:rPr>
                <w:rStyle w:val="Hyperlink"/>
                <w:rFonts w:eastAsia="Arial Unicode MS"/>
                <w:rtl/>
              </w:rPr>
              <w:t xml:space="preserve"> </w:t>
            </w:r>
            <w:r w:rsidRPr="008C79A1">
              <w:rPr>
                <w:rStyle w:val="Hyperlink"/>
                <w:rFonts w:ascii="FbVilna Bold" w:hAnsi="FbVilna Bold"/>
                <w:rtl/>
              </w:rPr>
              <w:t>(</w:t>
            </w:r>
            <w:r w:rsidRPr="008C79A1">
              <w:rPr>
                <w:rStyle w:val="Hyperlink"/>
                <w:rFonts w:eastAsia="Arial Unicode MS" w:hint="eastAsia"/>
                <w:rtl/>
              </w:rPr>
              <w:t>ג</w:t>
            </w:r>
            <w:r w:rsidRPr="008C79A1">
              <w:rPr>
                <w:rStyle w:val="Hyperlink"/>
                <w:rFonts w:ascii="FbVilna Bold" w:hAnsi="FbVilna Bold"/>
                <w:rtl/>
              </w:rPr>
              <w:t>)</w:t>
            </w:r>
            <w:r>
              <w:rPr>
                <w:webHidden/>
              </w:rPr>
              <w:tab/>
            </w:r>
            <w:r>
              <w:rPr>
                <w:webHidden/>
              </w:rPr>
              <w:fldChar w:fldCharType="begin"/>
            </w:r>
            <w:r>
              <w:rPr>
                <w:webHidden/>
              </w:rPr>
              <w:instrText xml:space="preserve"> PAGEREF _Toc43963095 \h </w:instrText>
            </w:r>
            <w:r>
              <w:rPr>
                <w:webHidden/>
              </w:rPr>
            </w:r>
            <w:r>
              <w:rPr>
                <w:webHidden/>
              </w:rPr>
              <w:fldChar w:fldCharType="separate"/>
            </w:r>
            <w:r w:rsidR="008C1238">
              <w:rPr>
                <w:webHidden/>
                <w:rtl/>
              </w:rPr>
              <w:t>55</w:t>
            </w:r>
            <w:r>
              <w:rPr>
                <w:webHidden/>
              </w:rPr>
              <w:fldChar w:fldCharType="end"/>
            </w:r>
          </w:hyperlink>
        </w:p>
        <w:p w:rsidR="004820B2" w:rsidRDefault="004820B2" w:rsidP="004820B2">
          <w:pPr>
            <w:pStyle w:val="TOC3"/>
            <w:rPr>
              <w:rFonts w:asciiTheme="minorHAnsi" w:eastAsiaTheme="minorEastAsia" w:hAnsiTheme="minorHAnsi" w:cstheme="minorBidi"/>
              <w:sz w:val="22"/>
              <w:szCs w:val="22"/>
              <w:lang w:val="en-US"/>
            </w:rPr>
          </w:pPr>
          <w:hyperlink w:anchor="_Toc43963096" w:history="1">
            <w:r w:rsidRPr="008C79A1">
              <w:rPr>
                <w:rStyle w:val="Hyperlink"/>
                <w:rFonts w:hint="eastAsia"/>
                <w:rtl/>
              </w:rPr>
              <w:t>הרב</w:t>
            </w:r>
            <w:r w:rsidRPr="008C79A1">
              <w:rPr>
                <w:rStyle w:val="Hyperlink"/>
                <w:rtl/>
              </w:rPr>
              <w:t xml:space="preserve"> </w:t>
            </w:r>
            <w:r w:rsidRPr="008C79A1">
              <w:rPr>
                <w:rStyle w:val="Hyperlink"/>
                <w:rFonts w:hint="eastAsia"/>
                <w:rtl/>
              </w:rPr>
              <w:t>בנימין</w:t>
            </w:r>
            <w:r w:rsidRPr="008C79A1">
              <w:rPr>
                <w:rStyle w:val="Hyperlink"/>
                <w:rtl/>
              </w:rPr>
              <w:t xml:space="preserve"> </w:t>
            </w:r>
            <w:r w:rsidRPr="008C79A1">
              <w:rPr>
                <w:rStyle w:val="Hyperlink"/>
                <w:rFonts w:hint="eastAsia"/>
                <w:rtl/>
              </w:rPr>
              <w:t>אפרים</w:t>
            </w:r>
            <w:r w:rsidRPr="008C79A1">
              <w:rPr>
                <w:rStyle w:val="Hyperlink"/>
                <w:rtl/>
              </w:rPr>
              <w:t xml:space="preserve"> </w:t>
            </w:r>
            <w:r w:rsidRPr="008C79A1">
              <w:rPr>
                <w:rStyle w:val="Hyperlink"/>
                <w:rFonts w:hint="eastAsia"/>
                <w:rtl/>
              </w:rPr>
              <w:t>ביטון</w:t>
            </w:r>
          </w:hyperlink>
        </w:p>
        <w:p w:rsidR="004820B2" w:rsidRDefault="004820B2" w:rsidP="004820B2">
          <w:pPr>
            <w:pStyle w:val="TOC2"/>
            <w:rPr>
              <w:rFonts w:asciiTheme="minorHAnsi" w:eastAsiaTheme="minorEastAsia" w:hAnsiTheme="minorHAnsi" w:cstheme="minorBidi"/>
            </w:rPr>
          </w:pPr>
          <w:hyperlink w:anchor="_Toc43963097" w:history="1">
            <w:r w:rsidRPr="008C79A1">
              <w:rPr>
                <w:rStyle w:val="Hyperlink"/>
                <w:rFonts w:hint="eastAsia"/>
                <w:rtl/>
              </w:rPr>
              <w:t>תפילת</w:t>
            </w:r>
            <w:r w:rsidRPr="008C79A1">
              <w:rPr>
                <w:rStyle w:val="Hyperlink"/>
                <w:rtl/>
              </w:rPr>
              <w:t xml:space="preserve"> </w:t>
            </w:r>
            <w:r w:rsidRPr="008C79A1">
              <w:rPr>
                <w:rStyle w:val="Hyperlink"/>
                <w:rFonts w:hint="eastAsia"/>
                <w:rtl/>
              </w:rPr>
              <w:t>כהן</w:t>
            </w:r>
            <w:r w:rsidRPr="008C79A1">
              <w:rPr>
                <w:rStyle w:val="Hyperlink"/>
                <w:rtl/>
              </w:rPr>
              <w:t xml:space="preserve"> </w:t>
            </w:r>
            <w:r w:rsidRPr="008C79A1">
              <w:rPr>
                <w:rStyle w:val="Hyperlink"/>
                <w:rFonts w:hint="eastAsia"/>
                <w:rtl/>
              </w:rPr>
              <w:t>גדול</w:t>
            </w:r>
            <w:r>
              <w:rPr>
                <w:webHidden/>
              </w:rPr>
              <w:tab/>
            </w:r>
            <w:r>
              <w:rPr>
                <w:webHidden/>
              </w:rPr>
              <w:fldChar w:fldCharType="begin"/>
            </w:r>
            <w:r>
              <w:rPr>
                <w:webHidden/>
              </w:rPr>
              <w:instrText xml:space="preserve"> PAGEREF _Toc43963097 \h </w:instrText>
            </w:r>
            <w:r>
              <w:rPr>
                <w:webHidden/>
              </w:rPr>
            </w:r>
            <w:r>
              <w:rPr>
                <w:webHidden/>
              </w:rPr>
              <w:fldChar w:fldCharType="separate"/>
            </w:r>
            <w:r w:rsidR="008C1238">
              <w:rPr>
                <w:webHidden/>
                <w:rtl/>
              </w:rPr>
              <w:t>62</w:t>
            </w:r>
            <w:r>
              <w:rPr>
                <w:webHidden/>
              </w:rPr>
              <w:fldChar w:fldCharType="end"/>
            </w:r>
          </w:hyperlink>
        </w:p>
        <w:p w:rsidR="004820B2" w:rsidRDefault="004820B2" w:rsidP="002C5DAA">
          <w:pPr>
            <w:pStyle w:val="TOC3"/>
            <w:rPr>
              <w:rStyle w:val="Hyperlink"/>
              <w:rtl/>
            </w:rPr>
          </w:pPr>
          <w:hyperlink w:anchor="_Toc43963098" w:history="1">
            <w:r w:rsidRPr="008C79A1">
              <w:rPr>
                <w:rStyle w:val="Hyperlink"/>
                <w:rFonts w:hint="eastAsia"/>
                <w:rtl/>
              </w:rPr>
              <w:t>הת</w:t>
            </w:r>
            <w:r w:rsidRPr="008C79A1">
              <w:rPr>
                <w:rStyle w:val="Hyperlink"/>
                <w:rtl/>
              </w:rPr>
              <w:t xml:space="preserve">' </w:t>
            </w:r>
            <w:r w:rsidRPr="008C79A1">
              <w:rPr>
                <w:rStyle w:val="Hyperlink"/>
                <w:rFonts w:hint="eastAsia"/>
                <w:rtl/>
              </w:rPr>
              <w:t>משה</w:t>
            </w:r>
            <w:r w:rsidRPr="008C79A1">
              <w:rPr>
                <w:rStyle w:val="Hyperlink"/>
                <w:rtl/>
              </w:rPr>
              <w:t xml:space="preserve"> </w:t>
            </w:r>
            <w:r w:rsidRPr="008C79A1">
              <w:rPr>
                <w:rStyle w:val="Hyperlink"/>
                <w:rFonts w:hint="eastAsia"/>
                <w:rtl/>
              </w:rPr>
              <w:t>צייטאג</w:t>
            </w:r>
          </w:hyperlink>
        </w:p>
        <w:p w:rsidR="002C5DAA" w:rsidRPr="002C5DAA" w:rsidRDefault="002C5DAA" w:rsidP="002C5DAA">
          <w:pPr>
            <w:rPr>
              <w:lang w:val="en-GB"/>
            </w:rPr>
          </w:pPr>
        </w:p>
        <w:p w:rsidR="004820B2" w:rsidRDefault="004820B2" w:rsidP="004820B2">
          <w:pPr>
            <w:pStyle w:val="TOC2"/>
            <w:rPr>
              <w:rFonts w:asciiTheme="minorHAnsi" w:eastAsiaTheme="minorEastAsia" w:hAnsiTheme="minorHAnsi" w:cstheme="minorBidi"/>
            </w:rPr>
          </w:pPr>
          <w:hyperlink w:anchor="_Toc43963099" w:history="1">
            <w:r w:rsidRPr="008C79A1">
              <w:rPr>
                <w:rStyle w:val="Hyperlink"/>
                <w:rFonts w:hint="eastAsia"/>
                <w:rtl/>
              </w:rPr>
              <w:t>בני</w:t>
            </w:r>
            <w:r w:rsidRPr="008C79A1">
              <w:rPr>
                <w:rStyle w:val="Hyperlink"/>
                <w:rtl/>
              </w:rPr>
              <w:t xml:space="preserve"> </w:t>
            </w:r>
            <w:r w:rsidRPr="008C79A1">
              <w:rPr>
                <w:rStyle w:val="Hyperlink"/>
                <w:rFonts w:hint="eastAsia"/>
                <w:rtl/>
              </w:rPr>
              <w:t>אדם</w:t>
            </w:r>
            <w:r w:rsidRPr="008C79A1">
              <w:rPr>
                <w:rStyle w:val="Hyperlink"/>
                <w:rtl/>
              </w:rPr>
              <w:t xml:space="preserve"> </w:t>
            </w:r>
            <w:r w:rsidRPr="008C79A1">
              <w:rPr>
                <w:rStyle w:val="Hyperlink"/>
                <w:rFonts w:hint="eastAsia"/>
                <w:rtl/>
              </w:rPr>
              <w:t>הראשונים</w:t>
            </w:r>
            <w:r w:rsidRPr="008C79A1">
              <w:rPr>
                <w:rStyle w:val="Hyperlink"/>
                <w:rtl/>
              </w:rPr>
              <w:t xml:space="preserve"> </w:t>
            </w:r>
            <w:r w:rsidRPr="008C79A1">
              <w:rPr>
                <w:rStyle w:val="Hyperlink"/>
                <w:rFonts w:hint="eastAsia"/>
                <w:rtl/>
              </w:rPr>
              <w:t>על</w:t>
            </w:r>
            <w:r w:rsidRPr="008C79A1">
              <w:rPr>
                <w:rStyle w:val="Hyperlink"/>
                <w:rtl/>
              </w:rPr>
              <w:t xml:space="preserve"> </w:t>
            </w:r>
            <w:r w:rsidRPr="008C79A1">
              <w:rPr>
                <w:rStyle w:val="Hyperlink"/>
                <w:rFonts w:hint="eastAsia"/>
                <w:rtl/>
              </w:rPr>
              <w:t>אדמת</w:t>
            </w:r>
            <w:r w:rsidRPr="008C79A1">
              <w:rPr>
                <w:rStyle w:val="Hyperlink"/>
                <w:rtl/>
              </w:rPr>
              <w:t xml:space="preserve"> </w:t>
            </w:r>
            <w:r w:rsidRPr="008C79A1">
              <w:rPr>
                <w:rStyle w:val="Hyperlink"/>
                <w:rFonts w:hint="eastAsia"/>
                <w:rtl/>
              </w:rPr>
              <w:t>אמריקא</w:t>
            </w:r>
            <w:r w:rsidRPr="008C79A1">
              <w:rPr>
                <w:rStyle w:val="Hyperlink"/>
                <w:rtl/>
              </w:rPr>
              <w:t xml:space="preserve"> (</w:t>
            </w:r>
            <w:r w:rsidRPr="008C79A1">
              <w:rPr>
                <w:rStyle w:val="Hyperlink"/>
                <w:rFonts w:hint="eastAsia"/>
                <w:rtl/>
              </w:rPr>
              <w:t>גליון</w:t>
            </w:r>
            <w:r w:rsidRPr="008C79A1">
              <w:rPr>
                <w:rStyle w:val="Hyperlink"/>
                <w:rtl/>
              </w:rPr>
              <w:t>)</w:t>
            </w:r>
            <w:r>
              <w:rPr>
                <w:webHidden/>
              </w:rPr>
              <w:tab/>
            </w:r>
            <w:r>
              <w:rPr>
                <w:webHidden/>
              </w:rPr>
              <w:fldChar w:fldCharType="begin"/>
            </w:r>
            <w:r>
              <w:rPr>
                <w:webHidden/>
              </w:rPr>
              <w:instrText xml:space="preserve"> PAGEREF _Toc43963099 \h </w:instrText>
            </w:r>
            <w:r>
              <w:rPr>
                <w:webHidden/>
              </w:rPr>
            </w:r>
            <w:r>
              <w:rPr>
                <w:webHidden/>
              </w:rPr>
              <w:fldChar w:fldCharType="separate"/>
            </w:r>
            <w:r w:rsidR="008C1238">
              <w:rPr>
                <w:webHidden/>
                <w:rtl/>
              </w:rPr>
              <w:t>73</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00" w:history="1">
            <w:r w:rsidRPr="008C79A1">
              <w:rPr>
                <w:rStyle w:val="Hyperlink"/>
                <w:rFonts w:hint="eastAsia"/>
                <w:shd w:val="clear" w:color="auto" w:fill="FFFFFF"/>
                <w:rtl/>
              </w:rPr>
              <w:t>הרב</w:t>
            </w:r>
            <w:r w:rsidRPr="008C79A1">
              <w:rPr>
                <w:rStyle w:val="Hyperlink"/>
                <w:shd w:val="clear" w:color="auto" w:fill="FFFFFF"/>
                <w:rtl/>
              </w:rPr>
              <w:t xml:space="preserve"> </w:t>
            </w:r>
            <w:r w:rsidRPr="008C79A1">
              <w:rPr>
                <w:rStyle w:val="Hyperlink"/>
                <w:rFonts w:hint="eastAsia"/>
                <w:shd w:val="clear" w:color="auto" w:fill="FFFFFF"/>
                <w:rtl/>
              </w:rPr>
              <w:t>מנחם</w:t>
            </w:r>
            <w:r w:rsidRPr="008C79A1">
              <w:rPr>
                <w:rStyle w:val="Hyperlink"/>
                <w:shd w:val="clear" w:color="auto" w:fill="FFFFFF"/>
                <w:rtl/>
              </w:rPr>
              <w:t xml:space="preserve"> </w:t>
            </w:r>
            <w:r w:rsidRPr="008C79A1">
              <w:rPr>
                <w:rStyle w:val="Hyperlink"/>
                <w:rFonts w:hint="eastAsia"/>
                <w:shd w:val="clear" w:color="auto" w:fill="FFFFFF"/>
                <w:rtl/>
              </w:rPr>
              <w:t>מענדל</w:t>
            </w:r>
            <w:r w:rsidRPr="008C79A1">
              <w:rPr>
                <w:rStyle w:val="Hyperlink"/>
                <w:shd w:val="clear" w:color="auto" w:fill="FFFFFF"/>
                <w:rtl/>
              </w:rPr>
              <w:t xml:space="preserve"> </w:t>
            </w:r>
            <w:r w:rsidRPr="008C79A1">
              <w:rPr>
                <w:rStyle w:val="Hyperlink"/>
                <w:rFonts w:hint="eastAsia"/>
                <w:shd w:val="clear" w:color="auto" w:fill="FFFFFF"/>
                <w:rtl/>
              </w:rPr>
              <w:t>מישולבין</w:t>
            </w:r>
          </w:hyperlink>
        </w:p>
        <w:p w:rsidR="004820B2" w:rsidRDefault="004820B2" w:rsidP="002C5DAA">
          <w:pPr>
            <w:pStyle w:val="TOC1"/>
            <w:rPr>
              <w:rFonts w:asciiTheme="minorHAnsi" w:eastAsiaTheme="minorEastAsia" w:hAnsiTheme="minorHAnsi" w:cstheme="minorBidi"/>
              <w:sz w:val="22"/>
              <w:szCs w:val="22"/>
            </w:rPr>
          </w:pPr>
          <w:hyperlink w:anchor="_Toc43963101" w:history="1">
            <w:r w:rsidRPr="008C79A1">
              <w:rPr>
                <w:rStyle w:val="Hyperlink"/>
                <w:rFonts w:hint="eastAsia"/>
                <w:rtl/>
              </w:rPr>
              <w:t>נגלה</w:t>
            </w:r>
          </w:hyperlink>
        </w:p>
        <w:p w:rsidR="004820B2" w:rsidRDefault="004820B2" w:rsidP="004820B2">
          <w:pPr>
            <w:pStyle w:val="TOC2"/>
            <w:rPr>
              <w:rFonts w:asciiTheme="minorHAnsi" w:eastAsiaTheme="minorEastAsia" w:hAnsiTheme="minorHAnsi" w:cstheme="minorBidi"/>
            </w:rPr>
          </w:pPr>
          <w:hyperlink w:anchor="_Toc43963102" w:history="1">
            <w:r w:rsidRPr="008C79A1">
              <w:rPr>
                <w:rStyle w:val="Hyperlink"/>
                <w:rFonts w:hint="eastAsia"/>
                <w:rtl/>
              </w:rPr>
              <w:t>שלוחו</w:t>
            </w:r>
            <w:r w:rsidRPr="008C79A1">
              <w:rPr>
                <w:rStyle w:val="Hyperlink"/>
                <w:rtl/>
              </w:rPr>
              <w:t xml:space="preserve"> </w:t>
            </w:r>
            <w:r w:rsidRPr="008C79A1">
              <w:rPr>
                <w:rStyle w:val="Hyperlink"/>
                <w:rFonts w:hint="eastAsia"/>
                <w:rtl/>
              </w:rPr>
              <w:t>של</w:t>
            </w:r>
            <w:r w:rsidRPr="008C79A1">
              <w:rPr>
                <w:rStyle w:val="Hyperlink"/>
                <w:rtl/>
              </w:rPr>
              <w:t xml:space="preserve"> </w:t>
            </w:r>
            <w:r w:rsidRPr="008C79A1">
              <w:rPr>
                <w:rStyle w:val="Hyperlink"/>
                <w:rFonts w:hint="eastAsia"/>
                <w:rtl/>
              </w:rPr>
              <w:t>אדם</w:t>
            </w:r>
            <w:r w:rsidRPr="008C79A1">
              <w:rPr>
                <w:rStyle w:val="Hyperlink"/>
                <w:rtl/>
              </w:rPr>
              <w:t xml:space="preserve"> </w:t>
            </w:r>
            <w:r w:rsidRPr="008C79A1">
              <w:rPr>
                <w:rStyle w:val="Hyperlink"/>
                <w:rFonts w:hint="eastAsia"/>
                <w:rtl/>
              </w:rPr>
              <w:t>כמותו</w:t>
            </w:r>
            <w:r w:rsidRPr="008C79A1">
              <w:rPr>
                <w:rStyle w:val="Hyperlink"/>
                <w:rtl/>
              </w:rPr>
              <w:t xml:space="preserve"> </w:t>
            </w:r>
            <w:r w:rsidRPr="008C79A1">
              <w:rPr>
                <w:rStyle w:val="Hyperlink"/>
                <w:rFonts w:hint="eastAsia"/>
                <w:rtl/>
              </w:rPr>
              <w:t>בפירוש</w:t>
            </w:r>
            <w:r w:rsidRPr="008C79A1">
              <w:rPr>
                <w:rStyle w:val="Hyperlink"/>
                <w:rtl/>
              </w:rPr>
              <w:t xml:space="preserve"> </w:t>
            </w:r>
            <w:r w:rsidRPr="008C79A1">
              <w:rPr>
                <w:rStyle w:val="Hyperlink"/>
                <w:rFonts w:hint="eastAsia"/>
                <w:rtl/>
              </w:rPr>
              <w:t>רש</w:t>
            </w:r>
            <w:r w:rsidRPr="008C79A1">
              <w:rPr>
                <w:rStyle w:val="Hyperlink"/>
                <w:rtl/>
              </w:rPr>
              <w:t>"</w:t>
            </w:r>
            <w:r w:rsidRPr="008C79A1">
              <w:rPr>
                <w:rStyle w:val="Hyperlink"/>
                <w:rFonts w:hint="eastAsia"/>
                <w:rtl/>
              </w:rPr>
              <w:t>י</w:t>
            </w:r>
            <w:r w:rsidRPr="008C79A1">
              <w:rPr>
                <w:rStyle w:val="Hyperlink"/>
                <w:rtl/>
              </w:rPr>
              <w:t xml:space="preserve"> </w:t>
            </w:r>
            <w:r w:rsidRPr="008C79A1">
              <w:rPr>
                <w:rStyle w:val="Hyperlink"/>
                <w:rFonts w:hint="eastAsia"/>
                <w:rtl/>
              </w:rPr>
              <w:t>על</w:t>
            </w:r>
            <w:r w:rsidRPr="008C79A1">
              <w:rPr>
                <w:rStyle w:val="Hyperlink"/>
                <w:rtl/>
              </w:rPr>
              <w:t xml:space="preserve"> </w:t>
            </w:r>
            <w:r w:rsidRPr="008C79A1">
              <w:rPr>
                <w:rStyle w:val="Hyperlink"/>
                <w:rFonts w:hint="eastAsia"/>
                <w:rtl/>
              </w:rPr>
              <w:t>התורה</w:t>
            </w:r>
            <w:r>
              <w:rPr>
                <w:webHidden/>
              </w:rPr>
              <w:tab/>
            </w:r>
            <w:r>
              <w:rPr>
                <w:webHidden/>
              </w:rPr>
              <w:fldChar w:fldCharType="begin"/>
            </w:r>
            <w:r>
              <w:rPr>
                <w:webHidden/>
              </w:rPr>
              <w:instrText xml:space="preserve"> PAGEREF _Toc43963102 \h </w:instrText>
            </w:r>
            <w:r>
              <w:rPr>
                <w:webHidden/>
              </w:rPr>
            </w:r>
            <w:r>
              <w:rPr>
                <w:webHidden/>
              </w:rPr>
              <w:fldChar w:fldCharType="separate"/>
            </w:r>
            <w:r w:rsidR="008C1238">
              <w:rPr>
                <w:webHidden/>
                <w:rtl/>
              </w:rPr>
              <w:t>75</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03" w:history="1">
            <w:r w:rsidRPr="008C79A1">
              <w:rPr>
                <w:rStyle w:val="Hyperlink"/>
                <w:rFonts w:hint="eastAsia"/>
                <w:rtl/>
              </w:rPr>
              <w:t>הרב</w:t>
            </w:r>
            <w:r w:rsidRPr="008C79A1">
              <w:rPr>
                <w:rStyle w:val="Hyperlink"/>
                <w:rtl/>
              </w:rPr>
              <w:t xml:space="preserve"> </w:t>
            </w:r>
            <w:r w:rsidRPr="008C79A1">
              <w:rPr>
                <w:rStyle w:val="Hyperlink"/>
                <w:rFonts w:hint="eastAsia"/>
                <w:rtl/>
              </w:rPr>
              <w:t>אליהו</w:t>
            </w:r>
            <w:r w:rsidRPr="008C79A1">
              <w:rPr>
                <w:rStyle w:val="Hyperlink"/>
                <w:rtl/>
              </w:rPr>
              <w:t xml:space="preserve"> </w:t>
            </w:r>
            <w:r w:rsidRPr="008C79A1">
              <w:rPr>
                <w:rStyle w:val="Hyperlink"/>
                <w:rFonts w:hint="eastAsia"/>
                <w:rtl/>
              </w:rPr>
              <w:t>נתן</w:t>
            </w:r>
            <w:r w:rsidRPr="008C79A1">
              <w:rPr>
                <w:rStyle w:val="Hyperlink"/>
                <w:rtl/>
              </w:rPr>
              <w:t xml:space="preserve"> </w:t>
            </w:r>
            <w:r w:rsidRPr="008C79A1">
              <w:rPr>
                <w:rStyle w:val="Hyperlink"/>
                <w:rFonts w:hint="eastAsia"/>
                <w:rtl/>
              </w:rPr>
              <w:t>הכהן</w:t>
            </w:r>
            <w:r w:rsidRPr="008C79A1">
              <w:rPr>
                <w:rStyle w:val="Hyperlink"/>
                <w:rtl/>
              </w:rPr>
              <w:t xml:space="preserve"> </w:t>
            </w:r>
            <w:r w:rsidRPr="008C79A1">
              <w:rPr>
                <w:rStyle w:val="Hyperlink"/>
                <w:rFonts w:hint="eastAsia"/>
                <w:rtl/>
              </w:rPr>
              <w:t>סילבערבערג</w:t>
            </w:r>
          </w:hyperlink>
        </w:p>
        <w:p w:rsidR="004820B2" w:rsidRDefault="004820B2" w:rsidP="004820B2">
          <w:pPr>
            <w:pStyle w:val="TOC2"/>
            <w:rPr>
              <w:rFonts w:asciiTheme="minorHAnsi" w:eastAsiaTheme="minorEastAsia" w:hAnsiTheme="minorHAnsi" w:cstheme="minorBidi"/>
            </w:rPr>
          </w:pPr>
          <w:hyperlink w:anchor="_Toc43963104" w:history="1">
            <w:r w:rsidRPr="008C79A1">
              <w:rPr>
                <w:rStyle w:val="Hyperlink"/>
                <w:rFonts w:hint="eastAsia"/>
                <w:rtl/>
              </w:rPr>
              <w:t>רבא</w:t>
            </w:r>
            <w:r w:rsidRPr="008C79A1">
              <w:rPr>
                <w:rStyle w:val="Hyperlink"/>
                <w:rtl/>
              </w:rPr>
              <w:t xml:space="preserve"> </w:t>
            </w:r>
            <w:r w:rsidRPr="008C79A1">
              <w:rPr>
                <w:rStyle w:val="Hyperlink"/>
                <w:rFonts w:hint="eastAsia"/>
                <w:rtl/>
              </w:rPr>
              <w:t>כרב</w:t>
            </w:r>
            <w:r w:rsidRPr="008C79A1">
              <w:rPr>
                <w:rStyle w:val="Hyperlink"/>
                <w:rtl/>
              </w:rPr>
              <w:t xml:space="preserve"> </w:t>
            </w:r>
            <w:r w:rsidRPr="008C79A1">
              <w:rPr>
                <w:rStyle w:val="Hyperlink"/>
                <w:rFonts w:hint="eastAsia"/>
                <w:rtl/>
              </w:rPr>
              <w:t>נחמן</w:t>
            </w:r>
            <w:r>
              <w:rPr>
                <w:webHidden/>
              </w:rPr>
              <w:tab/>
            </w:r>
            <w:r>
              <w:rPr>
                <w:webHidden/>
              </w:rPr>
              <w:fldChar w:fldCharType="begin"/>
            </w:r>
            <w:r>
              <w:rPr>
                <w:webHidden/>
              </w:rPr>
              <w:instrText xml:space="preserve"> PAGEREF _Toc43963104 \h </w:instrText>
            </w:r>
            <w:r>
              <w:rPr>
                <w:webHidden/>
              </w:rPr>
            </w:r>
            <w:r>
              <w:rPr>
                <w:webHidden/>
              </w:rPr>
              <w:fldChar w:fldCharType="separate"/>
            </w:r>
            <w:r w:rsidR="008C1238">
              <w:rPr>
                <w:webHidden/>
                <w:rtl/>
              </w:rPr>
              <w:t>79</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05" w:history="1">
            <w:r w:rsidRPr="008C79A1">
              <w:rPr>
                <w:rStyle w:val="Hyperlink"/>
                <w:rFonts w:hint="eastAsia"/>
                <w:rtl/>
              </w:rPr>
              <w:t>הרב</w:t>
            </w:r>
            <w:r w:rsidRPr="008C79A1">
              <w:rPr>
                <w:rStyle w:val="Hyperlink"/>
                <w:rtl/>
              </w:rPr>
              <w:t xml:space="preserve"> </w:t>
            </w:r>
            <w:r w:rsidRPr="008C79A1">
              <w:rPr>
                <w:rStyle w:val="Hyperlink"/>
                <w:rFonts w:hint="eastAsia"/>
                <w:rtl/>
              </w:rPr>
              <w:t>שמעון</w:t>
            </w:r>
            <w:r w:rsidRPr="008C79A1">
              <w:rPr>
                <w:rStyle w:val="Hyperlink"/>
                <w:rtl/>
              </w:rPr>
              <w:t xml:space="preserve"> </w:t>
            </w:r>
            <w:r w:rsidRPr="008C79A1">
              <w:rPr>
                <w:rStyle w:val="Hyperlink"/>
                <w:rFonts w:hint="eastAsia"/>
                <w:rtl/>
              </w:rPr>
              <w:t>בן</w:t>
            </w:r>
            <w:r w:rsidRPr="008C79A1">
              <w:rPr>
                <w:rStyle w:val="Hyperlink"/>
                <w:rtl/>
              </w:rPr>
              <w:t xml:space="preserve"> </w:t>
            </w:r>
            <w:r w:rsidRPr="008C79A1">
              <w:rPr>
                <w:rStyle w:val="Hyperlink"/>
                <w:rFonts w:hint="eastAsia"/>
                <w:rtl/>
              </w:rPr>
              <w:t>ציון</w:t>
            </w:r>
            <w:r w:rsidRPr="008C79A1">
              <w:rPr>
                <w:rStyle w:val="Hyperlink"/>
                <w:rtl/>
              </w:rPr>
              <w:t xml:space="preserve"> </w:t>
            </w:r>
            <w:r w:rsidRPr="008C79A1">
              <w:rPr>
                <w:rStyle w:val="Hyperlink"/>
                <w:rFonts w:hint="eastAsia"/>
                <w:rtl/>
              </w:rPr>
              <w:t>אייזנבך</w:t>
            </w:r>
          </w:hyperlink>
        </w:p>
        <w:p w:rsidR="004820B2" w:rsidRDefault="004820B2" w:rsidP="004820B2">
          <w:pPr>
            <w:pStyle w:val="TOC2"/>
            <w:rPr>
              <w:rFonts w:asciiTheme="minorHAnsi" w:eastAsiaTheme="minorEastAsia" w:hAnsiTheme="minorHAnsi" w:cstheme="minorBidi"/>
            </w:rPr>
          </w:pPr>
          <w:hyperlink w:anchor="_Toc43963106" w:history="1">
            <w:r w:rsidRPr="008C79A1">
              <w:rPr>
                <w:rStyle w:val="Hyperlink"/>
                <w:rFonts w:hint="eastAsia"/>
                <w:rtl/>
              </w:rPr>
              <w:t>קטנים</w:t>
            </w:r>
            <w:r w:rsidRPr="008C79A1">
              <w:rPr>
                <w:rStyle w:val="Hyperlink"/>
                <w:rtl/>
              </w:rPr>
              <w:t xml:space="preserve"> </w:t>
            </w:r>
            <w:r w:rsidRPr="008C79A1">
              <w:rPr>
                <w:rStyle w:val="Hyperlink"/>
                <w:rFonts w:hint="eastAsia"/>
                <w:rtl/>
              </w:rPr>
              <w:t>לאו</w:t>
            </w:r>
            <w:r w:rsidRPr="008C79A1">
              <w:rPr>
                <w:rStyle w:val="Hyperlink"/>
                <w:rtl/>
              </w:rPr>
              <w:t xml:space="preserve"> </w:t>
            </w:r>
            <w:r w:rsidRPr="008C79A1">
              <w:rPr>
                <w:rStyle w:val="Hyperlink"/>
                <w:rFonts w:hint="eastAsia"/>
                <w:rtl/>
              </w:rPr>
              <w:t>בני</w:t>
            </w:r>
            <w:r w:rsidRPr="008C79A1">
              <w:rPr>
                <w:rStyle w:val="Hyperlink"/>
                <w:rtl/>
              </w:rPr>
              <w:t xml:space="preserve"> </w:t>
            </w:r>
            <w:r w:rsidRPr="008C79A1">
              <w:rPr>
                <w:rStyle w:val="Hyperlink"/>
                <w:rFonts w:hint="eastAsia"/>
                <w:rtl/>
              </w:rPr>
              <w:t>שליחות</w:t>
            </w:r>
            <w:r w:rsidRPr="008C79A1">
              <w:rPr>
                <w:rStyle w:val="Hyperlink"/>
                <w:rtl/>
              </w:rPr>
              <w:t xml:space="preserve"> </w:t>
            </w:r>
            <w:r w:rsidRPr="008C79A1">
              <w:rPr>
                <w:rStyle w:val="Hyperlink"/>
                <w:rFonts w:hint="eastAsia"/>
                <w:rtl/>
              </w:rPr>
              <w:t>נינהו</w:t>
            </w:r>
            <w:r>
              <w:rPr>
                <w:webHidden/>
              </w:rPr>
              <w:tab/>
            </w:r>
            <w:r>
              <w:rPr>
                <w:webHidden/>
              </w:rPr>
              <w:fldChar w:fldCharType="begin"/>
            </w:r>
            <w:r>
              <w:rPr>
                <w:webHidden/>
              </w:rPr>
              <w:instrText xml:space="preserve"> PAGEREF _Toc43963106 \h </w:instrText>
            </w:r>
            <w:r>
              <w:rPr>
                <w:webHidden/>
              </w:rPr>
            </w:r>
            <w:r>
              <w:rPr>
                <w:webHidden/>
              </w:rPr>
              <w:fldChar w:fldCharType="separate"/>
            </w:r>
            <w:r w:rsidR="008C1238">
              <w:rPr>
                <w:webHidden/>
                <w:rtl/>
              </w:rPr>
              <w:t>82</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07" w:history="1">
            <w:r w:rsidRPr="008C79A1">
              <w:rPr>
                <w:rStyle w:val="Hyperlink"/>
                <w:rFonts w:hint="eastAsia"/>
                <w:rtl/>
              </w:rPr>
              <w:t>הרב</w:t>
            </w:r>
            <w:r w:rsidRPr="008C79A1">
              <w:rPr>
                <w:rStyle w:val="Hyperlink"/>
                <w:rtl/>
              </w:rPr>
              <w:t xml:space="preserve"> </w:t>
            </w:r>
            <w:r w:rsidRPr="008C79A1">
              <w:rPr>
                <w:rStyle w:val="Hyperlink"/>
                <w:rFonts w:hint="eastAsia"/>
                <w:rtl/>
              </w:rPr>
              <w:t>לוי</w:t>
            </w:r>
            <w:r w:rsidRPr="008C79A1">
              <w:rPr>
                <w:rStyle w:val="Hyperlink"/>
                <w:rtl/>
              </w:rPr>
              <w:t xml:space="preserve"> </w:t>
            </w:r>
            <w:r w:rsidRPr="008C79A1">
              <w:rPr>
                <w:rStyle w:val="Hyperlink"/>
                <w:rFonts w:hint="eastAsia"/>
                <w:rtl/>
              </w:rPr>
              <w:t>שטרן</w:t>
            </w:r>
          </w:hyperlink>
        </w:p>
        <w:p w:rsidR="004820B2" w:rsidRDefault="004820B2" w:rsidP="004820B2">
          <w:pPr>
            <w:pStyle w:val="TOC2"/>
            <w:rPr>
              <w:rFonts w:asciiTheme="minorHAnsi" w:eastAsiaTheme="minorEastAsia" w:hAnsiTheme="minorHAnsi" w:cstheme="minorBidi"/>
            </w:rPr>
          </w:pPr>
          <w:hyperlink w:anchor="_Toc43963108" w:history="1">
            <w:r w:rsidRPr="008C79A1">
              <w:rPr>
                <w:rStyle w:val="Hyperlink"/>
                <w:rFonts w:hint="eastAsia"/>
                <w:rtl/>
              </w:rPr>
              <w:t>ביאור</w:t>
            </w:r>
            <w:r w:rsidRPr="008C79A1">
              <w:rPr>
                <w:rStyle w:val="Hyperlink"/>
                <w:rtl/>
              </w:rPr>
              <w:t xml:space="preserve"> </w:t>
            </w:r>
            <w:r w:rsidRPr="008C79A1">
              <w:rPr>
                <w:rStyle w:val="Hyperlink"/>
                <w:rFonts w:hint="eastAsia"/>
                <w:rtl/>
              </w:rPr>
              <w:t>בבן</w:t>
            </w:r>
            <w:r w:rsidRPr="008C79A1">
              <w:rPr>
                <w:rStyle w:val="Hyperlink"/>
                <w:rtl/>
              </w:rPr>
              <w:t xml:space="preserve"> </w:t>
            </w:r>
            <w:r w:rsidRPr="008C79A1">
              <w:rPr>
                <w:rStyle w:val="Hyperlink"/>
                <w:rFonts w:hint="eastAsia"/>
                <w:rtl/>
              </w:rPr>
              <w:t>בג</w:t>
            </w:r>
            <w:r w:rsidRPr="008C79A1">
              <w:rPr>
                <w:rStyle w:val="Hyperlink"/>
                <w:rtl/>
              </w:rPr>
              <w:t xml:space="preserve"> </w:t>
            </w:r>
            <w:r w:rsidRPr="008C79A1">
              <w:rPr>
                <w:rStyle w:val="Hyperlink"/>
                <w:rFonts w:hint="eastAsia"/>
                <w:rtl/>
              </w:rPr>
              <w:t>בג</w:t>
            </w:r>
            <w:r w:rsidRPr="008C79A1">
              <w:rPr>
                <w:rStyle w:val="Hyperlink"/>
                <w:rtl/>
              </w:rPr>
              <w:t xml:space="preserve"> </w:t>
            </w:r>
            <w:r w:rsidRPr="008C79A1">
              <w:rPr>
                <w:rStyle w:val="Hyperlink"/>
                <w:rFonts w:hint="eastAsia"/>
                <w:rtl/>
              </w:rPr>
              <w:t>במס</w:t>
            </w:r>
            <w:r w:rsidRPr="008C79A1">
              <w:rPr>
                <w:rStyle w:val="Hyperlink"/>
                <w:rtl/>
              </w:rPr>
              <w:t xml:space="preserve">' </w:t>
            </w:r>
            <w:r w:rsidRPr="008C79A1">
              <w:rPr>
                <w:rStyle w:val="Hyperlink"/>
                <w:rFonts w:hint="eastAsia"/>
                <w:rtl/>
              </w:rPr>
              <w:t>ב</w:t>
            </w:r>
            <w:r w:rsidRPr="008C79A1">
              <w:rPr>
                <w:rStyle w:val="Hyperlink"/>
                <w:rtl/>
              </w:rPr>
              <w:t>"</w:t>
            </w:r>
            <w:r w:rsidRPr="008C79A1">
              <w:rPr>
                <w:rStyle w:val="Hyperlink"/>
                <w:rFonts w:hint="eastAsia"/>
                <w:rtl/>
              </w:rPr>
              <w:t>ק</w:t>
            </w:r>
            <w:r w:rsidRPr="008C79A1">
              <w:rPr>
                <w:rStyle w:val="Hyperlink"/>
                <w:rtl/>
              </w:rPr>
              <w:t xml:space="preserve"> (</w:t>
            </w:r>
            <w:r w:rsidRPr="008C79A1">
              <w:rPr>
                <w:rStyle w:val="Hyperlink"/>
                <w:rFonts w:hint="eastAsia"/>
                <w:rtl/>
              </w:rPr>
              <w:t>א</w:t>
            </w:r>
            <w:r w:rsidRPr="008C79A1">
              <w:rPr>
                <w:rStyle w:val="Hyperlink"/>
                <w:rtl/>
              </w:rPr>
              <w:t>)</w:t>
            </w:r>
            <w:r>
              <w:rPr>
                <w:webHidden/>
              </w:rPr>
              <w:tab/>
            </w:r>
            <w:r>
              <w:rPr>
                <w:webHidden/>
              </w:rPr>
              <w:fldChar w:fldCharType="begin"/>
            </w:r>
            <w:r>
              <w:rPr>
                <w:webHidden/>
              </w:rPr>
              <w:instrText xml:space="preserve"> PAGEREF _Toc43963108 \h </w:instrText>
            </w:r>
            <w:r>
              <w:rPr>
                <w:webHidden/>
              </w:rPr>
            </w:r>
            <w:r>
              <w:rPr>
                <w:webHidden/>
              </w:rPr>
              <w:fldChar w:fldCharType="separate"/>
            </w:r>
            <w:r w:rsidR="008C1238">
              <w:rPr>
                <w:webHidden/>
                <w:rtl/>
              </w:rPr>
              <w:t>90</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09" w:history="1">
            <w:r w:rsidRPr="008C79A1">
              <w:rPr>
                <w:rStyle w:val="Hyperlink"/>
                <w:rFonts w:hint="eastAsia"/>
                <w:rtl/>
              </w:rPr>
              <w:t>הרב</w:t>
            </w:r>
            <w:r w:rsidRPr="008C79A1">
              <w:rPr>
                <w:rStyle w:val="Hyperlink"/>
                <w:rtl/>
              </w:rPr>
              <w:t xml:space="preserve"> </w:t>
            </w:r>
            <w:r w:rsidRPr="008C79A1">
              <w:rPr>
                <w:rStyle w:val="Hyperlink"/>
                <w:rFonts w:hint="eastAsia"/>
                <w:rtl/>
              </w:rPr>
              <w:t>מרדכי</w:t>
            </w:r>
            <w:r w:rsidRPr="008C79A1">
              <w:rPr>
                <w:rStyle w:val="Hyperlink"/>
                <w:rtl/>
              </w:rPr>
              <w:t xml:space="preserve"> </w:t>
            </w:r>
            <w:r w:rsidRPr="008C79A1">
              <w:rPr>
                <w:rStyle w:val="Hyperlink"/>
                <w:rFonts w:hint="eastAsia"/>
                <w:rtl/>
              </w:rPr>
              <w:t>רובין</w:t>
            </w:r>
          </w:hyperlink>
        </w:p>
        <w:p w:rsidR="004820B2" w:rsidRDefault="004820B2" w:rsidP="004820B2">
          <w:pPr>
            <w:pStyle w:val="TOC2"/>
            <w:rPr>
              <w:rFonts w:asciiTheme="minorHAnsi" w:eastAsiaTheme="minorEastAsia" w:hAnsiTheme="minorHAnsi" w:cstheme="minorBidi"/>
            </w:rPr>
          </w:pPr>
          <w:hyperlink w:anchor="_Toc43963110" w:history="1">
            <w:r w:rsidRPr="008C79A1">
              <w:rPr>
                <w:rStyle w:val="Hyperlink"/>
                <w:rFonts w:hint="eastAsia"/>
                <w:rtl/>
              </w:rPr>
              <w:t>פיטום</w:t>
            </w:r>
            <w:r w:rsidRPr="008C79A1">
              <w:rPr>
                <w:rStyle w:val="Hyperlink"/>
                <w:rtl/>
              </w:rPr>
              <w:t xml:space="preserve"> </w:t>
            </w:r>
            <w:r w:rsidRPr="008C79A1">
              <w:rPr>
                <w:rStyle w:val="Hyperlink"/>
                <w:rFonts w:hint="eastAsia"/>
                <w:rtl/>
              </w:rPr>
              <w:t>הקטורת</w:t>
            </w:r>
            <w:r w:rsidRPr="008C79A1">
              <w:rPr>
                <w:rStyle w:val="Hyperlink"/>
                <w:rtl/>
              </w:rPr>
              <w:t xml:space="preserve"> - </w:t>
            </w:r>
            <w:r w:rsidRPr="008C79A1">
              <w:rPr>
                <w:rStyle w:val="Hyperlink"/>
                <w:rFonts w:hint="eastAsia"/>
                <w:rtl/>
              </w:rPr>
              <w:t>מתי</w:t>
            </w:r>
            <w:r w:rsidRPr="008C79A1">
              <w:rPr>
                <w:rStyle w:val="Hyperlink"/>
                <w:rtl/>
              </w:rPr>
              <w:t>?</w:t>
            </w:r>
            <w:r>
              <w:rPr>
                <w:webHidden/>
              </w:rPr>
              <w:tab/>
            </w:r>
            <w:r>
              <w:rPr>
                <w:webHidden/>
              </w:rPr>
              <w:fldChar w:fldCharType="begin"/>
            </w:r>
            <w:r>
              <w:rPr>
                <w:webHidden/>
              </w:rPr>
              <w:instrText xml:space="preserve"> PAGEREF _Toc43963110 \h </w:instrText>
            </w:r>
            <w:r>
              <w:rPr>
                <w:webHidden/>
              </w:rPr>
            </w:r>
            <w:r>
              <w:rPr>
                <w:webHidden/>
              </w:rPr>
              <w:fldChar w:fldCharType="separate"/>
            </w:r>
            <w:r w:rsidR="008C1238">
              <w:rPr>
                <w:webHidden/>
                <w:rtl/>
              </w:rPr>
              <w:t>92</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11" w:history="1">
            <w:r w:rsidRPr="008C79A1">
              <w:rPr>
                <w:rStyle w:val="Hyperlink"/>
                <w:rFonts w:hint="eastAsia"/>
                <w:rtl/>
              </w:rPr>
              <w:t>הרב</w:t>
            </w:r>
            <w:r w:rsidRPr="008C79A1">
              <w:rPr>
                <w:rStyle w:val="Hyperlink"/>
                <w:rtl/>
              </w:rPr>
              <w:t xml:space="preserve"> </w:t>
            </w:r>
            <w:r w:rsidRPr="008C79A1">
              <w:rPr>
                <w:rStyle w:val="Hyperlink"/>
                <w:rFonts w:hint="eastAsia"/>
                <w:rtl/>
              </w:rPr>
              <w:t>משה</w:t>
            </w:r>
            <w:r w:rsidRPr="008C79A1">
              <w:rPr>
                <w:rStyle w:val="Hyperlink"/>
                <w:rtl/>
              </w:rPr>
              <w:t xml:space="preserve"> </w:t>
            </w:r>
            <w:r w:rsidRPr="008C79A1">
              <w:rPr>
                <w:rStyle w:val="Hyperlink"/>
                <w:rFonts w:hint="eastAsia"/>
                <w:rtl/>
              </w:rPr>
              <w:t>רבינוביץ</w:t>
            </w:r>
          </w:hyperlink>
        </w:p>
        <w:p w:rsidR="004820B2" w:rsidRDefault="004820B2" w:rsidP="004820B2">
          <w:pPr>
            <w:pStyle w:val="TOC2"/>
            <w:rPr>
              <w:rFonts w:asciiTheme="minorHAnsi" w:eastAsiaTheme="minorEastAsia" w:hAnsiTheme="minorHAnsi" w:cstheme="minorBidi"/>
            </w:rPr>
          </w:pPr>
          <w:hyperlink w:anchor="_Toc43963112" w:history="1">
            <w:r w:rsidRPr="008C79A1">
              <w:rPr>
                <w:rStyle w:val="Hyperlink"/>
                <w:rFonts w:hint="eastAsia"/>
                <w:rtl/>
              </w:rPr>
              <w:t>נותן</w:t>
            </w:r>
            <w:r w:rsidRPr="008C79A1">
              <w:rPr>
                <w:rStyle w:val="Hyperlink"/>
                <w:rtl/>
              </w:rPr>
              <w:t xml:space="preserve"> </w:t>
            </w:r>
            <w:r w:rsidRPr="008C79A1">
              <w:rPr>
                <w:rStyle w:val="Hyperlink"/>
                <w:rFonts w:hint="eastAsia"/>
                <w:rtl/>
              </w:rPr>
              <w:t>טעם</w:t>
            </w:r>
            <w:r w:rsidRPr="008C79A1">
              <w:rPr>
                <w:rStyle w:val="Hyperlink"/>
                <w:rtl/>
              </w:rPr>
              <w:t xml:space="preserve"> </w:t>
            </w:r>
            <w:r w:rsidRPr="008C79A1">
              <w:rPr>
                <w:rStyle w:val="Hyperlink"/>
                <w:rFonts w:hint="eastAsia"/>
                <w:rtl/>
              </w:rPr>
              <w:t>בר</w:t>
            </w:r>
            <w:r w:rsidRPr="008C79A1">
              <w:rPr>
                <w:rStyle w:val="Hyperlink"/>
                <w:rtl/>
              </w:rPr>
              <w:t xml:space="preserve"> </w:t>
            </w:r>
            <w:r w:rsidRPr="008C79A1">
              <w:rPr>
                <w:rStyle w:val="Hyperlink"/>
                <w:rFonts w:hint="eastAsia"/>
                <w:rtl/>
              </w:rPr>
              <w:t>נותן</w:t>
            </w:r>
            <w:r w:rsidRPr="008C79A1">
              <w:rPr>
                <w:rStyle w:val="Hyperlink"/>
                <w:rtl/>
              </w:rPr>
              <w:t xml:space="preserve"> </w:t>
            </w:r>
            <w:r w:rsidRPr="008C79A1">
              <w:rPr>
                <w:rStyle w:val="Hyperlink"/>
                <w:rFonts w:hint="eastAsia"/>
                <w:rtl/>
              </w:rPr>
              <w:t>טעם</w:t>
            </w:r>
            <w:r w:rsidRPr="008C79A1">
              <w:rPr>
                <w:rStyle w:val="Hyperlink"/>
                <w:rtl/>
              </w:rPr>
              <w:t xml:space="preserve"> </w:t>
            </w:r>
            <w:r w:rsidRPr="008C79A1">
              <w:rPr>
                <w:rStyle w:val="Hyperlink"/>
                <w:rFonts w:hint="eastAsia"/>
                <w:rtl/>
              </w:rPr>
              <w:t>לשיטת</w:t>
            </w:r>
            <w:r w:rsidRPr="008C79A1">
              <w:rPr>
                <w:rStyle w:val="Hyperlink"/>
                <w:rtl/>
              </w:rPr>
              <w:t xml:space="preserve"> </w:t>
            </w:r>
            <w:r w:rsidRPr="008C79A1">
              <w:rPr>
                <w:rStyle w:val="Hyperlink"/>
                <w:rFonts w:hint="eastAsia"/>
                <w:rtl/>
              </w:rPr>
              <w:t>רש</w:t>
            </w:r>
            <w:r w:rsidRPr="008C79A1">
              <w:rPr>
                <w:rStyle w:val="Hyperlink"/>
                <w:rtl/>
              </w:rPr>
              <w:t>"</w:t>
            </w:r>
            <w:r w:rsidRPr="008C79A1">
              <w:rPr>
                <w:rStyle w:val="Hyperlink"/>
                <w:rFonts w:hint="eastAsia"/>
                <w:rtl/>
              </w:rPr>
              <w:t>י</w:t>
            </w:r>
            <w:r w:rsidRPr="008C79A1">
              <w:rPr>
                <w:rStyle w:val="Hyperlink"/>
                <w:rtl/>
              </w:rPr>
              <w:t xml:space="preserve"> </w:t>
            </w:r>
            <w:r w:rsidRPr="008C79A1">
              <w:rPr>
                <w:rStyle w:val="Hyperlink"/>
                <w:rFonts w:hint="eastAsia"/>
                <w:rtl/>
              </w:rPr>
              <w:t>ז</w:t>
            </w:r>
            <w:r w:rsidRPr="008C79A1">
              <w:rPr>
                <w:rStyle w:val="Hyperlink"/>
                <w:rtl/>
              </w:rPr>
              <w:t>"</w:t>
            </w:r>
            <w:r w:rsidRPr="008C79A1">
              <w:rPr>
                <w:rStyle w:val="Hyperlink"/>
                <w:rFonts w:hint="eastAsia"/>
                <w:rtl/>
              </w:rPr>
              <w:t>ל</w:t>
            </w:r>
            <w:r>
              <w:rPr>
                <w:webHidden/>
              </w:rPr>
              <w:tab/>
            </w:r>
            <w:r>
              <w:rPr>
                <w:webHidden/>
              </w:rPr>
              <w:fldChar w:fldCharType="begin"/>
            </w:r>
            <w:r>
              <w:rPr>
                <w:webHidden/>
              </w:rPr>
              <w:instrText xml:space="preserve"> PAGEREF _Toc43963112 \h </w:instrText>
            </w:r>
            <w:r>
              <w:rPr>
                <w:webHidden/>
              </w:rPr>
            </w:r>
            <w:r>
              <w:rPr>
                <w:webHidden/>
              </w:rPr>
              <w:fldChar w:fldCharType="separate"/>
            </w:r>
            <w:r w:rsidR="008C1238">
              <w:rPr>
                <w:webHidden/>
                <w:rtl/>
              </w:rPr>
              <w:t>99</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13" w:history="1">
            <w:r w:rsidRPr="008C79A1">
              <w:rPr>
                <w:rStyle w:val="Hyperlink"/>
                <w:rFonts w:hint="eastAsia"/>
                <w:rtl/>
              </w:rPr>
              <w:t>הרב</w:t>
            </w:r>
            <w:r w:rsidRPr="008C79A1">
              <w:rPr>
                <w:rStyle w:val="Hyperlink"/>
                <w:rtl/>
              </w:rPr>
              <w:t xml:space="preserve"> </w:t>
            </w:r>
            <w:r w:rsidRPr="008C79A1">
              <w:rPr>
                <w:rStyle w:val="Hyperlink"/>
                <w:rFonts w:hint="eastAsia"/>
                <w:rtl/>
              </w:rPr>
              <w:t>מנחם</w:t>
            </w:r>
            <w:r w:rsidRPr="008C79A1">
              <w:rPr>
                <w:rStyle w:val="Hyperlink"/>
                <w:rtl/>
              </w:rPr>
              <w:t xml:space="preserve"> </w:t>
            </w:r>
            <w:r w:rsidRPr="008C79A1">
              <w:rPr>
                <w:rStyle w:val="Hyperlink"/>
                <w:rFonts w:hint="eastAsia"/>
                <w:rtl/>
              </w:rPr>
              <w:t>מענדל</w:t>
            </w:r>
            <w:r w:rsidRPr="008C79A1">
              <w:rPr>
                <w:rStyle w:val="Hyperlink"/>
                <w:rtl/>
              </w:rPr>
              <w:t xml:space="preserve"> </w:t>
            </w:r>
            <w:r w:rsidRPr="008C79A1">
              <w:rPr>
                <w:rStyle w:val="Hyperlink"/>
                <w:rFonts w:hint="eastAsia"/>
                <w:rtl/>
              </w:rPr>
              <w:t>קמינקר</w:t>
            </w:r>
          </w:hyperlink>
        </w:p>
        <w:p w:rsidR="004820B2" w:rsidRDefault="004820B2" w:rsidP="004820B2">
          <w:pPr>
            <w:pStyle w:val="TOC2"/>
            <w:rPr>
              <w:rFonts w:asciiTheme="minorHAnsi" w:eastAsiaTheme="minorEastAsia" w:hAnsiTheme="minorHAnsi" w:cstheme="minorBidi"/>
            </w:rPr>
          </w:pPr>
          <w:hyperlink w:anchor="_Toc43963114" w:history="1">
            <w:r w:rsidRPr="008C79A1">
              <w:rPr>
                <w:rStyle w:val="Hyperlink"/>
                <w:rFonts w:hint="eastAsia"/>
                <w:rtl/>
              </w:rPr>
              <w:t>הערה</w:t>
            </w:r>
            <w:r w:rsidRPr="008C79A1">
              <w:rPr>
                <w:rStyle w:val="Hyperlink"/>
                <w:rtl/>
              </w:rPr>
              <w:t xml:space="preserve"> </w:t>
            </w:r>
            <w:r w:rsidRPr="008C79A1">
              <w:rPr>
                <w:rStyle w:val="Hyperlink"/>
                <w:rFonts w:hint="eastAsia"/>
                <w:rtl/>
              </w:rPr>
              <w:t>בעניין</w:t>
            </w:r>
            <w:r w:rsidRPr="008C79A1">
              <w:rPr>
                <w:rStyle w:val="Hyperlink"/>
                <w:rtl/>
              </w:rPr>
              <w:t xml:space="preserve"> </w:t>
            </w:r>
            <w:r w:rsidRPr="008C79A1">
              <w:rPr>
                <w:rStyle w:val="Hyperlink"/>
                <w:rFonts w:hint="eastAsia"/>
                <w:rtl/>
              </w:rPr>
              <w:t>הגדר</w:t>
            </w:r>
            <w:r w:rsidRPr="008C79A1">
              <w:rPr>
                <w:rStyle w:val="Hyperlink"/>
                <w:rtl/>
              </w:rPr>
              <w:t xml:space="preserve"> </w:t>
            </w:r>
            <w:r w:rsidRPr="008C79A1">
              <w:rPr>
                <w:rStyle w:val="Hyperlink"/>
                <w:rFonts w:hint="eastAsia"/>
                <w:rtl/>
              </w:rPr>
              <w:t>דחיוב</w:t>
            </w:r>
            <w:r w:rsidRPr="008C79A1">
              <w:rPr>
                <w:rStyle w:val="Hyperlink"/>
                <w:rtl/>
              </w:rPr>
              <w:t xml:space="preserve"> </w:t>
            </w:r>
            <w:r w:rsidRPr="008C79A1">
              <w:rPr>
                <w:rStyle w:val="Hyperlink"/>
                <w:rFonts w:hint="eastAsia"/>
                <w:rtl/>
              </w:rPr>
              <w:t>שמירת</w:t>
            </w:r>
            <w:r w:rsidRPr="008C79A1">
              <w:rPr>
                <w:rStyle w:val="Hyperlink"/>
                <w:rtl/>
              </w:rPr>
              <w:t xml:space="preserve"> </w:t>
            </w:r>
            <w:r w:rsidRPr="008C79A1">
              <w:rPr>
                <w:rStyle w:val="Hyperlink"/>
                <w:rFonts w:hint="eastAsia"/>
                <w:rtl/>
              </w:rPr>
              <w:t>גוף</w:t>
            </w:r>
            <w:r w:rsidRPr="008C79A1">
              <w:rPr>
                <w:rStyle w:val="Hyperlink"/>
                <w:rtl/>
              </w:rPr>
              <w:t xml:space="preserve"> </w:t>
            </w:r>
            <w:r w:rsidRPr="008C79A1">
              <w:rPr>
                <w:rStyle w:val="Hyperlink"/>
                <w:rFonts w:hint="eastAsia"/>
                <w:rtl/>
              </w:rPr>
              <w:t>ונפש</w:t>
            </w:r>
            <w:r>
              <w:rPr>
                <w:webHidden/>
              </w:rPr>
              <w:tab/>
            </w:r>
            <w:r>
              <w:rPr>
                <w:webHidden/>
              </w:rPr>
              <w:fldChar w:fldCharType="begin"/>
            </w:r>
            <w:r>
              <w:rPr>
                <w:webHidden/>
              </w:rPr>
              <w:instrText xml:space="preserve"> PAGEREF _Toc43963114 \h </w:instrText>
            </w:r>
            <w:r>
              <w:rPr>
                <w:webHidden/>
              </w:rPr>
            </w:r>
            <w:r>
              <w:rPr>
                <w:webHidden/>
              </w:rPr>
              <w:fldChar w:fldCharType="separate"/>
            </w:r>
            <w:r w:rsidR="008C1238">
              <w:rPr>
                <w:webHidden/>
                <w:rtl/>
              </w:rPr>
              <w:t>105</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15" w:history="1">
            <w:r w:rsidRPr="008C79A1">
              <w:rPr>
                <w:rStyle w:val="Hyperlink"/>
                <w:rFonts w:hint="eastAsia"/>
                <w:rtl/>
              </w:rPr>
              <w:t>הת</w:t>
            </w:r>
            <w:r w:rsidRPr="008C79A1">
              <w:rPr>
                <w:rStyle w:val="Hyperlink"/>
                <w:rtl/>
              </w:rPr>
              <w:t xml:space="preserve">' </w:t>
            </w:r>
            <w:r w:rsidRPr="008C79A1">
              <w:rPr>
                <w:rStyle w:val="Hyperlink"/>
                <w:rFonts w:hint="eastAsia"/>
                <w:rtl/>
              </w:rPr>
              <w:t>מנחם</w:t>
            </w:r>
            <w:r w:rsidRPr="008C79A1">
              <w:rPr>
                <w:rStyle w:val="Hyperlink"/>
                <w:rtl/>
              </w:rPr>
              <w:t xml:space="preserve"> </w:t>
            </w:r>
            <w:r w:rsidRPr="008C79A1">
              <w:rPr>
                <w:rStyle w:val="Hyperlink"/>
                <w:rFonts w:hint="eastAsia"/>
                <w:rtl/>
              </w:rPr>
              <w:t>מענדל</w:t>
            </w:r>
            <w:r w:rsidRPr="008C79A1">
              <w:rPr>
                <w:rStyle w:val="Hyperlink"/>
                <w:rtl/>
              </w:rPr>
              <w:t xml:space="preserve"> </w:t>
            </w:r>
            <w:r w:rsidRPr="008C79A1">
              <w:rPr>
                <w:rStyle w:val="Hyperlink"/>
                <w:rFonts w:hint="eastAsia"/>
                <w:rtl/>
              </w:rPr>
              <w:t>מינצברג</w:t>
            </w:r>
          </w:hyperlink>
        </w:p>
        <w:p w:rsidR="004820B2" w:rsidRDefault="004820B2" w:rsidP="002C5DAA">
          <w:pPr>
            <w:pStyle w:val="TOC1"/>
            <w:rPr>
              <w:rFonts w:asciiTheme="minorHAnsi" w:eastAsiaTheme="minorEastAsia" w:hAnsiTheme="minorHAnsi" w:cstheme="minorBidi"/>
              <w:sz w:val="22"/>
              <w:szCs w:val="22"/>
            </w:rPr>
          </w:pPr>
          <w:hyperlink w:anchor="_Toc43963116" w:history="1">
            <w:r w:rsidRPr="008C79A1">
              <w:rPr>
                <w:rStyle w:val="Hyperlink"/>
                <w:rFonts w:hint="eastAsia"/>
                <w:rtl/>
              </w:rPr>
              <w:t>חסידות</w:t>
            </w:r>
          </w:hyperlink>
        </w:p>
        <w:p w:rsidR="004820B2" w:rsidRDefault="004820B2" w:rsidP="004820B2">
          <w:pPr>
            <w:pStyle w:val="TOC2"/>
            <w:rPr>
              <w:rFonts w:asciiTheme="minorHAnsi" w:eastAsiaTheme="minorEastAsia" w:hAnsiTheme="minorHAnsi" w:cstheme="minorBidi"/>
            </w:rPr>
          </w:pPr>
          <w:hyperlink w:anchor="_Toc43963117" w:history="1">
            <w:r w:rsidRPr="008C79A1">
              <w:rPr>
                <w:rStyle w:val="Hyperlink"/>
                <w:rFonts w:hint="eastAsia"/>
                <w:rtl/>
              </w:rPr>
              <w:t>שרפים</w:t>
            </w:r>
            <w:r w:rsidRPr="008C79A1">
              <w:rPr>
                <w:rStyle w:val="Hyperlink"/>
                <w:rtl/>
              </w:rPr>
              <w:t xml:space="preserve">, </w:t>
            </w:r>
            <w:r w:rsidRPr="008C79A1">
              <w:rPr>
                <w:rStyle w:val="Hyperlink"/>
                <w:rFonts w:hint="eastAsia"/>
                <w:rtl/>
              </w:rPr>
              <w:t>אופנים</w:t>
            </w:r>
            <w:r w:rsidRPr="008C79A1">
              <w:rPr>
                <w:rStyle w:val="Hyperlink"/>
                <w:rtl/>
              </w:rPr>
              <w:t xml:space="preserve">, </w:t>
            </w:r>
            <w:r w:rsidRPr="008C79A1">
              <w:rPr>
                <w:rStyle w:val="Hyperlink"/>
                <w:rFonts w:hint="eastAsia"/>
                <w:rtl/>
              </w:rPr>
              <w:t>וחיות</w:t>
            </w:r>
            <w:r w:rsidRPr="008C79A1">
              <w:rPr>
                <w:rStyle w:val="Hyperlink"/>
                <w:rtl/>
              </w:rPr>
              <w:t xml:space="preserve"> </w:t>
            </w:r>
            <w:r w:rsidRPr="008C79A1">
              <w:rPr>
                <w:rStyle w:val="Hyperlink"/>
                <w:rFonts w:hint="eastAsia"/>
                <w:rtl/>
              </w:rPr>
              <w:t>הקדש</w:t>
            </w:r>
            <w:r w:rsidRPr="008C79A1">
              <w:rPr>
                <w:rStyle w:val="Hyperlink"/>
                <w:rtl/>
              </w:rPr>
              <w:t xml:space="preserve">: </w:t>
            </w:r>
            <w:r w:rsidRPr="008C79A1">
              <w:rPr>
                <w:rStyle w:val="Hyperlink"/>
                <w:rFonts w:hint="eastAsia"/>
                <w:rtl/>
              </w:rPr>
              <w:t>מי</w:t>
            </w:r>
            <w:r w:rsidRPr="008C79A1">
              <w:rPr>
                <w:rStyle w:val="Hyperlink"/>
                <w:rtl/>
              </w:rPr>
              <w:t xml:space="preserve"> </w:t>
            </w:r>
            <w:r w:rsidRPr="008C79A1">
              <w:rPr>
                <w:rStyle w:val="Hyperlink"/>
                <w:rFonts w:hint="eastAsia"/>
                <w:rtl/>
              </w:rPr>
              <w:t>גבוה</w:t>
            </w:r>
            <w:r w:rsidRPr="008C79A1">
              <w:rPr>
                <w:rStyle w:val="Hyperlink"/>
                <w:rtl/>
              </w:rPr>
              <w:t xml:space="preserve"> </w:t>
            </w:r>
            <w:r w:rsidRPr="008C79A1">
              <w:rPr>
                <w:rStyle w:val="Hyperlink"/>
                <w:rFonts w:hint="eastAsia"/>
                <w:rtl/>
              </w:rPr>
              <w:t>ממי</w:t>
            </w:r>
            <w:r w:rsidRPr="008C79A1">
              <w:rPr>
                <w:rStyle w:val="Hyperlink"/>
                <w:rtl/>
              </w:rPr>
              <w:t>?</w:t>
            </w:r>
            <w:r>
              <w:rPr>
                <w:webHidden/>
              </w:rPr>
              <w:tab/>
            </w:r>
            <w:r>
              <w:rPr>
                <w:webHidden/>
              </w:rPr>
              <w:fldChar w:fldCharType="begin"/>
            </w:r>
            <w:r>
              <w:rPr>
                <w:webHidden/>
              </w:rPr>
              <w:instrText xml:space="preserve"> PAGEREF _Toc43963117 \h </w:instrText>
            </w:r>
            <w:r>
              <w:rPr>
                <w:webHidden/>
              </w:rPr>
            </w:r>
            <w:r>
              <w:rPr>
                <w:webHidden/>
              </w:rPr>
              <w:fldChar w:fldCharType="separate"/>
            </w:r>
            <w:r w:rsidR="008C1238">
              <w:rPr>
                <w:webHidden/>
                <w:rtl/>
              </w:rPr>
              <w:t>107</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18" w:history="1">
            <w:r w:rsidRPr="008C79A1">
              <w:rPr>
                <w:rStyle w:val="Hyperlink"/>
                <w:rFonts w:hint="eastAsia"/>
                <w:rtl/>
              </w:rPr>
              <w:t>הרב</w:t>
            </w:r>
            <w:r w:rsidRPr="008C79A1">
              <w:rPr>
                <w:rStyle w:val="Hyperlink"/>
                <w:rtl/>
              </w:rPr>
              <w:t xml:space="preserve"> </w:t>
            </w:r>
            <w:r w:rsidRPr="008C79A1">
              <w:rPr>
                <w:rStyle w:val="Hyperlink"/>
                <w:rFonts w:hint="eastAsia"/>
                <w:rtl/>
              </w:rPr>
              <w:t>יהודה</w:t>
            </w:r>
            <w:r w:rsidRPr="008C79A1">
              <w:rPr>
                <w:rStyle w:val="Hyperlink"/>
                <w:rtl/>
              </w:rPr>
              <w:t xml:space="preserve"> </w:t>
            </w:r>
            <w:r w:rsidRPr="008C79A1">
              <w:rPr>
                <w:rStyle w:val="Hyperlink"/>
                <w:rFonts w:hint="eastAsia"/>
                <w:rtl/>
              </w:rPr>
              <w:t>ליב</w:t>
            </w:r>
            <w:r w:rsidRPr="008C79A1">
              <w:rPr>
                <w:rStyle w:val="Hyperlink"/>
                <w:rtl/>
              </w:rPr>
              <w:t xml:space="preserve"> </w:t>
            </w:r>
            <w:r w:rsidRPr="008C79A1">
              <w:rPr>
                <w:rStyle w:val="Hyperlink"/>
                <w:rFonts w:hint="eastAsia"/>
                <w:rtl/>
              </w:rPr>
              <w:t>אלטיין</w:t>
            </w:r>
          </w:hyperlink>
        </w:p>
        <w:p w:rsidR="004820B2" w:rsidRDefault="004820B2" w:rsidP="004820B2">
          <w:pPr>
            <w:pStyle w:val="TOC2"/>
            <w:rPr>
              <w:rFonts w:asciiTheme="minorHAnsi" w:eastAsiaTheme="minorEastAsia" w:hAnsiTheme="minorHAnsi" w:cstheme="minorBidi"/>
            </w:rPr>
          </w:pPr>
          <w:hyperlink w:anchor="_Toc43963119" w:history="1">
            <w:r w:rsidRPr="008C79A1">
              <w:rPr>
                <w:rStyle w:val="Hyperlink"/>
                <w:rFonts w:hint="eastAsia"/>
                <w:shd w:val="clear" w:color="auto" w:fill="FFFFFF"/>
                <w:rtl/>
              </w:rPr>
              <w:t>העיקר</w:t>
            </w:r>
            <w:r w:rsidRPr="008C79A1">
              <w:rPr>
                <w:rStyle w:val="Hyperlink"/>
                <w:shd w:val="clear" w:color="auto" w:fill="FFFFFF"/>
                <w:rtl/>
              </w:rPr>
              <w:t xml:space="preserve"> </w:t>
            </w:r>
            <w:r w:rsidRPr="008C79A1">
              <w:rPr>
                <w:rStyle w:val="Hyperlink"/>
                <w:rFonts w:hint="eastAsia"/>
                <w:shd w:val="clear" w:color="auto" w:fill="FFFFFF"/>
                <w:rtl/>
              </w:rPr>
              <w:t>הוא</w:t>
            </w:r>
            <w:r w:rsidRPr="008C79A1">
              <w:rPr>
                <w:rStyle w:val="Hyperlink"/>
                <w:shd w:val="clear" w:color="auto" w:fill="FFFFFF"/>
                <w:rtl/>
              </w:rPr>
              <w:t xml:space="preserve"> </w:t>
            </w:r>
            <w:r w:rsidRPr="008C79A1">
              <w:rPr>
                <w:rStyle w:val="Hyperlink"/>
                <w:rFonts w:hint="eastAsia"/>
                <w:shd w:val="clear" w:color="auto" w:fill="FFFFFF"/>
                <w:rtl/>
              </w:rPr>
              <w:t>ההרגל</w:t>
            </w:r>
            <w:r>
              <w:rPr>
                <w:webHidden/>
              </w:rPr>
              <w:tab/>
            </w:r>
            <w:r>
              <w:rPr>
                <w:webHidden/>
              </w:rPr>
              <w:fldChar w:fldCharType="begin"/>
            </w:r>
            <w:r>
              <w:rPr>
                <w:webHidden/>
              </w:rPr>
              <w:instrText xml:space="preserve"> PAGEREF _Toc43963119 \h </w:instrText>
            </w:r>
            <w:r>
              <w:rPr>
                <w:webHidden/>
              </w:rPr>
            </w:r>
            <w:r>
              <w:rPr>
                <w:webHidden/>
              </w:rPr>
              <w:fldChar w:fldCharType="separate"/>
            </w:r>
            <w:r w:rsidR="008C1238">
              <w:rPr>
                <w:webHidden/>
                <w:rtl/>
              </w:rPr>
              <w:t>108</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20" w:history="1">
            <w:r w:rsidRPr="008C79A1">
              <w:rPr>
                <w:rStyle w:val="Hyperlink"/>
                <w:rFonts w:hint="eastAsia"/>
                <w:shd w:val="clear" w:color="auto" w:fill="FFFFFF"/>
                <w:rtl/>
              </w:rPr>
              <w:t>הרב</w:t>
            </w:r>
            <w:r w:rsidRPr="008C79A1">
              <w:rPr>
                <w:rStyle w:val="Hyperlink"/>
                <w:shd w:val="clear" w:color="auto" w:fill="FFFFFF"/>
                <w:rtl/>
              </w:rPr>
              <w:t xml:space="preserve"> </w:t>
            </w:r>
            <w:r w:rsidRPr="008C79A1">
              <w:rPr>
                <w:rStyle w:val="Hyperlink"/>
                <w:rFonts w:hint="eastAsia"/>
                <w:shd w:val="clear" w:color="auto" w:fill="FFFFFF"/>
                <w:rtl/>
              </w:rPr>
              <w:t>מנחם</w:t>
            </w:r>
            <w:r w:rsidRPr="008C79A1">
              <w:rPr>
                <w:rStyle w:val="Hyperlink"/>
                <w:shd w:val="clear" w:color="auto" w:fill="FFFFFF"/>
                <w:rtl/>
              </w:rPr>
              <w:t xml:space="preserve"> </w:t>
            </w:r>
            <w:r w:rsidRPr="008C79A1">
              <w:rPr>
                <w:rStyle w:val="Hyperlink"/>
                <w:rFonts w:hint="eastAsia"/>
                <w:shd w:val="clear" w:color="auto" w:fill="FFFFFF"/>
                <w:rtl/>
              </w:rPr>
              <w:t>מענדל</w:t>
            </w:r>
            <w:r w:rsidRPr="008C79A1">
              <w:rPr>
                <w:rStyle w:val="Hyperlink"/>
                <w:shd w:val="clear" w:color="auto" w:fill="FFFFFF"/>
                <w:rtl/>
              </w:rPr>
              <w:t xml:space="preserve"> </w:t>
            </w:r>
            <w:r w:rsidRPr="008C79A1">
              <w:rPr>
                <w:rStyle w:val="Hyperlink"/>
                <w:rFonts w:hint="eastAsia"/>
                <w:shd w:val="clear" w:color="auto" w:fill="FFFFFF"/>
                <w:rtl/>
              </w:rPr>
              <w:t>מישולבין</w:t>
            </w:r>
          </w:hyperlink>
        </w:p>
        <w:p w:rsidR="004820B2" w:rsidRDefault="004820B2" w:rsidP="004820B2">
          <w:pPr>
            <w:pStyle w:val="TOC2"/>
            <w:rPr>
              <w:rFonts w:asciiTheme="minorHAnsi" w:eastAsiaTheme="minorEastAsia" w:hAnsiTheme="minorHAnsi" w:cstheme="minorBidi"/>
            </w:rPr>
          </w:pPr>
          <w:hyperlink w:anchor="_Toc43963121" w:history="1">
            <w:r w:rsidRPr="008C79A1">
              <w:rPr>
                <w:rStyle w:val="Hyperlink"/>
                <w:rFonts w:eastAsia="Arial Unicode MS" w:hint="eastAsia"/>
                <w:rtl/>
              </w:rPr>
              <w:t>אביי</w:t>
            </w:r>
            <w:r w:rsidRPr="008C79A1">
              <w:rPr>
                <w:rStyle w:val="Hyperlink"/>
                <w:rFonts w:eastAsia="Arial Unicode MS"/>
                <w:rtl/>
              </w:rPr>
              <w:t xml:space="preserve"> </w:t>
            </w:r>
            <w:r w:rsidRPr="008C79A1">
              <w:rPr>
                <w:rStyle w:val="Hyperlink"/>
                <w:rFonts w:eastAsia="Arial Unicode MS" w:hint="eastAsia"/>
                <w:rtl/>
              </w:rPr>
              <w:t>ורבא</w:t>
            </w:r>
            <w:r>
              <w:rPr>
                <w:webHidden/>
              </w:rPr>
              <w:tab/>
            </w:r>
            <w:r>
              <w:rPr>
                <w:webHidden/>
              </w:rPr>
              <w:fldChar w:fldCharType="begin"/>
            </w:r>
            <w:r>
              <w:rPr>
                <w:webHidden/>
              </w:rPr>
              <w:instrText xml:space="preserve"> PAGEREF _Toc43963121 \h </w:instrText>
            </w:r>
            <w:r>
              <w:rPr>
                <w:webHidden/>
              </w:rPr>
            </w:r>
            <w:r>
              <w:rPr>
                <w:webHidden/>
              </w:rPr>
              <w:fldChar w:fldCharType="separate"/>
            </w:r>
            <w:r w:rsidR="008C1238">
              <w:rPr>
                <w:webHidden/>
                <w:rtl/>
              </w:rPr>
              <w:t>110</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22" w:history="1">
            <w:r w:rsidRPr="008C79A1">
              <w:rPr>
                <w:rStyle w:val="Hyperlink"/>
                <w:rFonts w:hint="eastAsia"/>
                <w:rtl/>
              </w:rPr>
              <w:t>הרב</w:t>
            </w:r>
            <w:r w:rsidRPr="008C79A1">
              <w:rPr>
                <w:rStyle w:val="Hyperlink"/>
                <w:rtl/>
              </w:rPr>
              <w:t xml:space="preserve"> </w:t>
            </w:r>
            <w:r w:rsidRPr="008C79A1">
              <w:rPr>
                <w:rStyle w:val="Hyperlink"/>
                <w:rFonts w:hint="eastAsia"/>
                <w:rtl/>
              </w:rPr>
              <w:t>בנימין</w:t>
            </w:r>
            <w:r w:rsidRPr="008C79A1">
              <w:rPr>
                <w:rStyle w:val="Hyperlink"/>
                <w:rtl/>
              </w:rPr>
              <w:t xml:space="preserve"> </w:t>
            </w:r>
            <w:r w:rsidRPr="008C79A1">
              <w:rPr>
                <w:rStyle w:val="Hyperlink"/>
                <w:rFonts w:hint="eastAsia"/>
                <w:rtl/>
              </w:rPr>
              <w:t>אפרים</w:t>
            </w:r>
            <w:r w:rsidRPr="008C79A1">
              <w:rPr>
                <w:rStyle w:val="Hyperlink"/>
                <w:rtl/>
              </w:rPr>
              <w:t xml:space="preserve"> </w:t>
            </w:r>
            <w:r w:rsidRPr="008C79A1">
              <w:rPr>
                <w:rStyle w:val="Hyperlink"/>
                <w:rFonts w:hint="eastAsia"/>
                <w:rtl/>
              </w:rPr>
              <w:t>ביטון</w:t>
            </w:r>
          </w:hyperlink>
        </w:p>
        <w:p w:rsidR="004820B2" w:rsidRDefault="004820B2" w:rsidP="004820B2">
          <w:pPr>
            <w:pStyle w:val="TOC2"/>
            <w:rPr>
              <w:rFonts w:asciiTheme="minorHAnsi" w:eastAsiaTheme="minorEastAsia" w:hAnsiTheme="minorHAnsi" w:cstheme="minorBidi"/>
            </w:rPr>
          </w:pPr>
          <w:hyperlink w:anchor="_Toc43963123" w:history="1">
            <w:r w:rsidRPr="008C79A1">
              <w:rPr>
                <w:rStyle w:val="Hyperlink"/>
                <w:rFonts w:hint="eastAsia"/>
                <w:rtl/>
              </w:rPr>
              <w:t>ההפרש</w:t>
            </w:r>
            <w:r w:rsidRPr="008C79A1">
              <w:rPr>
                <w:rStyle w:val="Hyperlink"/>
                <w:rtl/>
              </w:rPr>
              <w:t xml:space="preserve"> </w:t>
            </w:r>
            <w:r w:rsidRPr="008C79A1">
              <w:rPr>
                <w:rStyle w:val="Hyperlink"/>
                <w:rFonts w:hint="eastAsia"/>
                <w:rtl/>
              </w:rPr>
              <w:t>בין</w:t>
            </w:r>
            <w:r w:rsidRPr="008C79A1">
              <w:rPr>
                <w:rStyle w:val="Hyperlink"/>
                <w:rtl/>
              </w:rPr>
              <w:t xml:space="preserve"> </w:t>
            </w:r>
            <w:r w:rsidRPr="008C79A1">
              <w:rPr>
                <w:rStyle w:val="Hyperlink"/>
                <w:rFonts w:hint="eastAsia"/>
                <w:rtl/>
              </w:rPr>
              <w:t>הבטה</w:t>
            </w:r>
            <w:r w:rsidRPr="008C79A1">
              <w:rPr>
                <w:rStyle w:val="Hyperlink"/>
                <w:rtl/>
              </w:rPr>
              <w:t xml:space="preserve"> </w:t>
            </w:r>
            <w:r w:rsidRPr="008C79A1">
              <w:rPr>
                <w:rStyle w:val="Hyperlink"/>
                <w:rFonts w:hint="eastAsia"/>
                <w:rtl/>
              </w:rPr>
              <w:t>וראי</w:t>
            </w:r>
            <w:r w:rsidRPr="008C79A1">
              <w:rPr>
                <w:rStyle w:val="Hyperlink"/>
                <w:rtl/>
              </w:rPr>
              <w:t>'</w:t>
            </w:r>
            <w:r>
              <w:rPr>
                <w:webHidden/>
              </w:rPr>
              <w:tab/>
            </w:r>
            <w:r>
              <w:rPr>
                <w:webHidden/>
              </w:rPr>
              <w:fldChar w:fldCharType="begin"/>
            </w:r>
            <w:r>
              <w:rPr>
                <w:webHidden/>
              </w:rPr>
              <w:instrText xml:space="preserve"> PAGEREF _Toc43963123 \h </w:instrText>
            </w:r>
            <w:r>
              <w:rPr>
                <w:webHidden/>
              </w:rPr>
            </w:r>
            <w:r>
              <w:rPr>
                <w:webHidden/>
              </w:rPr>
              <w:fldChar w:fldCharType="separate"/>
            </w:r>
            <w:r w:rsidR="008C1238">
              <w:rPr>
                <w:webHidden/>
                <w:rtl/>
              </w:rPr>
              <w:t>120</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24" w:history="1">
            <w:r w:rsidRPr="008C79A1">
              <w:rPr>
                <w:rStyle w:val="Hyperlink"/>
                <w:rFonts w:hint="eastAsia"/>
                <w:rtl/>
              </w:rPr>
              <w:t>הרב</w:t>
            </w:r>
            <w:r w:rsidRPr="008C79A1">
              <w:rPr>
                <w:rStyle w:val="Hyperlink"/>
                <w:rtl/>
              </w:rPr>
              <w:t xml:space="preserve"> </w:t>
            </w:r>
            <w:r w:rsidRPr="008C79A1">
              <w:rPr>
                <w:rStyle w:val="Hyperlink"/>
                <w:rFonts w:hint="eastAsia"/>
                <w:rtl/>
              </w:rPr>
              <w:t>משה</w:t>
            </w:r>
            <w:r w:rsidRPr="008C79A1">
              <w:rPr>
                <w:rStyle w:val="Hyperlink"/>
                <w:rtl/>
              </w:rPr>
              <w:t xml:space="preserve"> </w:t>
            </w:r>
            <w:r w:rsidRPr="008C79A1">
              <w:rPr>
                <w:rStyle w:val="Hyperlink"/>
                <w:rFonts w:hint="eastAsia"/>
                <w:rtl/>
              </w:rPr>
              <w:t>מרקוביץ</w:t>
            </w:r>
          </w:hyperlink>
        </w:p>
        <w:p w:rsidR="004820B2" w:rsidRDefault="004820B2" w:rsidP="004820B2">
          <w:pPr>
            <w:pStyle w:val="TOC2"/>
            <w:rPr>
              <w:rFonts w:asciiTheme="minorHAnsi" w:eastAsiaTheme="minorEastAsia" w:hAnsiTheme="minorHAnsi" w:cstheme="minorBidi"/>
            </w:rPr>
          </w:pPr>
          <w:hyperlink w:anchor="_Toc43963125" w:history="1">
            <w:r w:rsidRPr="008C79A1">
              <w:rPr>
                <w:rStyle w:val="Hyperlink"/>
                <w:rFonts w:hint="eastAsia"/>
                <w:rtl/>
              </w:rPr>
              <w:t>ארבעים</w:t>
            </w:r>
            <w:r w:rsidRPr="008C79A1">
              <w:rPr>
                <w:rStyle w:val="Hyperlink"/>
                <w:rtl/>
              </w:rPr>
              <w:t xml:space="preserve"> </w:t>
            </w:r>
            <w:r w:rsidRPr="008C79A1">
              <w:rPr>
                <w:rStyle w:val="Hyperlink"/>
                <w:rFonts w:hint="eastAsia"/>
                <w:rtl/>
              </w:rPr>
              <w:t>שנה</w:t>
            </w:r>
            <w:r w:rsidRPr="008C79A1">
              <w:rPr>
                <w:rStyle w:val="Hyperlink"/>
                <w:rtl/>
              </w:rPr>
              <w:t xml:space="preserve"> </w:t>
            </w:r>
            <w:r w:rsidRPr="008C79A1">
              <w:rPr>
                <w:rStyle w:val="Hyperlink"/>
                <w:rFonts w:hint="eastAsia"/>
                <w:rtl/>
              </w:rPr>
              <w:t>במדבר</w:t>
            </w:r>
            <w:r w:rsidRPr="008C79A1">
              <w:rPr>
                <w:rStyle w:val="Hyperlink"/>
                <w:rtl/>
              </w:rPr>
              <w:t xml:space="preserve"> </w:t>
            </w:r>
            <w:r w:rsidRPr="008C79A1">
              <w:rPr>
                <w:rStyle w:val="Hyperlink"/>
                <w:rFonts w:hint="eastAsia"/>
                <w:rtl/>
              </w:rPr>
              <w:t>תוצאה</w:t>
            </w:r>
            <w:r w:rsidRPr="008C79A1">
              <w:rPr>
                <w:rStyle w:val="Hyperlink"/>
                <w:rtl/>
              </w:rPr>
              <w:t xml:space="preserve"> </w:t>
            </w:r>
            <w:r w:rsidRPr="008C79A1">
              <w:rPr>
                <w:rStyle w:val="Hyperlink"/>
                <w:rFonts w:hint="eastAsia"/>
                <w:rtl/>
              </w:rPr>
              <w:t>ממעשה</w:t>
            </w:r>
            <w:r w:rsidRPr="008C79A1">
              <w:rPr>
                <w:rStyle w:val="Hyperlink"/>
                <w:rtl/>
              </w:rPr>
              <w:t xml:space="preserve"> </w:t>
            </w:r>
            <w:r w:rsidRPr="008C79A1">
              <w:rPr>
                <w:rStyle w:val="Hyperlink"/>
                <w:rFonts w:hint="eastAsia"/>
                <w:rtl/>
              </w:rPr>
              <w:t>העגל</w:t>
            </w:r>
            <w:r>
              <w:rPr>
                <w:webHidden/>
              </w:rPr>
              <w:tab/>
            </w:r>
            <w:r>
              <w:rPr>
                <w:webHidden/>
              </w:rPr>
              <w:fldChar w:fldCharType="begin"/>
            </w:r>
            <w:r>
              <w:rPr>
                <w:webHidden/>
              </w:rPr>
              <w:instrText xml:space="preserve"> PAGEREF _Toc43963125 \h </w:instrText>
            </w:r>
            <w:r>
              <w:rPr>
                <w:webHidden/>
              </w:rPr>
            </w:r>
            <w:r>
              <w:rPr>
                <w:webHidden/>
              </w:rPr>
              <w:fldChar w:fldCharType="separate"/>
            </w:r>
            <w:r w:rsidR="008C1238">
              <w:rPr>
                <w:webHidden/>
                <w:rtl/>
              </w:rPr>
              <w:t>121</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26" w:history="1">
            <w:r w:rsidRPr="008C79A1">
              <w:rPr>
                <w:rStyle w:val="Hyperlink"/>
                <w:rFonts w:hint="eastAsia"/>
                <w:rtl/>
              </w:rPr>
              <w:t>הנ</w:t>
            </w:r>
            <w:r w:rsidRPr="008C79A1">
              <w:rPr>
                <w:rStyle w:val="Hyperlink"/>
                <w:rtl/>
              </w:rPr>
              <w:t>"</w:t>
            </w:r>
            <w:r w:rsidRPr="008C79A1">
              <w:rPr>
                <w:rStyle w:val="Hyperlink"/>
                <w:rFonts w:hint="eastAsia"/>
                <w:rtl/>
              </w:rPr>
              <w:t>ל</w:t>
            </w:r>
          </w:hyperlink>
        </w:p>
        <w:p w:rsidR="004820B2" w:rsidRDefault="004820B2" w:rsidP="004820B2">
          <w:pPr>
            <w:pStyle w:val="TOC2"/>
            <w:rPr>
              <w:rFonts w:asciiTheme="minorHAnsi" w:eastAsiaTheme="minorEastAsia" w:hAnsiTheme="minorHAnsi" w:cstheme="minorBidi"/>
            </w:rPr>
          </w:pPr>
          <w:hyperlink w:anchor="_Toc43963127" w:history="1">
            <w:r w:rsidRPr="008C79A1">
              <w:rPr>
                <w:rStyle w:val="Hyperlink"/>
                <w:rFonts w:hint="eastAsia"/>
                <w:rtl/>
              </w:rPr>
              <w:t>כיוון</w:t>
            </w:r>
            <w:r w:rsidRPr="008C79A1">
              <w:rPr>
                <w:rStyle w:val="Hyperlink"/>
                <w:rtl/>
              </w:rPr>
              <w:t xml:space="preserve"> </w:t>
            </w:r>
            <w:r w:rsidRPr="008C79A1">
              <w:rPr>
                <w:rStyle w:val="Hyperlink"/>
                <w:rFonts w:hint="eastAsia"/>
                <w:rtl/>
              </w:rPr>
              <w:t>השופר</w:t>
            </w:r>
            <w:r w:rsidRPr="008C79A1">
              <w:rPr>
                <w:rStyle w:val="Hyperlink"/>
                <w:rtl/>
              </w:rPr>
              <w:t xml:space="preserve"> (</w:t>
            </w:r>
            <w:r w:rsidRPr="008C79A1">
              <w:rPr>
                <w:rStyle w:val="Hyperlink"/>
                <w:rFonts w:hint="eastAsia"/>
                <w:rtl/>
              </w:rPr>
              <w:t>גליון</w:t>
            </w:r>
            <w:r w:rsidRPr="008C79A1">
              <w:rPr>
                <w:rStyle w:val="Hyperlink"/>
                <w:rtl/>
              </w:rPr>
              <w:t>)</w:t>
            </w:r>
            <w:r>
              <w:rPr>
                <w:webHidden/>
              </w:rPr>
              <w:tab/>
            </w:r>
            <w:r>
              <w:rPr>
                <w:webHidden/>
              </w:rPr>
              <w:fldChar w:fldCharType="begin"/>
            </w:r>
            <w:r>
              <w:rPr>
                <w:webHidden/>
              </w:rPr>
              <w:instrText xml:space="preserve"> PAGEREF _Toc43963127 \h </w:instrText>
            </w:r>
            <w:r>
              <w:rPr>
                <w:webHidden/>
              </w:rPr>
            </w:r>
            <w:r>
              <w:rPr>
                <w:webHidden/>
              </w:rPr>
              <w:fldChar w:fldCharType="separate"/>
            </w:r>
            <w:r w:rsidR="008C1238">
              <w:rPr>
                <w:webHidden/>
                <w:rtl/>
              </w:rPr>
              <w:t>121</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28" w:history="1">
            <w:r w:rsidRPr="008C79A1">
              <w:rPr>
                <w:rStyle w:val="Hyperlink"/>
                <w:rFonts w:hint="eastAsia"/>
                <w:rtl/>
              </w:rPr>
              <w:t>הרב</w:t>
            </w:r>
            <w:r w:rsidRPr="008C79A1">
              <w:rPr>
                <w:rStyle w:val="Hyperlink"/>
                <w:rtl/>
              </w:rPr>
              <w:t xml:space="preserve"> </w:t>
            </w:r>
            <w:r w:rsidRPr="008C79A1">
              <w:rPr>
                <w:rStyle w:val="Hyperlink"/>
                <w:rFonts w:hint="eastAsia"/>
                <w:rtl/>
              </w:rPr>
              <w:t>משה</w:t>
            </w:r>
            <w:r w:rsidRPr="008C79A1">
              <w:rPr>
                <w:rStyle w:val="Hyperlink"/>
                <w:rtl/>
              </w:rPr>
              <w:t xml:space="preserve"> </w:t>
            </w:r>
            <w:r w:rsidRPr="008C79A1">
              <w:rPr>
                <w:rStyle w:val="Hyperlink"/>
                <w:rFonts w:hint="eastAsia"/>
                <w:rtl/>
              </w:rPr>
              <w:t>רבינוביץ</w:t>
            </w:r>
          </w:hyperlink>
        </w:p>
        <w:p w:rsidR="004820B2" w:rsidRDefault="004820B2" w:rsidP="002C5DAA">
          <w:pPr>
            <w:pStyle w:val="TOC1"/>
            <w:rPr>
              <w:rFonts w:asciiTheme="minorHAnsi" w:eastAsiaTheme="minorEastAsia" w:hAnsiTheme="minorHAnsi" w:cstheme="minorBidi"/>
              <w:sz w:val="22"/>
              <w:szCs w:val="22"/>
            </w:rPr>
          </w:pPr>
          <w:hyperlink w:anchor="_Toc43963129" w:history="1">
            <w:r w:rsidRPr="008C79A1">
              <w:rPr>
                <w:rStyle w:val="Hyperlink"/>
                <w:rFonts w:hint="eastAsia"/>
                <w:rtl/>
              </w:rPr>
              <w:t>הלכה</w:t>
            </w:r>
            <w:r w:rsidRPr="008C79A1">
              <w:rPr>
                <w:rStyle w:val="Hyperlink"/>
                <w:rtl/>
              </w:rPr>
              <w:t xml:space="preserve"> </w:t>
            </w:r>
            <w:r w:rsidRPr="008C79A1">
              <w:rPr>
                <w:rStyle w:val="Hyperlink"/>
                <w:rFonts w:hint="eastAsia"/>
                <w:rtl/>
              </w:rPr>
              <w:t>ומנהג</w:t>
            </w:r>
          </w:hyperlink>
        </w:p>
        <w:p w:rsidR="004820B2" w:rsidRDefault="004820B2" w:rsidP="004820B2">
          <w:pPr>
            <w:pStyle w:val="TOC2"/>
            <w:rPr>
              <w:rFonts w:asciiTheme="minorHAnsi" w:eastAsiaTheme="minorEastAsia" w:hAnsiTheme="minorHAnsi" w:cstheme="minorBidi"/>
            </w:rPr>
          </w:pPr>
          <w:hyperlink w:anchor="_Toc43963130" w:history="1">
            <w:r w:rsidRPr="008C79A1">
              <w:rPr>
                <w:rStyle w:val="Hyperlink"/>
                <w:rFonts w:hint="eastAsia"/>
                <w:rtl/>
              </w:rPr>
              <w:t>כיסוי</w:t>
            </w:r>
            <w:r w:rsidRPr="008C79A1">
              <w:rPr>
                <w:rStyle w:val="Hyperlink"/>
                <w:rtl/>
              </w:rPr>
              <w:t xml:space="preserve"> </w:t>
            </w:r>
            <w:r w:rsidRPr="008C79A1">
              <w:rPr>
                <w:rStyle w:val="Hyperlink"/>
                <w:rFonts w:hint="eastAsia"/>
                <w:rtl/>
              </w:rPr>
              <w:t>הטלית</w:t>
            </w:r>
            <w:r w:rsidRPr="008C79A1">
              <w:rPr>
                <w:rStyle w:val="Hyperlink"/>
                <w:rtl/>
              </w:rPr>
              <w:t xml:space="preserve"> </w:t>
            </w:r>
            <w:r w:rsidRPr="008C79A1">
              <w:rPr>
                <w:rStyle w:val="Hyperlink"/>
                <w:rFonts w:hint="eastAsia"/>
                <w:rtl/>
              </w:rPr>
              <w:t>לראשו</w:t>
            </w:r>
            <w:r w:rsidRPr="008C79A1">
              <w:rPr>
                <w:rStyle w:val="Hyperlink"/>
                <w:rtl/>
              </w:rPr>
              <w:t xml:space="preserve"> </w:t>
            </w:r>
            <w:r w:rsidRPr="008C79A1">
              <w:rPr>
                <w:rStyle w:val="Hyperlink"/>
                <w:rFonts w:hint="eastAsia"/>
                <w:rtl/>
              </w:rPr>
              <w:t>ורובו</w:t>
            </w:r>
            <w:r>
              <w:rPr>
                <w:webHidden/>
              </w:rPr>
              <w:tab/>
            </w:r>
            <w:r>
              <w:rPr>
                <w:webHidden/>
              </w:rPr>
              <w:fldChar w:fldCharType="begin"/>
            </w:r>
            <w:r>
              <w:rPr>
                <w:webHidden/>
              </w:rPr>
              <w:instrText xml:space="preserve"> PAGEREF _Toc43963130 \h </w:instrText>
            </w:r>
            <w:r>
              <w:rPr>
                <w:webHidden/>
              </w:rPr>
            </w:r>
            <w:r>
              <w:rPr>
                <w:webHidden/>
              </w:rPr>
              <w:fldChar w:fldCharType="separate"/>
            </w:r>
            <w:r w:rsidR="008C1238">
              <w:rPr>
                <w:webHidden/>
                <w:rtl/>
              </w:rPr>
              <w:t>122</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31" w:history="1">
            <w:r w:rsidRPr="008C79A1">
              <w:rPr>
                <w:rStyle w:val="Hyperlink"/>
                <w:rFonts w:hint="eastAsia"/>
                <w:rtl/>
              </w:rPr>
              <w:t>הרב</w:t>
            </w:r>
            <w:r w:rsidRPr="008C79A1">
              <w:rPr>
                <w:rStyle w:val="Hyperlink"/>
                <w:rtl/>
              </w:rPr>
              <w:t xml:space="preserve"> </w:t>
            </w:r>
            <w:r w:rsidRPr="008C79A1">
              <w:rPr>
                <w:rStyle w:val="Hyperlink"/>
                <w:rFonts w:hint="eastAsia"/>
                <w:rtl/>
              </w:rPr>
              <w:t>לוי</w:t>
            </w:r>
            <w:r w:rsidRPr="008C79A1">
              <w:rPr>
                <w:rStyle w:val="Hyperlink"/>
                <w:rtl/>
              </w:rPr>
              <w:t xml:space="preserve"> </w:t>
            </w:r>
            <w:r w:rsidRPr="008C79A1">
              <w:rPr>
                <w:rStyle w:val="Hyperlink"/>
                <w:rFonts w:hint="eastAsia"/>
                <w:rtl/>
              </w:rPr>
              <w:t>יצחק</w:t>
            </w:r>
            <w:r w:rsidRPr="008C79A1">
              <w:rPr>
                <w:rStyle w:val="Hyperlink"/>
                <w:rtl/>
              </w:rPr>
              <w:t xml:space="preserve"> </w:t>
            </w:r>
            <w:r w:rsidRPr="008C79A1">
              <w:rPr>
                <w:rStyle w:val="Hyperlink"/>
                <w:rFonts w:hint="eastAsia"/>
                <w:rtl/>
              </w:rPr>
              <w:t>ראסקין</w:t>
            </w:r>
          </w:hyperlink>
        </w:p>
        <w:p w:rsidR="004820B2" w:rsidRDefault="004820B2" w:rsidP="004820B2">
          <w:pPr>
            <w:pStyle w:val="TOC2"/>
            <w:rPr>
              <w:rFonts w:asciiTheme="minorHAnsi" w:eastAsiaTheme="minorEastAsia" w:hAnsiTheme="minorHAnsi" w:cstheme="minorBidi"/>
            </w:rPr>
          </w:pPr>
          <w:hyperlink w:anchor="_Toc43963132" w:history="1">
            <w:r w:rsidRPr="008C79A1">
              <w:rPr>
                <w:rStyle w:val="Hyperlink"/>
                <w:rFonts w:hint="eastAsia"/>
                <w:rtl/>
              </w:rPr>
              <w:t>נכרי</w:t>
            </w:r>
            <w:r w:rsidRPr="008C79A1">
              <w:rPr>
                <w:rStyle w:val="Hyperlink"/>
                <w:rtl/>
              </w:rPr>
              <w:t xml:space="preserve"> </w:t>
            </w:r>
            <w:r w:rsidRPr="008C79A1">
              <w:rPr>
                <w:rStyle w:val="Hyperlink"/>
                <w:rFonts w:hint="eastAsia"/>
                <w:rtl/>
              </w:rPr>
              <w:t>שהוסיף</w:t>
            </w:r>
            <w:r w:rsidRPr="008C79A1">
              <w:rPr>
                <w:rStyle w:val="Hyperlink"/>
                <w:rtl/>
              </w:rPr>
              <w:t xml:space="preserve"> </w:t>
            </w:r>
            <w:r w:rsidRPr="008C79A1">
              <w:rPr>
                <w:rStyle w:val="Hyperlink"/>
                <w:rFonts w:hint="eastAsia"/>
                <w:rtl/>
              </w:rPr>
              <w:t>נר</w:t>
            </w:r>
            <w:r w:rsidRPr="008C79A1">
              <w:rPr>
                <w:rStyle w:val="Hyperlink"/>
                <w:rtl/>
              </w:rPr>
              <w:t xml:space="preserve"> </w:t>
            </w:r>
            <w:r w:rsidRPr="008C79A1">
              <w:rPr>
                <w:rStyle w:val="Hyperlink"/>
                <w:rFonts w:hint="eastAsia"/>
                <w:rtl/>
              </w:rPr>
              <w:t>בשביל</w:t>
            </w:r>
            <w:r w:rsidRPr="008C79A1">
              <w:rPr>
                <w:rStyle w:val="Hyperlink"/>
                <w:rtl/>
              </w:rPr>
              <w:t xml:space="preserve"> </w:t>
            </w:r>
            <w:r w:rsidRPr="008C79A1">
              <w:rPr>
                <w:rStyle w:val="Hyperlink"/>
                <w:rFonts w:hint="eastAsia"/>
                <w:rtl/>
              </w:rPr>
              <w:t>ישראל</w:t>
            </w:r>
            <w:r>
              <w:rPr>
                <w:webHidden/>
              </w:rPr>
              <w:tab/>
            </w:r>
            <w:r>
              <w:rPr>
                <w:webHidden/>
              </w:rPr>
              <w:fldChar w:fldCharType="begin"/>
            </w:r>
            <w:r>
              <w:rPr>
                <w:webHidden/>
              </w:rPr>
              <w:instrText xml:space="preserve"> PAGEREF _Toc43963132 \h </w:instrText>
            </w:r>
            <w:r>
              <w:rPr>
                <w:webHidden/>
              </w:rPr>
            </w:r>
            <w:r>
              <w:rPr>
                <w:webHidden/>
              </w:rPr>
              <w:fldChar w:fldCharType="separate"/>
            </w:r>
            <w:r w:rsidR="008C1238">
              <w:rPr>
                <w:webHidden/>
                <w:rtl/>
              </w:rPr>
              <w:t>123</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33" w:history="1">
            <w:r w:rsidRPr="008C79A1">
              <w:rPr>
                <w:rStyle w:val="Hyperlink"/>
                <w:rFonts w:hint="eastAsia"/>
                <w:rtl/>
              </w:rPr>
              <w:t>הרב</w:t>
            </w:r>
            <w:r w:rsidRPr="008C79A1">
              <w:rPr>
                <w:rStyle w:val="Hyperlink"/>
                <w:rtl/>
              </w:rPr>
              <w:t xml:space="preserve"> </w:t>
            </w:r>
            <w:r w:rsidRPr="008C79A1">
              <w:rPr>
                <w:rStyle w:val="Hyperlink"/>
                <w:rFonts w:hint="eastAsia"/>
                <w:rtl/>
              </w:rPr>
              <w:t>מאיר</w:t>
            </w:r>
            <w:r w:rsidRPr="008C79A1">
              <w:rPr>
                <w:rStyle w:val="Hyperlink"/>
                <w:rtl/>
              </w:rPr>
              <w:t xml:space="preserve"> </w:t>
            </w:r>
            <w:r w:rsidRPr="008C79A1">
              <w:rPr>
                <w:rStyle w:val="Hyperlink"/>
                <w:rFonts w:hint="eastAsia"/>
                <w:rtl/>
              </w:rPr>
              <w:t>צירקינד</w:t>
            </w:r>
          </w:hyperlink>
        </w:p>
        <w:p w:rsidR="004820B2" w:rsidRDefault="004820B2" w:rsidP="004820B2">
          <w:pPr>
            <w:pStyle w:val="TOC2"/>
            <w:rPr>
              <w:rFonts w:asciiTheme="minorHAnsi" w:eastAsiaTheme="minorEastAsia" w:hAnsiTheme="minorHAnsi" w:cstheme="minorBidi"/>
            </w:rPr>
          </w:pPr>
          <w:hyperlink w:anchor="_Toc43963134" w:history="1">
            <w:r w:rsidRPr="008C79A1">
              <w:rPr>
                <w:rStyle w:val="Hyperlink"/>
                <w:rFonts w:hint="eastAsia"/>
                <w:rtl/>
              </w:rPr>
              <w:t>בדין</w:t>
            </w:r>
            <w:r w:rsidRPr="008C79A1">
              <w:rPr>
                <w:rStyle w:val="Hyperlink"/>
                <w:rtl/>
              </w:rPr>
              <w:t xml:space="preserve"> </w:t>
            </w:r>
            <w:r w:rsidRPr="008C79A1">
              <w:rPr>
                <w:rStyle w:val="Hyperlink"/>
                <w:rFonts w:hint="eastAsia"/>
                <w:rtl/>
              </w:rPr>
              <w:t>מנין</w:t>
            </w:r>
            <w:r w:rsidRPr="008C79A1">
              <w:rPr>
                <w:rStyle w:val="Hyperlink"/>
                <w:rtl/>
              </w:rPr>
              <w:t xml:space="preserve"> </w:t>
            </w:r>
            <w:r w:rsidRPr="008C79A1">
              <w:rPr>
                <w:rStyle w:val="Hyperlink"/>
                <w:rFonts w:hint="eastAsia"/>
                <w:rtl/>
              </w:rPr>
              <w:t>מצומצם</w:t>
            </w:r>
            <w:r w:rsidRPr="008C79A1">
              <w:rPr>
                <w:rStyle w:val="Hyperlink"/>
                <w:rtl/>
              </w:rPr>
              <w:t xml:space="preserve"> </w:t>
            </w:r>
            <w:r w:rsidRPr="008C79A1">
              <w:rPr>
                <w:rStyle w:val="Hyperlink"/>
                <w:rFonts w:hint="eastAsia"/>
                <w:rtl/>
              </w:rPr>
              <w:t>ואחד</w:t>
            </w:r>
            <w:r w:rsidRPr="008C79A1">
              <w:rPr>
                <w:rStyle w:val="Hyperlink"/>
                <w:rtl/>
              </w:rPr>
              <w:t xml:space="preserve"> </w:t>
            </w:r>
            <w:r w:rsidRPr="008C79A1">
              <w:rPr>
                <w:rStyle w:val="Hyperlink"/>
                <w:rFonts w:hint="eastAsia"/>
                <w:rtl/>
              </w:rPr>
              <w:t>שלא</w:t>
            </w:r>
            <w:r w:rsidRPr="008C79A1">
              <w:rPr>
                <w:rStyle w:val="Hyperlink"/>
                <w:rtl/>
              </w:rPr>
              <w:t xml:space="preserve"> </w:t>
            </w:r>
            <w:r w:rsidRPr="008C79A1">
              <w:rPr>
                <w:rStyle w:val="Hyperlink"/>
                <w:rFonts w:hint="eastAsia"/>
                <w:rtl/>
              </w:rPr>
              <w:t>התפלל</w:t>
            </w:r>
            <w:r w:rsidRPr="008C79A1">
              <w:rPr>
                <w:rStyle w:val="Hyperlink"/>
                <w:rtl/>
              </w:rPr>
              <w:t xml:space="preserve"> </w:t>
            </w:r>
            <w:r w:rsidRPr="008C79A1">
              <w:rPr>
                <w:rStyle w:val="Hyperlink"/>
                <w:rFonts w:hint="eastAsia"/>
                <w:rtl/>
              </w:rPr>
              <w:t>לחש</w:t>
            </w:r>
            <w:r w:rsidRPr="008C79A1">
              <w:rPr>
                <w:rStyle w:val="Hyperlink"/>
                <w:rtl/>
              </w:rPr>
              <w:t xml:space="preserve"> </w:t>
            </w:r>
            <w:r w:rsidRPr="008C79A1">
              <w:rPr>
                <w:rStyle w:val="Hyperlink"/>
                <w:rFonts w:hint="eastAsia"/>
                <w:rtl/>
              </w:rPr>
              <w:t>האם</w:t>
            </w:r>
            <w:r w:rsidRPr="008C79A1">
              <w:rPr>
                <w:rStyle w:val="Hyperlink"/>
                <w:rtl/>
              </w:rPr>
              <w:t xml:space="preserve"> </w:t>
            </w:r>
            <w:r w:rsidRPr="008C79A1">
              <w:rPr>
                <w:rStyle w:val="Hyperlink"/>
                <w:rFonts w:hint="eastAsia"/>
                <w:rtl/>
              </w:rPr>
              <w:t>יכול</w:t>
            </w:r>
            <w:r w:rsidRPr="008C79A1">
              <w:rPr>
                <w:rStyle w:val="Hyperlink"/>
                <w:rtl/>
              </w:rPr>
              <w:t xml:space="preserve"> </w:t>
            </w:r>
            <w:r w:rsidRPr="008C79A1">
              <w:rPr>
                <w:rStyle w:val="Hyperlink"/>
                <w:rFonts w:hint="eastAsia"/>
                <w:rtl/>
              </w:rPr>
              <w:t>להיות</w:t>
            </w:r>
            <w:r w:rsidRPr="008C79A1">
              <w:rPr>
                <w:rStyle w:val="Hyperlink"/>
                <w:rtl/>
              </w:rPr>
              <w:t xml:space="preserve"> </w:t>
            </w:r>
            <w:r w:rsidRPr="008C79A1">
              <w:rPr>
                <w:rStyle w:val="Hyperlink"/>
                <w:rFonts w:hint="eastAsia"/>
                <w:rtl/>
              </w:rPr>
              <w:t>ש</w:t>
            </w:r>
            <w:r w:rsidRPr="008C79A1">
              <w:rPr>
                <w:rStyle w:val="Hyperlink"/>
                <w:rtl/>
              </w:rPr>
              <w:t>"</w:t>
            </w:r>
            <w:r w:rsidRPr="008C79A1">
              <w:rPr>
                <w:rStyle w:val="Hyperlink"/>
                <w:rFonts w:hint="eastAsia"/>
                <w:rtl/>
              </w:rPr>
              <w:t>ץ</w:t>
            </w:r>
            <w:r>
              <w:rPr>
                <w:webHidden/>
              </w:rPr>
              <w:tab/>
            </w:r>
            <w:r>
              <w:rPr>
                <w:webHidden/>
              </w:rPr>
              <w:fldChar w:fldCharType="begin"/>
            </w:r>
            <w:r>
              <w:rPr>
                <w:webHidden/>
              </w:rPr>
              <w:instrText xml:space="preserve"> PAGEREF _Toc43963134 \h </w:instrText>
            </w:r>
            <w:r>
              <w:rPr>
                <w:webHidden/>
              </w:rPr>
            </w:r>
            <w:r>
              <w:rPr>
                <w:webHidden/>
              </w:rPr>
              <w:fldChar w:fldCharType="separate"/>
            </w:r>
            <w:r w:rsidR="008C1238">
              <w:rPr>
                <w:webHidden/>
                <w:rtl/>
              </w:rPr>
              <w:t>125</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35" w:history="1">
            <w:r w:rsidRPr="008C79A1">
              <w:rPr>
                <w:rStyle w:val="Hyperlink"/>
                <w:rFonts w:hint="eastAsia"/>
                <w:rtl/>
              </w:rPr>
              <w:t>הרב</w:t>
            </w:r>
            <w:r w:rsidRPr="008C79A1">
              <w:rPr>
                <w:rStyle w:val="Hyperlink"/>
                <w:rtl/>
              </w:rPr>
              <w:t xml:space="preserve"> </w:t>
            </w:r>
            <w:r w:rsidRPr="008C79A1">
              <w:rPr>
                <w:rStyle w:val="Hyperlink"/>
                <w:rFonts w:hint="eastAsia"/>
                <w:rtl/>
              </w:rPr>
              <w:t>יהושע</w:t>
            </w:r>
            <w:r w:rsidRPr="008C79A1">
              <w:rPr>
                <w:rStyle w:val="Hyperlink"/>
                <w:rtl/>
              </w:rPr>
              <w:t xml:space="preserve"> </w:t>
            </w:r>
            <w:r w:rsidRPr="008C79A1">
              <w:rPr>
                <w:rStyle w:val="Hyperlink"/>
                <w:rFonts w:hint="eastAsia"/>
                <w:rtl/>
              </w:rPr>
              <w:t>אברהם</w:t>
            </w:r>
            <w:r w:rsidRPr="008C79A1">
              <w:rPr>
                <w:rStyle w:val="Hyperlink"/>
                <w:rtl/>
              </w:rPr>
              <w:t xml:space="preserve"> </w:t>
            </w:r>
            <w:r w:rsidRPr="008C79A1">
              <w:rPr>
                <w:rStyle w:val="Hyperlink"/>
                <w:rFonts w:hint="eastAsia"/>
                <w:rtl/>
              </w:rPr>
              <w:t>הכהן</w:t>
            </w:r>
            <w:r w:rsidRPr="008C79A1">
              <w:rPr>
                <w:rStyle w:val="Hyperlink"/>
                <w:rtl/>
              </w:rPr>
              <w:t xml:space="preserve"> </w:t>
            </w:r>
            <w:r w:rsidRPr="008C79A1">
              <w:rPr>
                <w:rStyle w:val="Hyperlink"/>
                <w:rFonts w:hint="eastAsia"/>
                <w:rtl/>
              </w:rPr>
              <w:t>דובינסקי</w:t>
            </w:r>
          </w:hyperlink>
        </w:p>
        <w:p w:rsidR="004820B2" w:rsidRDefault="004820B2" w:rsidP="004820B2">
          <w:pPr>
            <w:pStyle w:val="TOC2"/>
            <w:rPr>
              <w:rFonts w:asciiTheme="minorHAnsi" w:eastAsiaTheme="minorEastAsia" w:hAnsiTheme="minorHAnsi" w:cstheme="minorBidi"/>
            </w:rPr>
          </w:pPr>
          <w:hyperlink w:anchor="_Toc43963136" w:history="1">
            <w:r w:rsidRPr="008C79A1">
              <w:rPr>
                <w:rStyle w:val="Hyperlink"/>
                <w:rtl/>
              </w:rPr>
              <w:t>'</w:t>
            </w:r>
            <w:r w:rsidRPr="008C79A1">
              <w:rPr>
                <w:rStyle w:val="Hyperlink"/>
                <w:rFonts w:hint="eastAsia"/>
                <w:rtl/>
              </w:rPr>
              <w:t>גם</w:t>
            </w:r>
            <w:r w:rsidRPr="008C79A1">
              <w:rPr>
                <w:rStyle w:val="Hyperlink"/>
                <w:rtl/>
              </w:rPr>
              <w:t xml:space="preserve"> </w:t>
            </w:r>
            <w:r w:rsidRPr="008C79A1">
              <w:rPr>
                <w:rStyle w:val="Hyperlink"/>
                <w:rFonts w:hint="eastAsia"/>
                <w:rtl/>
              </w:rPr>
              <w:t>בשמחה</w:t>
            </w:r>
            <w:r w:rsidRPr="008C79A1">
              <w:rPr>
                <w:rStyle w:val="Hyperlink"/>
                <w:rtl/>
              </w:rPr>
              <w:t xml:space="preserve">' </w:t>
            </w:r>
            <w:r w:rsidRPr="008C79A1">
              <w:rPr>
                <w:rStyle w:val="Hyperlink"/>
                <w:rFonts w:hint="eastAsia"/>
                <w:rtl/>
              </w:rPr>
              <w:t>במוצאי</w:t>
            </w:r>
            <w:r w:rsidRPr="008C79A1">
              <w:rPr>
                <w:rStyle w:val="Hyperlink"/>
                <w:rtl/>
              </w:rPr>
              <w:t xml:space="preserve"> </w:t>
            </w:r>
            <w:r w:rsidRPr="008C79A1">
              <w:rPr>
                <w:rStyle w:val="Hyperlink"/>
                <w:rFonts w:hint="eastAsia"/>
                <w:rtl/>
              </w:rPr>
              <w:t>יו</w:t>
            </w:r>
            <w:r w:rsidRPr="008C79A1">
              <w:rPr>
                <w:rStyle w:val="Hyperlink"/>
                <w:rtl/>
              </w:rPr>
              <w:t>''</w:t>
            </w:r>
            <w:r w:rsidRPr="008C79A1">
              <w:rPr>
                <w:rStyle w:val="Hyperlink"/>
                <w:rFonts w:hint="eastAsia"/>
                <w:rtl/>
              </w:rPr>
              <w:t>ט</w:t>
            </w:r>
            <w:r>
              <w:rPr>
                <w:webHidden/>
              </w:rPr>
              <w:tab/>
            </w:r>
            <w:r>
              <w:rPr>
                <w:webHidden/>
              </w:rPr>
              <w:fldChar w:fldCharType="begin"/>
            </w:r>
            <w:r>
              <w:rPr>
                <w:webHidden/>
              </w:rPr>
              <w:instrText xml:space="preserve"> PAGEREF _Toc43963136 \h </w:instrText>
            </w:r>
            <w:r>
              <w:rPr>
                <w:webHidden/>
              </w:rPr>
            </w:r>
            <w:r>
              <w:rPr>
                <w:webHidden/>
              </w:rPr>
              <w:fldChar w:fldCharType="separate"/>
            </w:r>
            <w:r w:rsidR="008C1238">
              <w:rPr>
                <w:webHidden/>
                <w:rtl/>
              </w:rPr>
              <w:t>139</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37" w:history="1">
            <w:r w:rsidRPr="008C79A1">
              <w:rPr>
                <w:rStyle w:val="Hyperlink"/>
                <w:rFonts w:hint="eastAsia"/>
                <w:rtl/>
              </w:rPr>
              <w:t>הרב</w:t>
            </w:r>
            <w:r w:rsidRPr="008C79A1">
              <w:rPr>
                <w:rStyle w:val="Hyperlink"/>
                <w:rtl/>
              </w:rPr>
              <w:t xml:space="preserve"> </w:t>
            </w:r>
            <w:r w:rsidRPr="008C79A1">
              <w:rPr>
                <w:rStyle w:val="Hyperlink"/>
                <w:rFonts w:hint="eastAsia"/>
                <w:rtl/>
              </w:rPr>
              <w:t>יוסף</w:t>
            </w:r>
            <w:r w:rsidRPr="008C79A1">
              <w:rPr>
                <w:rStyle w:val="Hyperlink"/>
                <w:rtl/>
              </w:rPr>
              <w:t xml:space="preserve"> </w:t>
            </w:r>
            <w:r w:rsidRPr="008C79A1">
              <w:rPr>
                <w:rStyle w:val="Hyperlink"/>
                <w:rFonts w:hint="eastAsia"/>
                <w:rtl/>
              </w:rPr>
              <w:t>שמחה</w:t>
            </w:r>
            <w:r w:rsidRPr="008C79A1">
              <w:rPr>
                <w:rStyle w:val="Hyperlink"/>
                <w:rtl/>
              </w:rPr>
              <w:t xml:space="preserve"> </w:t>
            </w:r>
            <w:r w:rsidRPr="008C79A1">
              <w:rPr>
                <w:rStyle w:val="Hyperlink"/>
                <w:rFonts w:hint="eastAsia"/>
                <w:rtl/>
              </w:rPr>
              <w:t>גינזבורג</w:t>
            </w:r>
          </w:hyperlink>
        </w:p>
        <w:p w:rsidR="004820B2" w:rsidRDefault="004820B2" w:rsidP="004820B2">
          <w:pPr>
            <w:pStyle w:val="TOC2"/>
            <w:rPr>
              <w:rFonts w:asciiTheme="minorHAnsi" w:eastAsiaTheme="minorEastAsia" w:hAnsiTheme="minorHAnsi" w:cstheme="minorBidi"/>
            </w:rPr>
          </w:pPr>
          <w:hyperlink w:anchor="_Toc43963138" w:history="1">
            <w:r w:rsidRPr="008C79A1">
              <w:rPr>
                <w:rStyle w:val="Hyperlink"/>
                <w:rFonts w:hint="eastAsia"/>
                <w:rtl/>
              </w:rPr>
              <w:t>צירוף</w:t>
            </w:r>
            <w:r w:rsidRPr="008C79A1">
              <w:rPr>
                <w:rStyle w:val="Hyperlink"/>
                <w:rtl/>
              </w:rPr>
              <w:t xml:space="preserve"> </w:t>
            </w:r>
            <w:r w:rsidRPr="008C79A1">
              <w:rPr>
                <w:rStyle w:val="Hyperlink"/>
                <w:rFonts w:hint="eastAsia"/>
                <w:rtl/>
              </w:rPr>
              <w:t>למנין</w:t>
            </w:r>
            <w:r w:rsidRPr="008C79A1">
              <w:rPr>
                <w:rStyle w:val="Hyperlink"/>
                <w:rtl/>
              </w:rPr>
              <w:t xml:space="preserve"> </w:t>
            </w:r>
            <w:r w:rsidRPr="008C79A1">
              <w:rPr>
                <w:rStyle w:val="Hyperlink"/>
                <w:rFonts w:hint="eastAsia"/>
                <w:rtl/>
              </w:rPr>
              <w:t>כשדרך</w:t>
            </w:r>
            <w:r w:rsidRPr="008C79A1">
              <w:rPr>
                <w:rStyle w:val="Hyperlink"/>
                <w:rtl/>
              </w:rPr>
              <w:t xml:space="preserve"> </w:t>
            </w:r>
            <w:r w:rsidRPr="008C79A1">
              <w:rPr>
                <w:rStyle w:val="Hyperlink"/>
                <w:rFonts w:hint="eastAsia"/>
                <w:rtl/>
              </w:rPr>
              <w:t>הרבים</w:t>
            </w:r>
            <w:r w:rsidRPr="008C79A1">
              <w:rPr>
                <w:rStyle w:val="Hyperlink"/>
                <w:rtl/>
              </w:rPr>
              <w:t xml:space="preserve"> </w:t>
            </w:r>
            <w:r w:rsidRPr="008C79A1">
              <w:rPr>
                <w:rStyle w:val="Hyperlink"/>
                <w:rFonts w:hint="eastAsia"/>
                <w:rtl/>
              </w:rPr>
              <w:t>מפסיקה</w:t>
            </w:r>
            <w:r w:rsidRPr="008C79A1">
              <w:rPr>
                <w:rStyle w:val="Hyperlink"/>
                <w:rtl/>
              </w:rPr>
              <w:t xml:space="preserve"> </w:t>
            </w:r>
            <w:r w:rsidRPr="008C79A1">
              <w:rPr>
                <w:rStyle w:val="Hyperlink"/>
                <w:rFonts w:hint="eastAsia"/>
                <w:rtl/>
              </w:rPr>
              <w:t>ביניהם</w:t>
            </w:r>
            <w:r>
              <w:rPr>
                <w:webHidden/>
              </w:rPr>
              <w:tab/>
            </w:r>
            <w:r>
              <w:rPr>
                <w:webHidden/>
              </w:rPr>
              <w:fldChar w:fldCharType="begin"/>
            </w:r>
            <w:r>
              <w:rPr>
                <w:webHidden/>
              </w:rPr>
              <w:instrText xml:space="preserve"> PAGEREF _Toc43963138 \h </w:instrText>
            </w:r>
            <w:r>
              <w:rPr>
                <w:webHidden/>
              </w:rPr>
            </w:r>
            <w:r>
              <w:rPr>
                <w:webHidden/>
              </w:rPr>
              <w:fldChar w:fldCharType="separate"/>
            </w:r>
            <w:r w:rsidR="008C1238">
              <w:rPr>
                <w:webHidden/>
                <w:rtl/>
              </w:rPr>
              <w:t>139</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39" w:history="1">
            <w:r w:rsidRPr="008C79A1">
              <w:rPr>
                <w:rStyle w:val="Hyperlink"/>
                <w:rFonts w:hint="eastAsia"/>
                <w:rtl/>
              </w:rPr>
              <w:t>הרב</w:t>
            </w:r>
            <w:r w:rsidRPr="008C79A1">
              <w:rPr>
                <w:rStyle w:val="Hyperlink"/>
                <w:rtl/>
              </w:rPr>
              <w:t xml:space="preserve"> </w:t>
            </w:r>
            <w:r w:rsidRPr="008C79A1">
              <w:rPr>
                <w:rStyle w:val="Hyperlink"/>
                <w:rFonts w:hint="eastAsia"/>
                <w:rtl/>
              </w:rPr>
              <w:t>יהודה</w:t>
            </w:r>
            <w:r w:rsidRPr="008C79A1">
              <w:rPr>
                <w:rStyle w:val="Hyperlink"/>
                <w:rtl/>
              </w:rPr>
              <w:t xml:space="preserve"> </w:t>
            </w:r>
            <w:r w:rsidRPr="008C79A1">
              <w:rPr>
                <w:rStyle w:val="Hyperlink"/>
                <w:rFonts w:hint="eastAsia"/>
                <w:rtl/>
              </w:rPr>
              <w:t>ליב</w:t>
            </w:r>
            <w:r w:rsidRPr="008C79A1">
              <w:rPr>
                <w:rStyle w:val="Hyperlink"/>
                <w:rtl/>
              </w:rPr>
              <w:t xml:space="preserve"> </w:t>
            </w:r>
            <w:r w:rsidRPr="008C79A1">
              <w:rPr>
                <w:rStyle w:val="Hyperlink"/>
                <w:rFonts w:hint="eastAsia"/>
                <w:rtl/>
              </w:rPr>
              <w:t>נחמנסון</w:t>
            </w:r>
          </w:hyperlink>
        </w:p>
        <w:p w:rsidR="004820B2" w:rsidRDefault="004820B2" w:rsidP="004820B2">
          <w:pPr>
            <w:pStyle w:val="TOC2"/>
            <w:rPr>
              <w:rFonts w:asciiTheme="minorHAnsi" w:eastAsiaTheme="minorEastAsia" w:hAnsiTheme="minorHAnsi" w:cstheme="minorBidi"/>
            </w:rPr>
          </w:pPr>
          <w:hyperlink w:anchor="_Toc43963140" w:history="1">
            <w:r w:rsidRPr="008C79A1">
              <w:rPr>
                <w:rStyle w:val="Hyperlink"/>
                <w:rFonts w:hint="eastAsia"/>
                <w:rtl/>
              </w:rPr>
              <w:t>הגדה</w:t>
            </w:r>
            <w:r w:rsidRPr="008C79A1">
              <w:rPr>
                <w:rStyle w:val="Hyperlink"/>
                <w:rtl/>
              </w:rPr>
              <w:t xml:space="preserve"> </w:t>
            </w:r>
            <w:r w:rsidRPr="008C79A1">
              <w:rPr>
                <w:rStyle w:val="Hyperlink"/>
                <w:rFonts w:hint="eastAsia"/>
                <w:rtl/>
              </w:rPr>
              <w:t>על</w:t>
            </w:r>
            <w:r w:rsidRPr="008C79A1">
              <w:rPr>
                <w:rStyle w:val="Hyperlink"/>
                <w:rtl/>
              </w:rPr>
              <w:t xml:space="preserve"> </w:t>
            </w:r>
            <w:r w:rsidRPr="008C79A1">
              <w:rPr>
                <w:rStyle w:val="Hyperlink"/>
                <w:rFonts w:hint="eastAsia"/>
                <w:rtl/>
              </w:rPr>
              <w:t>הכוסות</w:t>
            </w:r>
            <w:r w:rsidRPr="008C79A1">
              <w:rPr>
                <w:rStyle w:val="Hyperlink"/>
                <w:rtl/>
              </w:rPr>
              <w:t xml:space="preserve"> (</w:t>
            </w:r>
            <w:r w:rsidRPr="008C79A1">
              <w:rPr>
                <w:rStyle w:val="Hyperlink"/>
                <w:rFonts w:hint="eastAsia"/>
                <w:rtl/>
              </w:rPr>
              <w:t>גליון</w:t>
            </w:r>
            <w:r w:rsidRPr="008C79A1">
              <w:rPr>
                <w:rStyle w:val="Hyperlink"/>
                <w:rtl/>
              </w:rPr>
              <w:t>)</w:t>
            </w:r>
            <w:r>
              <w:rPr>
                <w:webHidden/>
              </w:rPr>
              <w:tab/>
            </w:r>
            <w:r>
              <w:rPr>
                <w:webHidden/>
              </w:rPr>
              <w:fldChar w:fldCharType="begin"/>
            </w:r>
            <w:r>
              <w:rPr>
                <w:webHidden/>
              </w:rPr>
              <w:instrText xml:space="preserve"> PAGEREF _Toc43963140 \h </w:instrText>
            </w:r>
            <w:r>
              <w:rPr>
                <w:webHidden/>
              </w:rPr>
            </w:r>
            <w:r>
              <w:rPr>
                <w:webHidden/>
              </w:rPr>
              <w:fldChar w:fldCharType="separate"/>
            </w:r>
            <w:r w:rsidR="008C1238">
              <w:rPr>
                <w:webHidden/>
                <w:rtl/>
              </w:rPr>
              <w:t>146</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41" w:history="1">
            <w:r w:rsidRPr="008C79A1">
              <w:rPr>
                <w:rStyle w:val="Hyperlink"/>
                <w:rFonts w:hint="eastAsia"/>
                <w:rtl/>
              </w:rPr>
              <w:t>הרב</w:t>
            </w:r>
            <w:r w:rsidRPr="008C79A1">
              <w:rPr>
                <w:rStyle w:val="Hyperlink"/>
                <w:rtl/>
              </w:rPr>
              <w:t xml:space="preserve"> </w:t>
            </w:r>
            <w:r w:rsidRPr="008C79A1">
              <w:rPr>
                <w:rStyle w:val="Hyperlink"/>
                <w:rFonts w:hint="eastAsia"/>
                <w:rtl/>
              </w:rPr>
              <w:t>שמעון</w:t>
            </w:r>
            <w:r w:rsidRPr="008C79A1">
              <w:rPr>
                <w:rStyle w:val="Hyperlink"/>
                <w:rtl/>
              </w:rPr>
              <w:t xml:space="preserve"> </w:t>
            </w:r>
            <w:r w:rsidRPr="008C79A1">
              <w:rPr>
                <w:rStyle w:val="Hyperlink"/>
                <w:rFonts w:hint="eastAsia"/>
                <w:rtl/>
              </w:rPr>
              <w:t>בן</w:t>
            </w:r>
            <w:r w:rsidRPr="008C79A1">
              <w:rPr>
                <w:rStyle w:val="Hyperlink"/>
                <w:rtl/>
              </w:rPr>
              <w:t xml:space="preserve"> </w:t>
            </w:r>
            <w:r w:rsidRPr="008C79A1">
              <w:rPr>
                <w:rStyle w:val="Hyperlink"/>
                <w:rFonts w:hint="eastAsia"/>
                <w:rtl/>
              </w:rPr>
              <w:t>ציון</w:t>
            </w:r>
            <w:r w:rsidRPr="008C79A1">
              <w:rPr>
                <w:rStyle w:val="Hyperlink"/>
                <w:rtl/>
              </w:rPr>
              <w:t xml:space="preserve"> </w:t>
            </w:r>
            <w:r w:rsidRPr="008C79A1">
              <w:rPr>
                <w:rStyle w:val="Hyperlink"/>
                <w:rFonts w:hint="eastAsia"/>
                <w:rtl/>
              </w:rPr>
              <w:t>אייזנבך</w:t>
            </w:r>
          </w:hyperlink>
        </w:p>
        <w:p w:rsidR="004820B2" w:rsidRDefault="004820B2" w:rsidP="004820B2">
          <w:pPr>
            <w:pStyle w:val="TOC2"/>
            <w:rPr>
              <w:rFonts w:asciiTheme="minorHAnsi" w:eastAsiaTheme="minorEastAsia" w:hAnsiTheme="minorHAnsi" w:cstheme="minorBidi"/>
            </w:rPr>
          </w:pPr>
          <w:hyperlink w:anchor="_Toc43963142" w:history="1">
            <w:r w:rsidRPr="008C79A1">
              <w:rPr>
                <w:rStyle w:val="Hyperlink"/>
                <w:rFonts w:eastAsia="Calibri" w:hint="eastAsia"/>
                <w:rtl/>
              </w:rPr>
              <w:t>הוספת</w:t>
            </w:r>
            <w:r w:rsidRPr="008C79A1">
              <w:rPr>
                <w:rStyle w:val="Hyperlink"/>
                <w:rFonts w:eastAsia="Calibri"/>
                <w:rtl/>
              </w:rPr>
              <w:t xml:space="preserve"> </w:t>
            </w:r>
            <w:r w:rsidRPr="008C79A1">
              <w:rPr>
                <w:rStyle w:val="Hyperlink"/>
                <w:rFonts w:eastAsia="Calibri" w:hint="eastAsia"/>
                <w:rtl/>
              </w:rPr>
              <w:t>שם</w:t>
            </w:r>
            <w:r w:rsidRPr="008C79A1">
              <w:rPr>
                <w:rStyle w:val="Hyperlink"/>
                <w:rFonts w:eastAsia="Calibri"/>
                <w:rtl/>
              </w:rPr>
              <w:t xml:space="preserve"> </w:t>
            </w:r>
            <w:r w:rsidRPr="008C79A1">
              <w:rPr>
                <w:rStyle w:val="Hyperlink"/>
                <w:rFonts w:eastAsia="Calibri" w:hint="eastAsia"/>
                <w:rtl/>
              </w:rPr>
              <w:t>לאחד</w:t>
            </w:r>
            <w:r w:rsidRPr="008C79A1">
              <w:rPr>
                <w:rStyle w:val="Hyperlink"/>
                <w:rFonts w:eastAsia="Calibri"/>
                <w:rtl/>
              </w:rPr>
              <w:t xml:space="preserve"> </w:t>
            </w:r>
            <w:r w:rsidRPr="008C79A1">
              <w:rPr>
                <w:rStyle w:val="Hyperlink"/>
                <w:rFonts w:eastAsia="Calibri" w:hint="eastAsia"/>
                <w:rtl/>
              </w:rPr>
              <w:t>המחותנים</w:t>
            </w:r>
            <w:r w:rsidRPr="008C79A1">
              <w:rPr>
                <w:rStyle w:val="Hyperlink"/>
                <w:rFonts w:eastAsia="Calibri"/>
                <w:rtl/>
              </w:rPr>
              <w:t xml:space="preserve"> (</w:t>
            </w:r>
            <w:r w:rsidRPr="008C79A1">
              <w:rPr>
                <w:rStyle w:val="Hyperlink"/>
                <w:rFonts w:eastAsia="Calibri" w:hint="eastAsia"/>
                <w:rtl/>
              </w:rPr>
              <w:t>גליון</w:t>
            </w:r>
            <w:r w:rsidRPr="008C79A1">
              <w:rPr>
                <w:rStyle w:val="Hyperlink"/>
                <w:rFonts w:eastAsia="Calibri"/>
                <w:rtl/>
              </w:rPr>
              <w:t>)</w:t>
            </w:r>
            <w:r>
              <w:rPr>
                <w:webHidden/>
              </w:rPr>
              <w:tab/>
            </w:r>
            <w:r>
              <w:rPr>
                <w:webHidden/>
              </w:rPr>
              <w:fldChar w:fldCharType="begin"/>
            </w:r>
            <w:r>
              <w:rPr>
                <w:webHidden/>
              </w:rPr>
              <w:instrText xml:space="preserve"> PAGEREF _Toc43963142 \h </w:instrText>
            </w:r>
            <w:r>
              <w:rPr>
                <w:webHidden/>
              </w:rPr>
            </w:r>
            <w:r>
              <w:rPr>
                <w:webHidden/>
              </w:rPr>
              <w:fldChar w:fldCharType="separate"/>
            </w:r>
            <w:r w:rsidR="008C1238">
              <w:rPr>
                <w:webHidden/>
                <w:rtl/>
              </w:rPr>
              <w:t>152</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43" w:history="1">
            <w:r w:rsidRPr="008C79A1">
              <w:rPr>
                <w:rStyle w:val="Hyperlink"/>
                <w:rFonts w:hint="eastAsia"/>
                <w:rtl/>
              </w:rPr>
              <w:t>הרב</w:t>
            </w:r>
            <w:r w:rsidRPr="008C79A1">
              <w:rPr>
                <w:rStyle w:val="Hyperlink"/>
                <w:rtl/>
              </w:rPr>
              <w:t xml:space="preserve"> </w:t>
            </w:r>
            <w:r w:rsidRPr="008C79A1">
              <w:rPr>
                <w:rStyle w:val="Hyperlink"/>
                <w:rFonts w:hint="eastAsia"/>
                <w:rtl/>
              </w:rPr>
              <w:t>יוסף</w:t>
            </w:r>
            <w:r w:rsidRPr="008C79A1">
              <w:rPr>
                <w:rStyle w:val="Hyperlink"/>
                <w:rtl/>
              </w:rPr>
              <w:t xml:space="preserve"> </w:t>
            </w:r>
            <w:r w:rsidRPr="008C79A1">
              <w:rPr>
                <w:rStyle w:val="Hyperlink"/>
                <w:rFonts w:hint="eastAsia"/>
                <w:rtl/>
              </w:rPr>
              <w:t>וויינבערגער</w:t>
            </w:r>
          </w:hyperlink>
        </w:p>
        <w:p w:rsidR="004820B2" w:rsidRDefault="004820B2" w:rsidP="004820B2">
          <w:pPr>
            <w:pStyle w:val="TOC2"/>
            <w:rPr>
              <w:rFonts w:asciiTheme="minorHAnsi" w:eastAsiaTheme="minorEastAsia" w:hAnsiTheme="minorHAnsi" w:cstheme="minorBidi"/>
            </w:rPr>
          </w:pPr>
          <w:hyperlink w:anchor="_Toc43963144" w:history="1">
            <w:r w:rsidRPr="008C79A1">
              <w:rPr>
                <w:rStyle w:val="Hyperlink"/>
                <w:rFonts w:hint="eastAsia"/>
                <w:rtl/>
              </w:rPr>
              <w:t>תפילת</w:t>
            </w:r>
            <w:r w:rsidRPr="008C79A1">
              <w:rPr>
                <w:rStyle w:val="Hyperlink"/>
                <w:rtl/>
              </w:rPr>
              <w:t xml:space="preserve"> </w:t>
            </w:r>
            <w:r w:rsidRPr="008C79A1">
              <w:rPr>
                <w:rStyle w:val="Hyperlink"/>
                <w:rFonts w:hint="eastAsia"/>
                <w:rtl/>
              </w:rPr>
              <w:t>ותיקין</w:t>
            </w:r>
            <w:r w:rsidRPr="008C79A1">
              <w:rPr>
                <w:rStyle w:val="Hyperlink"/>
                <w:rtl/>
              </w:rPr>
              <w:t xml:space="preserve"> </w:t>
            </w:r>
            <w:r w:rsidRPr="008C79A1">
              <w:rPr>
                <w:rStyle w:val="Hyperlink"/>
                <w:rFonts w:hint="eastAsia"/>
                <w:rtl/>
              </w:rPr>
              <w:t>או</w:t>
            </w:r>
            <w:r w:rsidRPr="008C79A1">
              <w:rPr>
                <w:rStyle w:val="Hyperlink"/>
                <w:rtl/>
              </w:rPr>
              <w:t xml:space="preserve"> </w:t>
            </w:r>
            <w:r w:rsidRPr="008C79A1">
              <w:rPr>
                <w:rStyle w:val="Hyperlink"/>
                <w:rFonts w:hint="eastAsia"/>
                <w:rtl/>
              </w:rPr>
              <w:t>שמיעת</w:t>
            </w:r>
            <w:r w:rsidRPr="008C79A1">
              <w:rPr>
                <w:rStyle w:val="Hyperlink"/>
                <w:rtl/>
              </w:rPr>
              <w:t xml:space="preserve"> </w:t>
            </w:r>
            <w:r w:rsidRPr="008C79A1">
              <w:rPr>
                <w:rStyle w:val="Hyperlink"/>
                <w:rFonts w:hint="eastAsia"/>
                <w:rtl/>
              </w:rPr>
              <w:t>ברכת</w:t>
            </w:r>
            <w:r w:rsidRPr="008C79A1">
              <w:rPr>
                <w:rStyle w:val="Hyperlink"/>
                <w:rtl/>
              </w:rPr>
              <w:t xml:space="preserve"> </w:t>
            </w:r>
            <w:r w:rsidRPr="008C79A1">
              <w:rPr>
                <w:rStyle w:val="Hyperlink"/>
                <w:rFonts w:hint="eastAsia"/>
                <w:rtl/>
              </w:rPr>
              <w:t>כהנים</w:t>
            </w:r>
            <w:r>
              <w:rPr>
                <w:webHidden/>
              </w:rPr>
              <w:tab/>
            </w:r>
            <w:r>
              <w:rPr>
                <w:webHidden/>
              </w:rPr>
              <w:fldChar w:fldCharType="begin"/>
            </w:r>
            <w:r>
              <w:rPr>
                <w:webHidden/>
              </w:rPr>
              <w:instrText xml:space="preserve"> PAGEREF _Toc43963144 \h </w:instrText>
            </w:r>
            <w:r>
              <w:rPr>
                <w:webHidden/>
              </w:rPr>
            </w:r>
            <w:r>
              <w:rPr>
                <w:webHidden/>
              </w:rPr>
              <w:fldChar w:fldCharType="separate"/>
            </w:r>
            <w:r w:rsidR="008C1238">
              <w:rPr>
                <w:webHidden/>
                <w:rtl/>
              </w:rPr>
              <w:t>156</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45" w:history="1">
            <w:r w:rsidRPr="008C79A1">
              <w:rPr>
                <w:rStyle w:val="Hyperlink"/>
                <w:rFonts w:hint="eastAsia"/>
                <w:rtl/>
              </w:rPr>
              <w:t>הרב</w:t>
            </w:r>
            <w:r w:rsidRPr="008C79A1">
              <w:rPr>
                <w:rStyle w:val="Hyperlink"/>
                <w:rtl/>
              </w:rPr>
              <w:t xml:space="preserve"> </w:t>
            </w:r>
            <w:r w:rsidRPr="008C79A1">
              <w:rPr>
                <w:rStyle w:val="Hyperlink"/>
                <w:rFonts w:hint="eastAsia"/>
                <w:rtl/>
              </w:rPr>
              <w:t>גמליאל</w:t>
            </w:r>
            <w:r w:rsidRPr="008C79A1">
              <w:rPr>
                <w:rStyle w:val="Hyperlink"/>
                <w:rtl/>
              </w:rPr>
              <w:t xml:space="preserve"> </w:t>
            </w:r>
            <w:r w:rsidRPr="008C79A1">
              <w:rPr>
                <w:rStyle w:val="Hyperlink"/>
                <w:rFonts w:hint="eastAsia"/>
                <w:rtl/>
              </w:rPr>
              <w:t>הכהן</w:t>
            </w:r>
            <w:r w:rsidRPr="008C79A1">
              <w:rPr>
                <w:rStyle w:val="Hyperlink"/>
                <w:rtl/>
              </w:rPr>
              <w:t xml:space="preserve"> </w:t>
            </w:r>
            <w:r w:rsidRPr="008C79A1">
              <w:rPr>
                <w:rStyle w:val="Hyperlink"/>
                <w:rFonts w:hint="eastAsia"/>
                <w:rtl/>
              </w:rPr>
              <w:t>רבינוביץ</w:t>
            </w:r>
          </w:hyperlink>
        </w:p>
        <w:p w:rsidR="004820B2" w:rsidRDefault="004820B2" w:rsidP="004820B2">
          <w:pPr>
            <w:pStyle w:val="TOC2"/>
            <w:rPr>
              <w:rFonts w:asciiTheme="minorHAnsi" w:eastAsiaTheme="minorEastAsia" w:hAnsiTheme="minorHAnsi" w:cstheme="minorBidi"/>
            </w:rPr>
          </w:pPr>
          <w:hyperlink w:anchor="_Toc43963146" w:history="1">
            <w:r w:rsidRPr="008C79A1">
              <w:rPr>
                <w:rStyle w:val="Hyperlink"/>
                <w:rFonts w:hint="eastAsia"/>
                <w:rtl/>
              </w:rPr>
              <w:t>כיצד</w:t>
            </w:r>
            <w:r w:rsidRPr="008C79A1">
              <w:rPr>
                <w:rStyle w:val="Hyperlink"/>
                <w:rtl/>
              </w:rPr>
              <w:t xml:space="preserve"> </w:t>
            </w:r>
            <w:r w:rsidRPr="008C79A1">
              <w:rPr>
                <w:rStyle w:val="Hyperlink"/>
                <w:rFonts w:hint="eastAsia"/>
                <w:rtl/>
              </w:rPr>
              <w:t>יכוין</w:t>
            </w:r>
            <w:r w:rsidRPr="008C79A1">
              <w:rPr>
                <w:rStyle w:val="Hyperlink"/>
                <w:rtl/>
              </w:rPr>
              <w:t xml:space="preserve"> </w:t>
            </w:r>
            <w:r w:rsidRPr="008C79A1">
              <w:rPr>
                <w:rStyle w:val="Hyperlink"/>
                <w:rFonts w:hint="eastAsia"/>
                <w:rtl/>
              </w:rPr>
              <w:t>כוונת</w:t>
            </w:r>
            <w:r w:rsidRPr="008C79A1">
              <w:rPr>
                <w:rStyle w:val="Hyperlink"/>
                <w:rtl/>
              </w:rPr>
              <w:t xml:space="preserve"> </w:t>
            </w:r>
            <w:r w:rsidRPr="008C79A1">
              <w:rPr>
                <w:rStyle w:val="Hyperlink"/>
                <w:rFonts w:hint="eastAsia"/>
                <w:rtl/>
              </w:rPr>
              <w:t>הצדקה</w:t>
            </w:r>
            <w:r w:rsidRPr="008C79A1">
              <w:rPr>
                <w:rStyle w:val="Hyperlink"/>
                <w:rtl/>
              </w:rPr>
              <w:t xml:space="preserve"> </w:t>
            </w:r>
            <w:r w:rsidRPr="008C79A1">
              <w:rPr>
                <w:rStyle w:val="Hyperlink"/>
                <w:rFonts w:hint="eastAsia"/>
                <w:rtl/>
              </w:rPr>
              <w:t>בזמן</w:t>
            </w:r>
            <w:r w:rsidRPr="008C79A1">
              <w:rPr>
                <w:rStyle w:val="Hyperlink"/>
                <w:rtl/>
              </w:rPr>
              <w:t xml:space="preserve"> </w:t>
            </w:r>
            <w:r w:rsidRPr="008C79A1">
              <w:rPr>
                <w:rStyle w:val="Hyperlink"/>
                <w:rFonts w:hint="eastAsia"/>
                <w:rtl/>
              </w:rPr>
              <w:t>המגפה</w:t>
            </w:r>
            <w:r w:rsidRPr="008C79A1">
              <w:rPr>
                <w:rStyle w:val="Hyperlink"/>
                <w:rtl/>
              </w:rPr>
              <w:t xml:space="preserve"> </w:t>
            </w:r>
            <w:r w:rsidRPr="008C79A1">
              <w:rPr>
                <w:rStyle w:val="Hyperlink"/>
                <w:rFonts w:hint="eastAsia"/>
                <w:rtl/>
              </w:rPr>
              <w:t>רח</w:t>
            </w:r>
            <w:r w:rsidRPr="008C79A1">
              <w:rPr>
                <w:rStyle w:val="Hyperlink"/>
                <w:rtl/>
              </w:rPr>
              <w:t>"</w:t>
            </w:r>
            <w:r w:rsidRPr="008C79A1">
              <w:rPr>
                <w:rStyle w:val="Hyperlink"/>
                <w:rFonts w:hint="eastAsia"/>
                <w:rtl/>
              </w:rPr>
              <w:t>ל</w:t>
            </w:r>
            <w:r>
              <w:rPr>
                <w:webHidden/>
              </w:rPr>
              <w:tab/>
            </w:r>
            <w:r>
              <w:rPr>
                <w:webHidden/>
              </w:rPr>
              <w:fldChar w:fldCharType="begin"/>
            </w:r>
            <w:r>
              <w:rPr>
                <w:webHidden/>
              </w:rPr>
              <w:instrText xml:space="preserve"> PAGEREF _Toc43963146 \h </w:instrText>
            </w:r>
            <w:r>
              <w:rPr>
                <w:webHidden/>
              </w:rPr>
            </w:r>
            <w:r>
              <w:rPr>
                <w:webHidden/>
              </w:rPr>
              <w:fldChar w:fldCharType="separate"/>
            </w:r>
            <w:r w:rsidR="008C1238">
              <w:rPr>
                <w:webHidden/>
                <w:rtl/>
              </w:rPr>
              <w:t>159</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47" w:history="1">
            <w:r w:rsidRPr="008C79A1">
              <w:rPr>
                <w:rStyle w:val="Hyperlink"/>
                <w:rFonts w:hint="eastAsia"/>
                <w:rtl/>
              </w:rPr>
              <w:t>הרב</w:t>
            </w:r>
            <w:r w:rsidRPr="008C79A1">
              <w:rPr>
                <w:rStyle w:val="Hyperlink"/>
                <w:rtl/>
              </w:rPr>
              <w:t xml:space="preserve"> </w:t>
            </w:r>
            <w:r w:rsidRPr="008C79A1">
              <w:rPr>
                <w:rStyle w:val="Hyperlink"/>
                <w:rFonts w:hint="eastAsia"/>
                <w:rtl/>
              </w:rPr>
              <w:t>אמיר</w:t>
            </w:r>
            <w:r w:rsidRPr="008C79A1">
              <w:rPr>
                <w:rStyle w:val="Hyperlink"/>
                <w:rtl/>
              </w:rPr>
              <w:t xml:space="preserve"> </w:t>
            </w:r>
            <w:r w:rsidRPr="008C79A1">
              <w:rPr>
                <w:rStyle w:val="Hyperlink"/>
                <w:rFonts w:hint="eastAsia"/>
                <w:rtl/>
              </w:rPr>
              <w:t>ולר</w:t>
            </w:r>
          </w:hyperlink>
        </w:p>
        <w:p w:rsidR="004820B2" w:rsidRDefault="004820B2" w:rsidP="004820B2">
          <w:pPr>
            <w:pStyle w:val="TOC2"/>
            <w:rPr>
              <w:rFonts w:asciiTheme="minorHAnsi" w:eastAsiaTheme="minorEastAsia" w:hAnsiTheme="minorHAnsi" w:cstheme="minorBidi"/>
            </w:rPr>
          </w:pPr>
          <w:hyperlink w:anchor="_Toc43963148" w:history="1">
            <w:r w:rsidRPr="008C79A1">
              <w:rPr>
                <w:rStyle w:val="Hyperlink"/>
                <w:rFonts w:hint="eastAsia"/>
                <w:rtl/>
              </w:rPr>
              <w:t>דין</w:t>
            </w:r>
            <w:r w:rsidRPr="008C79A1">
              <w:rPr>
                <w:rStyle w:val="Hyperlink"/>
                <w:rtl/>
              </w:rPr>
              <w:t xml:space="preserve"> </w:t>
            </w:r>
            <w:r w:rsidRPr="008C79A1">
              <w:rPr>
                <w:rStyle w:val="Hyperlink"/>
                <w:rFonts w:hint="eastAsia"/>
                <w:rtl/>
              </w:rPr>
              <w:t>חתימת</w:t>
            </w:r>
            <w:r w:rsidRPr="008C79A1">
              <w:rPr>
                <w:rStyle w:val="Hyperlink"/>
                <w:rtl/>
              </w:rPr>
              <w:t xml:space="preserve"> </w:t>
            </w:r>
            <w:r w:rsidRPr="008C79A1">
              <w:rPr>
                <w:rStyle w:val="Hyperlink"/>
                <w:rFonts w:hint="eastAsia"/>
                <w:rtl/>
              </w:rPr>
              <w:t>הברכה</w:t>
            </w:r>
            <w:r w:rsidRPr="008C79A1">
              <w:rPr>
                <w:rStyle w:val="Hyperlink"/>
                <w:rtl/>
              </w:rPr>
              <w:t xml:space="preserve"> </w:t>
            </w:r>
            <w:r w:rsidRPr="008C79A1">
              <w:rPr>
                <w:rStyle w:val="Hyperlink"/>
                <w:rFonts w:hint="eastAsia"/>
                <w:rtl/>
              </w:rPr>
              <w:t>כתיקונה</w:t>
            </w:r>
            <w:r>
              <w:rPr>
                <w:webHidden/>
              </w:rPr>
              <w:tab/>
            </w:r>
            <w:r>
              <w:rPr>
                <w:webHidden/>
              </w:rPr>
              <w:fldChar w:fldCharType="begin"/>
            </w:r>
            <w:r>
              <w:rPr>
                <w:webHidden/>
              </w:rPr>
              <w:instrText xml:space="preserve"> PAGEREF _Toc43963148 \h </w:instrText>
            </w:r>
            <w:r>
              <w:rPr>
                <w:webHidden/>
              </w:rPr>
            </w:r>
            <w:r>
              <w:rPr>
                <w:webHidden/>
              </w:rPr>
              <w:fldChar w:fldCharType="separate"/>
            </w:r>
            <w:r w:rsidR="008C1238">
              <w:rPr>
                <w:webHidden/>
                <w:rtl/>
              </w:rPr>
              <w:t>160</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49" w:history="1">
            <w:r w:rsidRPr="008C79A1">
              <w:rPr>
                <w:rStyle w:val="Hyperlink"/>
                <w:rFonts w:hint="eastAsia"/>
                <w:shd w:val="clear" w:color="auto" w:fill="FFFFFF"/>
                <w:rtl/>
              </w:rPr>
              <w:t>הת</w:t>
            </w:r>
            <w:r w:rsidRPr="008C79A1">
              <w:rPr>
                <w:rStyle w:val="Hyperlink"/>
                <w:shd w:val="clear" w:color="auto" w:fill="FFFFFF"/>
                <w:rtl/>
              </w:rPr>
              <w:t xml:space="preserve">' </w:t>
            </w:r>
            <w:r w:rsidRPr="008C79A1">
              <w:rPr>
                <w:rStyle w:val="Hyperlink"/>
                <w:rFonts w:hint="eastAsia"/>
                <w:shd w:val="clear" w:color="auto" w:fill="FFFFFF"/>
                <w:rtl/>
              </w:rPr>
              <w:t>יועז</w:t>
            </w:r>
            <w:r w:rsidRPr="008C79A1">
              <w:rPr>
                <w:rStyle w:val="Hyperlink"/>
                <w:shd w:val="clear" w:color="auto" w:fill="FFFFFF"/>
                <w:rtl/>
              </w:rPr>
              <w:t xml:space="preserve"> </w:t>
            </w:r>
            <w:r w:rsidRPr="008C79A1">
              <w:rPr>
                <w:rStyle w:val="Hyperlink"/>
                <w:rFonts w:hint="eastAsia"/>
                <w:shd w:val="clear" w:color="auto" w:fill="FFFFFF"/>
                <w:rtl/>
              </w:rPr>
              <w:t>קמפבל</w:t>
            </w:r>
          </w:hyperlink>
        </w:p>
        <w:p w:rsidR="004820B2" w:rsidRDefault="004820B2" w:rsidP="002C5DAA">
          <w:pPr>
            <w:pStyle w:val="TOC1"/>
            <w:rPr>
              <w:rFonts w:asciiTheme="minorHAnsi" w:eastAsiaTheme="minorEastAsia" w:hAnsiTheme="minorHAnsi" w:cstheme="minorBidi"/>
              <w:sz w:val="22"/>
              <w:szCs w:val="22"/>
            </w:rPr>
          </w:pPr>
          <w:hyperlink w:anchor="_Toc43963150" w:history="1">
            <w:r w:rsidRPr="008C79A1">
              <w:rPr>
                <w:rStyle w:val="Hyperlink"/>
                <w:rFonts w:hint="eastAsia"/>
                <w:rtl/>
              </w:rPr>
              <w:t>פשוטו</w:t>
            </w:r>
            <w:r w:rsidRPr="008C79A1">
              <w:rPr>
                <w:rStyle w:val="Hyperlink"/>
                <w:rtl/>
              </w:rPr>
              <w:t xml:space="preserve"> </w:t>
            </w:r>
            <w:r w:rsidRPr="008C79A1">
              <w:rPr>
                <w:rStyle w:val="Hyperlink"/>
                <w:rFonts w:hint="eastAsia"/>
                <w:rtl/>
              </w:rPr>
              <w:t>של</w:t>
            </w:r>
            <w:r w:rsidRPr="008C79A1">
              <w:rPr>
                <w:rStyle w:val="Hyperlink"/>
                <w:rtl/>
              </w:rPr>
              <w:t xml:space="preserve"> </w:t>
            </w:r>
            <w:r w:rsidRPr="008C79A1">
              <w:rPr>
                <w:rStyle w:val="Hyperlink"/>
                <w:rFonts w:hint="eastAsia"/>
                <w:rtl/>
              </w:rPr>
              <w:t>מקרא</w:t>
            </w:r>
          </w:hyperlink>
        </w:p>
        <w:p w:rsidR="004820B2" w:rsidRDefault="004820B2" w:rsidP="004820B2">
          <w:pPr>
            <w:pStyle w:val="TOC2"/>
            <w:rPr>
              <w:rFonts w:asciiTheme="minorHAnsi" w:eastAsiaTheme="minorEastAsia" w:hAnsiTheme="minorHAnsi" w:cstheme="minorBidi"/>
            </w:rPr>
          </w:pPr>
          <w:hyperlink w:anchor="_Toc43963151" w:history="1">
            <w:r w:rsidRPr="008C79A1">
              <w:rPr>
                <w:rStyle w:val="Hyperlink"/>
                <w:rFonts w:hint="eastAsia"/>
                <w:rtl/>
              </w:rPr>
              <w:t>על</w:t>
            </w:r>
            <w:r w:rsidRPr="008C79A1">
              <w:rPr>
                <w:rStyle w:val="Hyperlink"/>
                <w:rtl/>
              </w:rPr>
              <w:t xml:space="preserve"> </w:t>
            </w:r>
            <w:r w:rsidRPr="008C79A1">
              <w:rPr>
                <w:rStyle w:val="Hyperlink"/>
                <w:rFonts w:hint="eastAsia"/>
                <w:rtl/>
              </w:rPr>
              <w:t>פי</w:t>
            </w:r>
            <w:r w:rsidRPr="008C79A1">
              <w:rPr>
                <w:rStyle w:val="Hyperlink"/>
                <w:rtl/>
              </w:rPr>
              <w:t xml:space="preserve"> </w:t>
            </w:r>
            <w:r w:rsidRPr="008C79A1">
              <w:rPr>
                <w:rStyle w:val="Hyperlink"/>
                <w:rFonts w:hint="eastAsia"/>
                <w:rtl/>
              </w:rPr>
              <w:t>ה</w:t>
            </w:r>
            <w:r w:rsidRPr="008C79A1">
              <w:rPr>
                <w:rStyle w:val="Hyperlink"/>
                <w:rtl/>
              </w:rPr>
              <w:t xml:space="preserve">' </w:t>
            </w:r>
            <w:r w:rsidRPr="008C79A1">
              <w:rPr>
                <w:rStyle w:val="Hyperlink"/>
                <w:rFonts w:hint="eastAsia"/>
                <w:rtl/>
              </w:rPr>
              <w:t>פ</w:t>
            </w:r>
            <w:r w:rsidRPr="008C79A1">
              <w:rPr>
                <w:rStyle w:val="Hyperlink"/>
                <w:rtl/>
              </w:rPr>
              <w:t xml:space="preserve">' </w:t>
            </w:r>
            <w:r w:rsidRPr="008C79A1">
              <w:rPr>
                <w:rStyle w:val="Hyperlink"/>
                <w:rFonts w:hint="eastAsia"/>
                <w:rtl/>
              </w:rPr>
              <w:t>במדבר</w:t>
            </w:r>
            <w:r w:rsidRPr="008C79A1">
              <w:rPr>
                <w:rStyle w:val="Hyperlink"/>
                <w:rtl/>
              </w:rPr>
              <w:t xml:space="preserve"> </w:t>
            </w:r>
            <w:r w:rsidRPr="008C79A1">
              <w:rPr>
                <w:rStyle w:val="Hyperlink"/>
                <w:rFonts w:hint="eastAsia"/>
                <w:rtl/>
              </w:rPr>
              <w:t>ג</w:t>
            </w:r>
            <w:r w:rsidRPr="008C79A1">
              <w:rPr>
                <w:rStyle w:val="Hyperlink"/>
                <w:rtl/>
              </w:rPr>
              <w:t xml:space="preserve">' </w:t>
            </w:r>
            <w:r w:rsidRPr="008C79A1">
              <w:rPr>
                <w:rStyle w:val="Hyperlink"/>
                <w:rFonts w:hint="eastAsia"/>
                <w:rtl/>
              </w:rPr>
              <w:t>ט</w:t>
            </w:r>
            <w:r w:rsidRPr="008C79A1">
              <w:rPr>
                <w:rStyle w:val="Hyperlink"/>
                <w:rtl/>
              </w:rPr>
              <w:t>"</w:t>
            </w:r>
            <w:r w:rsidRPr="008C79A1">
              <w:rPr>
                <w:rStyle w:val="Hyperlink"/>
                <w:rFonts w:hint="eastAsia"/>
                <w:rtl/>
              </w:rPr>
              <w:t>ז</w:t>
            </w:r>
            <w:r>
              <w:rPr>
                <w:webHidden/>
              </w:rPr>
              <w:tab/>
            </w:r>
            <w:r>
              <w:rPr>
                <w:webHidden/>
              </w:rPr>
              <w:fldChar w:fldCharType="begin"/>
            </w:r>
            <w:r>
              <w:rPr>
                <w:webHidden/>
              </w:rPr>
              <w:instrText xml:space="preserve"> PAGEREF _Toc43963151 \h </w:instrText>
            </w:r>
            <w:r>
              <w:rPr>
                <w:webHidden/>
              </w:rPr>
            </w:r>
            <w:r>
              <w:rPr>
                <w:webHidden/>
              </w:rPr>
              <w:fldChar w:fldCharType="separate"/>
            </w:r>
            <w:r w:rsidR="008C1238">
              <w:rPr>
                <w:webHidden/>
                <w:rtl/>
              </w:rPr>
              <w:t>167</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52" w:history="1">
            <w:r w:rsidRPr="008C79A1">
              <w:rPr>
                <w:rStyle w:val="Hyperlink"/>
                <w:rFonts w:hint="eastAsia"/>
                <w:rtl/>
              </w:rPr>
              <w:t>הרב</w:t>
            </w:r>
            <w:r w:rsidRPr="008C79A1">
              <w:rPr>
                <w:rStyle w:val="Hyperlink"/>
                <w:rtl/>
              </w:rPr>
              <w:t xml:space="preserve"> </w:t>
            </w:r>
            <w:r w:rsidRPr="008C79A1">
              <w:rPr>
                <w:rStyle w:val="Hyperlink"/>
                <w:rFonts w:hint="eastAsia"/>
                <w:rtl/>
              </w:rPr>
              <w:t>שרגא</w:t>
            </w:r>
            <w:r w:rsidRPr="008C79A1">
              <w:rPr>
                <w:rStyle w:val="Hyperlink"/>
                <w:rtl/>
              </w:rPr>
              <w:t xml:space="preserve"> </w:t>
            </w:r>
            <w:r w:rsidRPr="008C79A1">
              <w:rPr>
                <w:rStyle w:val="Hyperlink"/>
                <w:rFonts w:hint="eastAsia"/>
                <w:rtl/>
              </w:rPr>
              <w:t>פייוויל</w:t>
            </w:r>
            <w:r w:rsidRPr="008C79A1">
              <w:rPr>
                <w:rStyle w:val="Hyperlink"/>
                <w:rtl/>
              </w:rPr>
              <w:t xml:space="preserve"> </w:t>
            </w:r>
            <w:r w:rsidRPr="008C79A1">
              <w:rPr>
                <w:rStyle w:val="Hyperlink"/>
                <w:rFonts w:hint="eastAsia"/>
                <w:rtl/>
              </w:rPr>
              <w:t>רימלער</w:t>
            </w:r>
          </w:hyperlink>
        </w:p>
        <w:p w:rsidR="004820B2" w:rsidRDefault="004820B2" w:rsidP="002C5DAA">
          <w:pPr>
            <w:pStyle w:val="TOC1"/>
            <w:rPr>
              <w:rFonts w:asciiTheme="minorHAnsi" w:eastAsiaTheme="minorEastAsia" w:hAnsiTheme="minorHAnsi" w:cstheme="minorBidi"/>
              <w:sz w:val="22"/>
              <w:szCs w:val="22"/>
            </w:rPr>
          </w:pPr>
          <w:hyperlink w:anchor="_Toc43963153" w:history="1">
            <w:r w:rsidRPr="008C79A1">
              <w:rPr>
                <w:rStyle w:val="Hyperlink"/>
                <w:rFonts w:hint="eastAsia"/>
                <w:rtl/>
              </w:rPr>
              <w:t>שונות</w:t>
            </w:r>
          </w:hyperlink>
        </w:p>
        <w:p w:rsidR="004820B2" w:rsidRDefault="004820B2" w:rsidP="004820B2">
          <w:pPr>
            <w:pStyle w:val="TOC2"/>
            <w:rPr>
              <w:rFonts w:asciiTheme="minorHAnsi" w:eastAsiaTheme="minorEastAsia" w:hAnsiTheme="minorHAnsi" w:cstheme="minorBidi"/>
            </w:rPr>
          </w:pPr>
          <w:hyperlink w:anchor="_Toc43963154" w:history="1">
            <w:r w:rsidRPr="008C79A1">
              <w:rPr>
                <w:rStyle w:val="Hyperlink"/>
                <w:rtl/>
              </w:rPr>
              <w:t>'</w:t>
            </w:r>
            <w:r w:rsidRPr="008C79A1">
              <w:rPr>
                <w:rStyle w:val="Hyperlink"/>
                <w:rFonts w:hint="eastAsia"/>
                <w:rtl/>
              </w:rPr>
              <w:t>אֱלִיעֶזֶר</w:t>
            </w:r>
            <w:r w:rsidRPr="008C79A1">
              <w:rPr>
                <w:rStyle w:val="Hyperlink"/>
                <w:rtl/>
              </w:rPr>
              <w:t xml:space="preserve"> </w:t>
            </w:r>
            <w:r w:rsidRPr="008C79A1">
              <w:rPr>
                <w:rStyle w:val="Hyperlink"/>
                <w:rFonts w:hint="eastAsia"/>
                <w:rtl/>
              </w:rPr>
              <w:t>בֶּן</w:t>
            </w:r>
            <w:r w:rsidRPr="008C79A1">
              <w:rPr>
                <w:rStyle w:val="Hyperlink"/>
                <w:rtl/>
              </w:rPr>
              <w:t xml:space="preserve"> </w:t>
            </w:r>
            <w:r w:rsidRPr="008C79A1">
              <w:rPr>
                <w:rStyle w:val="Hyperlink"/>
                <w:rFonts w:hint="eastAsia"/>
                <w:rtl/>
              </w:rPr>
              <w:t>הוֹרְקְנוֹס</w:t>
            </w:r>
            <w:r w:rsidRPr="008C79A1">
              <w:rPr>
                <w:rStyle w:val="Hyperlink"/>
                <w:rtl/>
              </w:rPr>
              <w:t xml:space="preserve"> </w:t>
            </w:r>
            <w:r w:rsidRPr="008C79A1">
              <w:rPr>
                <w:rStyle w:val="Hyperlink"/>
                <w:rFonts w:hint="eastAsia"/>
                <w:rtl/>
              </w:rPr>
              <w:t>מַכְרִיעַ</w:t>
            </w:r>
            <w:r w:rsidRPr="008C79A1">
              <w:rPr>
                <w:rStyle w:val="Hyperlink"/>
                <w:rtl/>
              </w:rPr>
              <w:t xml:space="preserve"> </w:t>
            </w:r>
            <w:r w:rsidRPr="008C79A1">
              <w:rPr>
                <w:rStyle w:val="Hyperlink"/>
                <w:rFonts w:hint="eastAsia"/>
                <w:rtl/>
              </w:rPr>
              <w:t>אֶת</w:t>
            </w:r>
            <w:r w:rsidRPr="008C79A1">
              <w:rPr>
                <w:rStyle w:val="Hyperlink"/>
                <w:rtl/>
              </w:rPr>
              <w:t xml:space="preserve"> </w:t>
            </w:r>
            <w:r w:rsidRPr="008C79A1">
              <w:rPr>
                <w:rStyle w:val="Hyperlink"/>
                <w:rFonts w:hint="eastAsia"/>
                <w:rtl/>
              </w:rPr>
              <w:t>כֻּלָּם</w:t>
            </w:r>
            <w:r w:rsidRPr="008C79A1">
              <w:rPr>
                <w:rStyle w:val="Hyperlink"/>
                <w:rtl/>
              </w:rPr>
              <w:t>'</w:t>
            </w:r>
            <w:r>
              <w:rPr>
                <w:webHidden/>
              </w:rPr>
              <w:tab/>
            </w:r>
            <w:r>
              <w:rPr>
                <w:webHidden/>
              </w:rPr>
              <w:fldChar w:fldCharType="begin"/>
            </w:r>
            <w:r>
              <w:rPr>
                <w:webHidden/>
              </w:rPr>
              <w:instrText xml:space="preserve"> PAGEREF _Toc43963154 \h </w:instrText>
            </w:r>
            <w:r>
              <w:rPr>
                <w:webHidden/>
              </w:rPr>
            </w:r>
            <w:r>
              <w:rPr>
                <w:webHidden/>
              </w:rPr>
              <w:fldChar w:fldCharType="separate"/>
            </w:r>
            <w:r w:rsidR="008C1238">
              <w:rPr>
                <w:webHidden/>
                <w:rtl/>
              </w:rPr>
              <w:t>169</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55" w:history="1">
            <w:r w:rsidRPr="008C79A1">
              <w:rPr>
                <w:rStyle w:val="Hyperlink"/>
                <w:rFonts w:hint="eastAsia"/>
                <w:rtl/>
              </w:rPr>
              <w:t>הרב</w:t>
            </w:r>
            <w:r w:rsidRPr="008C79A1">
              <w:rPr>
                <w:rStyle w:val="Hyperlink"/>
                <w:rtl/>
              </w:rPr>
              <w:t xml:space="preserve"> </w:t>
            </w:r>
            <w:r w:rsidRPr="008C79A1">
              <w:rPr>
                <w:rStyle w:val="Hyperlink"/>
                <w:rFonts w:hint="eastAsia"/>
                <w:rtl/>
              </w:rPr>
              <w:t>ישכר</w:t>
            </w:r>
            <w:r w:rsidRPr="008C79A1">
              <w:rPr>
                <w:rStyle w:val="Hyperlink"/>
                <w:rtl/>
              </w:rPr>
              <w:t xml:space="preserve"> </w:t>
            </w:r>
            <w:r w:rsidRPr="008C79A1">
              <w:rPr>
                <w:rStyle w:val="Hyperlink"/>
                <w:rFonts w:hint="eastAsia"/>
                <w:rtl/>
              </w:rPr>
              <w:t>דוד</w:t>
            </w:r>
            <w:r w:rsidRPr="008C79A1">
              <w:rPr>
                <w:rStyle w:val="Hyperlink"/>
                <w:rtl/>
              </w:rPr>
              <w:t xml:space="preserve"> </w:t>
            </w:r>
            <w:r w:rsidRPr="008C79A1">
              <w:rPr>
                <w:rStyle w:val="Hyperlink"/>
                <w:rFonts w:hint="eastAsia"/>
                <w:rtl/>
              </w:rPr>
              <w:t>קלויזנר</w:t>
            </w:r>
          </w:hyperlink>
        </w:p>
        <w:p w:rsidR="004820B2" w:rsidRDefault="004820B2" w:rsidP="004820B2">
          <w:pPr>
            <w:pStyle w:val="TOC2"/>
            <w:rPr>
              <w:rFonts w:asciiTheme="minorHAnsi" w:eastAsiaTheme="minorEastAsia" w:hAnsiTheme="minorHAnsi" w:cstheme="minorBidi"/>
            </w:rPr>
          </w:pPr>
          <w:hyperlink w:anchor="_Toc43963156" w:history="1">
            <w:r w:rsidRPr="008C79A1">
              <w:rPr>
                <w:rStyle w:val="Hyperlink"/>
                <w:rFonts w:hint="eastAsia"/>
                <w:rtl/>
              </w:rPr>
              <w:t>חידוש</w:t>
            </w:r>
            <w:r w:rsidRPr="008C79A1">
              <w:rPr>
                <w:rStyle w:val="Hyperlink"/>
                <w:rtl/>
              </w:rPr>
              <w:t xml:space="preserve"> </w:t>
            </w:r>
            <w:r w:rsidRPr="008C79A1">
              <w:rPr>
                <w:rStyle w:val="Hyperlink"/>
                <w:rFonts w:hint="eastAsia"/>
                <w:rtl/>
              </w:rPr>
              <w:t>רבינו</w:t>
            </w:r>
            <w:r w:rsidRPr="008C79A1">
              <w:rPr>
                <w:rStyle w:val="Hyperlink"/>
                <w:rtl/>
              </w:rPr>
              <w:t xml:space="preserve"> </w:t>
            </w:r>
            <w:r w:rsidRPr="008C79A1">
              <w:rPr>
                <w:rStyle w:val="Hyperlink"/>
                <w:rFonts w:hint="eastAsia"/>
                <w:rtl/>
              </w:rPr>
              <w:t>הזקן</w:t>
            </w:r>
            <w:r w:rsidRPr="008C79A1">
              <w:rPr>
                <w:rStyle w:val="Hyperlink"/>
                <w:rtl/>
              </w:rPr>
              <w:t xml:space="preserve"> </w:t>
            </w:r>
            <w:r w:rsidRPr="008C79A1">
              <w:rPr>
                <w:rStyle w:val="Hyperlink"/>
                <w:rFonts w:hint="eastAsia"/>
                <w:rtl/>
              </w:rPr>
              <w:t>באגה״ק</w:t>
            </w:r>
            <w:r w:rsidRPr="008C79A1">
              <w:rPr>
                <w:rStyle w:val="Hyperlink"/>
                <w:rtl/>
              </w:rPr>
              <w:t xml:space="preserve"> </w:t>
            </w:r>
            <w:r w:rsidRPr="008C79A1">
              <w:rPr>
                <w:rStyle w:val="Hyperlink"/>
                <w:rFonts w:hint="eastAsia"/>
                <w:rtl/>
              </w:rPr>
              <w:t>סי׳</w:t>
            </w:r>
            <w:r w:rsidRPr="008C79A1">
              <w:rPr>
                <w:rStyle w:val="Hyperlink"/>
                <w:rtl/>
              </w:rPr>
              <w:t xml:space="preserve"> </w:t>
            </w:r>
            <w:r w:rsidRPr="008C79A1">
              <w:rPr>
                <w:rStyle w:val="Hyperlink"/>
                <w:rFonts w:hint="eastAsia"/>
                <w:rtl/>
              </w:rPr>
              <w:t>כג</w:t>
            </w:r>
            <w:r w:rsidRPr="008C79A1">
              <w:rPr>
                <w:rStyle w:val="Hyperlink"/>
                <w:rtl/>
              </w:rPr>
              <w:t xml:space="preserve"> </w:t>
            </w:r>
            <w:r w:rsidRPr="008C79A1">
              <w:rPr>
                <w:rStyle w:val="Hyperlink"/>
                <w:rFonts w:hint="eastAsia"/>
                <w:rtl/>
              </w:rPr>
              <w:t>בענין</w:t>
            </w:r>
            <w:r w:rsidRPr="008C79A1">
              <w:rPr>
                <w:rStyle w:val="Hyperlink"/>
                <w:rtl/>
              </w:rPr>
              <w:t xml:space="preserve"> </w:t>
            </w:r>
            <w:r w:rsidRPr="008C79A1">
              <w:rPr>
                <w:rStyle w:val="Hyperlink"/>
                <w:rFonts w:hint="eastAsia"/>
                <w:rtl/>
              </w:rPr>
              <w:t>׳כל</w:t>
            </w:r>
            <w:r w:rsidRPr="008C79A1">
              <w:rPr>
                <w:rStyle w:val="Hyperlink"/>
                <w:rtl/>
              </w:rPr>
              <w:t xml:space="preserve"> </w:t>
            </w:r>
            <w:r w:rsidRPr="008C79A1">
              <w:rPr>
                <w:rStyle w:val="Hyperlink"/>
                <w:rFonts w:hint="eastAsia"/>
                <w:rtl/>
              </w:rPr>
              <w:t>בי</w:t>
            </w:r>
            <w:r w:rsidRPr="008C79A1">
              <w:rPr>
                <w:rStyle w:val="Hyperlink"/>
                <w:rtl/>
              </w:rPr>
              <w:t xml:space="preserve"> </w:t>
            </w:r>
            <w:r w:rsidRPr="008C79A1">
              <w:rPr>
                <w:rStyle w:val="Hyperlink"/>
                <w:rFonts w:hint="eastAsia"/>
                <w:rtl/>
              </w:rPr>
              <w:t>עשרה</w:t>
            </w:r>
            <w:r w:rsidRPr="008C79A1">
              <w:rPr>
                <w:rStyle w:val="Hyperlink"/>
                <w:rtl/>
              </w:rPr>
              <w:t xml:space="preserve"> </w:t>
            </w:r>
            <w:r w:rsidRPr="008C79A1">
              <w:rPr>
                <w:rStyle w:val="Hyperlink"/>
                <w:rFonts w:hint="eastAsia"/>
                <w:rtl/>
              </w:rPr>
              <w:t>שכינתא</w:t>
            </w:r>
            <w:r w:rsidRPr="008C79A1">
              <w:rPr>
                <w:rStyle w:val="Hyperlink"/>
                <w:rtl/>
              </w:rPr>
              <w:t xml:space="preserve"> </w:t>
            </w:r>
            <w:r w:rsidRPr="008C79A1">
              <w:rPr>
                <w:rStyle w:val="Hyperlink"/>
                <w:rFonts w:hint="eastAsia"/>
                <w:rtl/>
              </w:rPr>
              <w:t>שריא׳</w:t>
            </w:r>
            <w:r>
              <w:rPr>
                <w:webHidden/>
              </w:rPr>
              <w:tab/>
            </w:r>
            <w:r>
              <w:rPr>
                <w:webHidden/>
              </w:rPr>
              <w:fldChar w:fldCharType="begin"/>
            </w:r>
            <w:r>
              <w:rPr>
                <w:webHidden/>
              </w:rPr>
              <w:instrText xml:space="preserve"> PAGEREF _Toc43963156 \h </w:instrText>
            </w:r>
            <w:r>
              <w:rPr>
                <w:webHidden/>
              </w:rPr>
            </w:r>
            <w:r>
              <w:rPr>
                <w:webHidden/>
              </w:rPr>
              <w:fldChar w:fldCharType="separate"/>
            </w:r>
            <w:r w:rsidR="008C1238">
              <w:rPr>
                <w:webHidden/>
                <w:rtl/>
              </w:rPr>
              <w:t>171</w:t>
            </w:r>
            <w:r>
              <w:rPr>
                <w:webHidden/>
              </w:rPr>
              <w:fldChar w:fldCharType="end"/>
            </w:r>
          </w:hyperlink>
        </w:p>
        <w:p w:rsidR="002C5DAA" w:rsidRDefault="004820B2" w:rsidP="002C5DAA">
          <w:pPr>
            <w:pStyle w:val="TOC3"/>
            <w:rPr>
              <w:rStyle w:val="Hyperlink"/>
            </w:rPr>
          </w:pPr>
          <w:hyperlink w:anchor="_Toc43963157" w:history="1">
            <w:r w:rsidRPr="008C79A1">
              <w:rPr>
                <w:rStyle w:val="Hyperlink"/>
                <w:rFonts w:hint="eastAsia"/>
                <w:rtl/>
              </w:rPr>
              <w:t>הרב</w:t>
            </w:r>
            <w:r w:rsidRPr="008C79A1">
              <w:rPr>
                <w:rStyle w:val="Hyperlink"/>
                <w:rtl/>
              </w:rPr>
              <w:t xml:space="preserve"> </w:t>
            </w:r>
            <w:r w:rsidRPr="008C79A1">
              <w:rPr>
                <w:rStyle w:val="Hyperlink"/>
                <w:rFonts w:hint="eastAsia"/>
                <w:rtl/>
              </w:rPr>
              <w:t>ישראל</w:t>
            </w:r>
            <w:r w:rsidRPr="008C79A1">
              <w:rPr>
                <w:rStyle w:val="Hyperlink"/>
                <w:rtl/>
              </w:rPr>
              <w:t xml:space="preserve"> </w:t>
            </w:r>
            <w:r w:rsidRPr="008C79A1">
              <w:rPr>
                <w:rStyle w:val="Hyperlink"/>
                <w:rFonts w:hint="eastAsia"/>
                <w:rtl/>
              </w:rPr>
              <w:t>אליעזר</w:t>
            </w:r>
            <w:r w:rsidRPr="008C79A1">
              <w:rPr>
                <w:rStyle w:val="Hyperlink"/>
                <w:rtl/>
              </w:rPr>
              <w:t xml:space="preserve"> </w:t>
            </w:r>
            <w:r w:rsidRPr="008C79A1">
              <w:rPr>
                <w:rStyle w:val="Hyperlink"/>
                <w:rFonts w:hint="eastAsia"/>
                <w:rtl/>
              </w:rPr>
              <w:t>רובין</w:t>
            </w:r>
          </w:hyperlink>
        </w:p>
        <w:p w:rsidR="002C5DAA" w:rsidRDefault="002C5DAA">
          <w:pPr>
            <w:rPr>
              <w:rStyle w:val="Hyperlink"/>
              <w:rFonts w:ascii="FbSfaradi" w:hAnsi="FbSfaradi" w:cs="FbSfaradi"/>
              <w:noProof/>
              <w:sz w:val="20"/>
              <w:szCs w:val="20"/>
              <w:lang w:val="en-GB"/>
            </w:rPr>
          </w:pPr>
          <w:r>
            <w:rPr>
              <w:rStyle w:val="Hyperlink"/>
            </w:rPr>
            <w:br w:type="page"/>
          </w:r>
        </w:p>
        <w:p w:rsidR="002C5DAA" w:rsidRPr="002C5DAA" w:rsidRDefault="002C5DAA" w:rsidP="002C5DAA">
          <w:pPr>
            <w:pStyle w:val="TOC3"/>
            <w:rPr>
              <w:color w:val="0563C1" w:themeColor="hyperlink"/>
              <w:u w:val="single"/>
            </w:rPr>
          </w:pPr>
        </w:p>
        <w:p w:rsidR="004820B2" w:rsidRDefault="004820B2" w:rsidP="004820B2">
          <w:pPr>
            <w:pStyle w:val="TOC2"/>
            <w:rPr>
              <w:rFonts w:asciiTheme="minorHAnsi" w:eastAsiaTheme="minorEastAsia" w:hAnsiTheme="minorHAnsi" w:cstheme="minorBidi"/>
            </w:rPr>
          </w:pPr>
          <w:hyperlink w:anchor="_Toc43963158" w:history="1">
            <w:r w:rsidRPr="008C79A1">
              <w:rPr>
                <w:rStyle w:val="Hyperlink"/>
                <w:rFonts w:hint="eastAsia"/>
                <w:rtl/>
              </w:rPr>
              <w:t>האחים</w:t>
            </w:r>
            <w:r w:rsidRPr="008C79A1">
              <w:rPr>
                <w:rStyle w:val="Hyperlink"/>
                <w:rtl/>
              </w:rPr>
              <w:t xml:space="preserve"> </w:t>
            </w:r>
            <w:r w:rsidRPr="008C79A1">
              <w:rPr>
                <w:rStyle w:val="Hyperlink"/>
                <w:rFonts w:hint="eastAsia"/>
                <w:rtl/>
              </w:rPr>
              <w:t>קרעמער</w:t>
            </w:r>
            <w:r>
              <w:rPr>
                <w:webHidden/>
              </w:rPr>
              <w:tab/>
            </w:r>
            <w:r>
              <w:rPr>
                <w:webHidden/>
              </w:rPr>
              <w:fldChar w:fldCharType="begin"/>
            </w:r>
            <w:r>
              <w:rPr>
                <w:webHidden/>
              </w:rPr>
              <w:instrText xml:space="preserve"> PAGEREF _Toc43963158 \h </w:instrText>
            </w:r>
            <w:r>
              <w:rPr>
                <w:webHidden/>
              </w:rPr>
            </w:r>
            <w:r>
              <w:rPr>
                <w:webHidden/>
              </w:rPr>
              <w:fldChar w:fldCharType="separate"/>
            </w:r>
            <w:r w:rsidR="008C1238">
              <w:rPr>
                <w:webHidden/>
                <w:rtl/>
              </w:rPr>
              <w:t>173</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59" w:history="1">
            <w:r w:rsidRPr="008C79A1">
              <w:rPr>
                <w:rStyle w:val="Hyperlink"/>
                <w:rFonts w:hint="eastAsia"/>
                <w:rtl/>
              </w:rPr>
              <w:t>הרב</w:t>
            </w:r>
            <w:r w:rsidRPr="008C79A1">
              <w:rPr>
                <w:rStyle w:val="Hyperlink"/>
                <w:rtl/>
              </w:rPr>
              <w:t xml:space="preserve"> </w:t>
            </w:r>
            <w:r w:rsidRPr="008C79A1">
              <w:rPr>
                <w:rStyle w:val="Hyperlink"/>
                <w:rFonts w:hint="eastAsia"/>
                <w:rtl/>
              </w:rPr>
              <w:t>מרדכי</w:t>
            </w:r>
            <w:r w:rsidRPr="008C79A1">
              <w:rPr>
                <w:rStyle w:val="Hyperlink"/>
                <w:rtl/>
              </w:rPr>
              <w:t xml:space="preserve"> </w:t>
            </w:r>
            <w:r w:rsidRPr="008C79A1">
              <w:rPr>
                <w:rStyle w:val="Hyperlink"/>
                <w:rFonts w:hint="eastAsia"/>
                <w:rtl/>
              </w:rPr>
              <w:t>גלזמן</w:t>
            </w:r>
          </w:hyperlink>
        </w:p>
        <w:p w:rsidR="004820B2" w:rsidRDefault="004820B2" w:rsidP="004820B2">
          <w:pPr>
            <w:pStyle w:val="TOC2"/>
            <w:rPr>
              <w:rFonts w:asciiTheme="minorHAnsi" w:eastAsiaTheme="minorEastAsia" w:hAnsiTheme="minorHAnsi" w:cstheme="minorBidi"/>
            </w:rPr>
          </w:pPr>
          <w:hyperlink w:anchor="_Toc43963160" w:history="1">
            <w:r w:rsidRPr="008C79A1">
              <w:rPr>
                <w:rStyle w:val="Hyperlink"/>
                <w:rFonts w:hint="eastAsia"/>
                <w:rtl/>
              </w:rPr>
              <w:t>בקשת</w:t>
            </w:r>
            <w:r w:rsidRPr="008C79A1">
              <w:rPr>
                <w:rStyle w:val="Hyperlink"/>
                <w:rtl/>
              </w:rPr>
              <w:t xml:space="preserve"> </w:t>
            </w:r>
            <w:r w:rsidRPr="008C79A1">
              <w:rPr>
                <w:rStyle w:val="Hyperlink"/>
                <w:rFonts w:hint="eastAsia"/>
                <w:rtl/>
              </w:rPr>
              <w:t>מחילה</w:t>
            </w:r>
            <w:r>
              <w:rPr>
                <w:webHidden/>
              </w:rPr>
              <w:tab/>
            </w:r>
            <w:r>
              <w:rPr>
                <w:webHidden/>
              </w:rPr>
              <w:fldChar w:fldCharType="begin"/>
            </w:r>
            <w:r>
              <w:rPr>
                <w:webHidden/>
              </w:rPr>
              <w:instrText xml:space="preserve"> PAGEREF _Toc43963160 \h </w:instrText>
            </w:r>
            <w:r>
              <w:rPr>
                <w:webHidden/>
              </w:rPr>
            </w:r>
            <w:r>
              <w:rPr>
                <w:webHidden/>
              </w:rPr>
              <w:fldChar w:fldCharType="separate"/>
            </w:r>
            <w:r w:rsidR="008C1238">
              <w:rPr>
                <w:webHidden/>
                <w:rtl/>
              </w:rPr>
              <w:t>173</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61" w:history="1">
            <w:r w:rsidRPr="008C79A1">
              <w:rPr>
                <w:rStyle w:val="Hyperlink"/>
                <w:rFonts w:hint="eastAsia"/>
                <w:rtl/>
              </w:rPr>
              <w:t>הנ</w:t>
            </w:r>
            <w:r w:rsidRPr="008C79A1">
              <w:rPr>
                <w:rStyle w:val="Hyperlink"/>
                <w:rtl/>
              </w:rPr>
              <w:t>"</w:t>
            </w:r>
            <w:r w:rsidRPr="008C79A1">
              <w:rPr>
                <w:rStyle w:val="Hyperlink"/>
                <w:rFonts w:hint="eastAsia"/>
                <w:rtl/>
              </w:rPr>
              <w:t>ל</w:t>
            </w:r>
          </w:hyperlink>
        </w:p>
        <w:p w:rsidR="004820B2" w:rsidRDefault="004820B2" w:rsidP="004820B2">
          <w:pPr>
            <w:pStyle w:val="TOC2"/>
            <w:rPr>
              <w:rFonts w:asciiTheme="minorHAnsi" w:eastAsiaTheme="minorEastAsia" w:hAnsiTheme="minorHAnsi" w:cstheme="minorBidi"/>
            </w:rPr>
          </w:pPr>
          <w:hyperlink w:anchor="_Toc43963162" w:history="1">
            <w:r w:rsidRPr="008C79A1">
              <w:rPr>
                <w:rStyle w:val="Hyperlink"/>
                <w:rFonts w:hint="eastAsia"/>
                <w:rtl/>
              </w:rPr>
              <w:t>הסיום</w:t>
            </w:r>
            <w:r w:rsidRPr="008C79A1">
              <w:rPr>
                <w:rStyle w:val="Hyperlink"/>
                <w:rtl/>
              </w:rPr>
              <w:t xml:space="preserve"> – </w:t>
            </w:r>
            <w:r w:rsidRPr="008C79A1">
              <w:rPr>
                <w:rStyle w:val="Hyperlink"/>
                <w:rFonts w:hint="eastAsia"/>
                <w:rtl/>
              </w:rPr>
              <w:t>ב</w:t>
            </w:r>
            <w:r w:rsidRPr="008C79A1">
              <w:rPr>
                <w:rStyle w:val="Hyperlink"/>
                <w:rtl/>
              </w:rPr>
              <w:t>'</w:t>
            </w:r>
            <w:r w:rsidRPr="008C79A1">
              <w:rPr>
                <w:rStyle w:val="Hyperlink"/>
                <w:rFonts w:hint="eastAsia"/>
                <w:rtl/>
              </w:rPr>
              <w:t>רבש</w:t>
            </w:r>
            <w:r w:rsidRPr="008C79A1">
              <w:rPr>
                <w:rStyle w:val="Hyperlink"/>
                <w:rtl/>
              </w:rPr>
              <w:t>"</w:t>
            </w:r>
            <w:r w:rsidRPr="008C79A1">
              <w:rPr>
                <w:rStyle w:val="Hyperlink"/>
                <w:rFonts w:hint="eastAsia"/>
                <w:rtl/>
              </w:rPr>
              <w:t>ע</w:t>
            </w:r>
            <w:r w:rsidRPr="008C79A1">
              <w:rPr>
                <w:rStyle w:val="Hyperlink"/>
                <w:rtl/>
              </w:rPr>
              <w:t xml:space="preserve">' </w:t>
            </w:r>
            <w:r w:rsidRPr="008C79A1">
              <w:rPr>
                <w:rStyle w:val="Hyperlink"/>
                <w:rFonts w:hint="eastAsia"/>
                <w:rtl/>
              </w:rPr>
              <w:t>דק</w:t>
            </w:r>
            <w:r w:rsidRPr="008C79A1">
              <w:rPr>
                <w:rStyle w:val="Hyperlink"/>
                <w:rtl/>
              </w:rPr>
              <w:t>"</w:t>
            </w:r>
            <w:r w:rsidRPr="008C79A1">
              <w:rPr>
                <w:rStyle w:val="Hyperlink"/>
                <w:rFonts w:hint="eastAsia"/>
                <w:rtl/>
              </w:rPr>
              <w:t>ש</w:t>
            </w:r>
            <w:r w:rsidRPr="008C79A1">
              <w:rPr>
                <w:rStyle w:val="Hyperlink"/>
                <w:rtl/>
              </w:rPr>
              <w:t xml:space="preserve"> </w:t>
            </w:r>
            <w:r w:rsidRPr="008C79A1">
              <w:rPr>
                <w:rStyle w:val="Hyperlink"/>
                <w:rFonts w:hint="eastAsia"/>
                <w:rtl/>
              </w:rPr>
              <w:t>וב</w:t>
            </w:r>
            <w:r w:rsidRPr="008C79A1">
              <w:rPr>
                <w:rStyle w:val="Hyperlink"/>
                <w:rtl/>
              </w:rPr>
              <w:t>'</w:t>
            </w:r>
            <w:r w:rsidRPr="008C79A1">
              <w:rPr>
                <w:rStyle w:val="Hyperlink"/>
                <w:rFonts w:hint="eastAsia"/>
                <w:rtl/>
              </w:rPr>
              <w:t>אלקי</w:t>
            </w:r>
            <w:r w:rsidRPr="008C79A1">
              <w:rPr>
                <w:rStyle w:val="Hyperlink"/>
                <w:rtl/>
              </w:rPr>
              <w:t xml:space="preserve">, </w:t>
            </w:r>
            <w:r w:rsidRPr="008C79A1">
              <w:rPr>
                <w:rStyle w:val="Hyperlink"/>
                <w:rFonts w:hint="eastAsia"/>
                <w:rtl/>
              </w:rPr>
              <w:t>עד</w:t>
            </w:r>
            <w:r w:rsidRPr="008C79A1">
              <w:rPr>
                <w:rStyle w:val="Hyperlink"/>
                <w:rtl/>
              </w:rPr>
              <w:t xml:space="preserve"> </w:t>
            </w:r>
            <w:r w:rsidRPr="008C79A1">
              <w:rPr>
                <w:rStyle w:val="Hyperlink"/>
                <w:rFonts w:hint="eastAsia"/>
                <w:rtl/>
              </w:rPr>
              <w:t>שלא</w:t>
            </w:r>
            <w:r w:rsidRPr="008C79A1">
              <w:rPr>
                <w:rStyle w:val="Hyperlink"/>
                <w:rtl/>
              </w:rPr>
              <w:t xml:space="preserve"> </w:t>
            </w:r>
            <w:r w:rsidRPr="008C79A1">
              <w:rPr>
                <w:rStyle w:val="Hyperlink"/>
                <w:rFonts w:hint="eastAsia"/>
                <w:rtl/>
              </w:rPr>
              <w:t>נוצרתי</w:t>
            </w:r>
            <w:r w:rsidRPr="008C79A1">
              <w:rPr>
                <w:rStyle w:val="Hyperlink"/>
                <w:rtl/>
              </w:rPr>
              <w:t xml:space="preserve">' </w:t>
            </w:r>
            <w:r w:rsidRPr="008C79A1">
              <w:rPr>
                <w:rStyle w:val="Hyperlink"/>
                <w:rFonts w:hint="eastAsia"/>
                <w:rtl/>
              </w:rPr>
              <w:t>ד</w:t>
            </w:r>
            <w:r w:rsidRPr="008C79A1">
              <w:rPr>
                <w:rStyle w:val="Hyperlink"/>
                <w:rtl/>
              </w:rPr>
              <w:t>'</w:t>
            </w:r>
            <w:r w:rsidRPr="008C79A1">
              <w:rPr>
                <w:rStyle w:val="Hyperlink"/>
                <w:rFonts w:hint="eastAsia"/>
                <w:rtl/>
              </w:rPr>
              <w:t>על</w:t>
            </w:r>
            <w:r w:rsidRPr="008C79A1">
              <w:rPr>
                <w:rStyle w:val="Hyperlink"/>
                <w:rtl/>
              </w:rPr>
              <w:t xml:space="preserve"> </w:t>
            </w:r>
            <w:r w:rsidRPr="008C79A1">
              <w:rPr>
                <w:rStyle w:val="Hyperlink"/>
                <w:rFonts w:hint="eastAsia"/>
                <w:rtl/>
              </w:rPr>
              <w:t>חטא</w:t>
            </w:r>
            <w:r w:rsidRPr="008C79A1">
              <w:rPr>
                <w:rStyle w:val="Hyperlink"/>
                <w:rtl/>
              </w:rPr>
              <w:t>'</w:t>
            </w:r>
            <w:r>
              <w:rPr>
                <w:webHidden/>
              </w:rPr>
              <w:tab/>
            </w:r>
            <w:r>
              <w:rPr>
                <w:webHidden/>
              </w:rPr>
              <w:fldChar w:fldCharType="begin"/>
            </w:r>
            <w:r>
              <w:rPr>
                <w:webHidden/>
              </w:rPr>
              <w:instrText xml:space="preserve"> PAGEREF _Toc43963162 \h </w:instrText>
            </w:r>
            <w:r>
              <w:rPr>
                <w:webHidden/>
              </w:rPr>
            </w:r>
            <w:r>
              <w:rPr>
                <w:webHidden/>
              </w:rPr>
              <w:fldChar w:fldCharType="separate"/>
            </w:r>
            <w:r w:rsidR="008C1238">
              <w:rPr>
                <w:webHidden/>
                <w:rtl/>
              </w:rPr>
              <w:t>174</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63" w:history="1">
            <w:r w:rsidRPr="008C79A1">
              <w:rPr>
                <w:rStyle w:val="Hyperlink"/>
                <w:rFonts w:hint="eastAsia"/>
                <w:rtl/>
              </w:rPr>
              <w:t>הרב</w:t>
            </w:r>
            <w:r w:rsidRPr="008C79A1">
              <w:rPr>
                <w:rStyle w:val="Hyperlink"/>
                <w:rtl/>
              </w:rPr>
              <w:t xml:space="preserve"> </w:t>
            </w:r>
            <w:r w:rsidRPr="008C79A1">
              <w:rPr>
                <w:rStyle w:val="Hyperlink"/>
                <w:rFonts w:hint="eastAsia"/>
                <w:rtl/>
              </w:rPr>
              <w:t>יוסף</w:t>
            </w:r>
            <w:r w:rsidRPr="008C79A1">
              <w:rPr>
                <w:rStyle w:val="Hyperlink"/>
                <w:rtl/>
              </w:rPr>
              <w:t xml:space="preserve"> </w:t>
            </w:r>
            <w:r w:rsidRPr="008C79A1">
              <w:rPr>
                <w:rStyle w:val="Hyperlink"/>
                <w:rFonts w:hint="eastAsia"/>
                <w:rtl/>
              </w:rPr>
              <w:t>שמחה</w:t>
            </w:r>
            <w:r w:rsidRPr="008C79A1">
              <w:rPr>
                <w:rStyle w:val="Hyperlink"/>
                <w:rtl/>
              </w:rPr>
              <w:t xml:space="preserve"> </w:t>
            </w:r>
            <w:r w:rsidRPr="008C79A1">
              <w:rPr>
                <w:rStyle w:val="Hyperlink"/>
                <w:rFonts w:hint="eastAsia"/>
                <w:rtl/>
              </w:rPr>
              <w:t>גינזבורג</w:t>
            </w:r>
          </w:hyperlink>
        </w:p>
        <w:p w:rsidR="004820B2" w:rsidRDefault="004820B2" w:rsidP="004820B2">
          <w:pPr>
            <w:pStyle w:val="TOC2"/>
            <w:rPr>
              <w:rFonts w:asciiTheme="minorHAnsi" w:eastAsiaTheme="minorEastAsia" w:hAnsiTheme="minorHAnsi" w:cstheme="minorBidi"/>
            </w:rPr>
          </w:pPr>
          <w:hyperlink w:anchor="_Toc43963164" w:history="1">
            <w:r w:rsidRPr="008C79A1">
              <w:rPr>
                <w:rStyle w:val="Hyperlink"/>
                <w:rFonts w:hint="eastAsia"/>
                <w:rtl/>
              </w:rPr>
              <w:t>כמה</w:t>
            </w:r>
            <w:r w:rsidRPr="008C79A1">
              <w:rPr>
                <w:rStyle w:val="Hyperlink"/>
                <w:rtl/>
              </w:rPr>
              <w:t xml:space="preserve"> </w:t>
            </w:r>
            <w:r w:rsidRPr="008C79A1">
              <w:rPr>
                <w:rStyle w:val="Hyperlink"/>
                <w:rFonts w:hint="eastAsia"/>
                <w:rtl/>
              </w:rPr>
              <w:t>הערות</w:t>
            </w:r>
            <w:r w:rsidRPr="008C79A1">
              <w:rPr>
                <w:rStyle w:val="Hyperlink"/>
                <w:rtl/>
              </w:rPr>
              <w:t xml:space="preserve"> </w:t>
            </w:r>
            <w:r w:rsidRPr="008C79A1">
              <w:rPr>
                <w:rStyle w:val="Hyperlink"/>
                <w:rFonts w:hint="eastAsia"/>
                <w:rtl/>
              </w:rPr>
              <w:t>ב</w:t>
            </w:r>
            <w:r w:rsidRPr="008C79A1">
              <w:rPr>
                <w:rStyle w:val="Hyperlink"/>
                <w:rtl/>
              </w:rPr>
              <w:t>'</w:t>
            </w:r>
            <w:r w:rsidRPr="008C79A1">
              <w:rPr>
                <w:rStyle w:val="Hyperlink"/>
                <w:rFonts w:hint="eastAsia"/>
                <w:rtl/>
              </w:rPr>
              <w:t>סדר</w:t>
            </w:r>
            <w:r w:rsidRPr="008C79A1">
              <w:rPr>
                <w:rStyle w:val="Hyperlink"/>
                <w:rtl/>
              </w:rPr>
              <w:t xml:space="preserve"> </w:t>
            </w:r>
            <w:r w:rsidRPr="008C79A1">
              <w:rPr>
                <w:rStyle w:val="Hyperlink"/>
                <w:rFonts w:hint="eastAsia"/>
                <w:rtl/>
              </w:rPr>
              <w:t>תרי</w:t>
            </w:r>
            <w:r w:rsidRPr="008C79A1">
              <w:rPr>
                <w:rStyle w:val="Hyperlink"/>
                <w:rtl/>
              </w:rPr>
              <w:t>"</w:t>
            </w:r>
            <w:r w:rsidRPr="008C79A1">
              <w:rPr>
                <w:rStyle w:val="Hyperlink"/>
                <w:rFonts w:hint="eastAsia"/>
                <w:rtl/>
              </w:rPr>
              <w:t>ג</w:t>
            </w:r>
            <w:r w:rsidRPr="008C79A1">
              <w:rPr>
                <w:rStyle w:val="Hyperlink"/>
                <w:rtl/>
              </w:rPr>
              <w:t xml:space="preserve"> </w:t>
            </w:r>
            <w:r w:rsidRPr="008C79A1">
              <w:rPr>
                <w:rStyle w:val="Hyperlink"/>
                <w:rFonts w:hint="eastAsia"/>
                <w:rtl/>
              </w:rPr>
              <w:t>מצוות</w:t>
            </w:r>
            <w:r w:rsidRPr="008C79A1">
              <w:rPr>
                <w:rStyle w:val="Hyperlink"/>
                <w:rtl/>
              </w:rPr>
              <w:t xml:space="preserve">' </w:t>
            </w:r>
            <w:r w:rsidRPr="008C79A1">
              <w:rPr>
                <w:rStyle w:val="Hyperlink"/>
                <w:rFonts w:hint="eastAsia"/>
                <w:rtl/>
              </w:rPr>
              <w:t>שבתיקון</w:t>
            </w:r>
            <w:r w:rsidRPr="008C79A1">
              <w:rPr>
                <w:rStyle w:val="Hyperlink"/>
                <w:rtl/>
              </w:rPr>
              <w:t xml:space="preserve"> </w:t>
            </w:r>
            <w:r w:rsidRPr="008C79A1">
              <w:rPr>
                <w:rStyle w:val="Hyperlink"/>
                <w:rFonts w:hint="eastAsia"/>
                <w:rtl/>
              </w:rPr>
              <w:t>ליל</w:t>
            </w:r>
            <w:r w:rsidRPr="008C79A1">
              <w:rPr>
                <w:rStyle w:val="Hyperlink"/>
                <w:rtl/>
              </w:rPr>
              <w:t xml:space="preserve"> </w:t>
            </w:r>
            <w:r w:rsidRPr="008C79A1">
              <w:rPr>
                <w:rStyle w:val="Hyperlink"/>
                <w:rFonts w:hint="eastAsia"/>
                <w:rtl/>
              </w:rPr>
              <w:t>שבועות</w:t>
            </w:r>
            <w:r>
              <w:rPr>
                <w:webHidden/>
              </w:rPr>
              <w:tab/>
            </w:r>
            <w:r>
              <w:rPr>
                <w:webHidden/>
              </w:rPr>
              <w:fldChar w:fldCharType="begin"/>
            </w:r>
            <w:r>
              <w:rPr>
                <w:webHidden/>
              </w:rPr>
              <w:instrText xml:space="preserve"> PAGEREF _Toc43963164 \h </w:instrText>
            </w:r>
            <w:r>
              <w:rPr>
                <w:webHidden/>
              </w:rPr>
            </w:r>
            <w:r>
              <w:rPr>
                <w:webHidden/>
              </w:rPr>
              <w:fldChar w:fldCharType="separate"/>
            </w:r>
            <w:r w:rsidR="008C1238">
              <w:rPr>
                <w:webHidden/>
                <w:rtl/>
              </w:rPr>
              <w:t>174</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65" w:history="1">
            <w:r w:rsidRPr="008C79A1">
              <w:rPr>
                <w:rStyle w:val="Hyperlink"/>
                <w:rFonts w:hint="eastAsia"/>
                <w:rtl/>
              </w:rPr>
              <w:t>הנ</w:t>
            </w:r>
            <w:r w:rsidRPr="008C79A1">
              <w:rPr>
                <w:rStyle w:val="Hyperlink"/>
                <w:rtl/>
              </w:rPr>
              <w:t>"</w:t>
            </w:r>
            <w:r w:rsidRPr="008C79A1">
              <w:rPr>
                <w:rStyle w:val="Hyperlink"/>
                <w:rFonts w:hint="eastAsia"/>
                <w:rtl/>
              </w:rPr>
              <w:t>ל</w:t>
            </w:r>
          </w:hyperlink>
        </w:p>
        <w:p w:rsidR="004820B2" w:rsidRDefault="004820B2" w:rsidP="004820B2">
          <w:pPr>
            <w:pStyle w:val="TOC2"/>
            <w:rPr>
              <w:rFonts w:asciiTheme="minorHAnsi" w:eastAsiaTheme="minorEastAsia" w:hAnsiTheme="minorHAnsi" w:cstheme="minorBidi"/>
            </w:rPr>
          </w:pPr>
          <w:hyperlink w:anchor="_Toc43963166" w:history="1">
            <w:r w:rsidRPr="008C79A1">
              <w:rPr>
                <w:rStyle w:val="Hyperlink"/>
                <w:rtl/>
              </w:rPr>
              <w:t xml:space="preserve"> </w:t>
            </w:r>
            <w:r w:rsidRPr="008C79A1">
              <w:rPr>
                <w:rStyle w:val="Hyperlink"/>
                <w:rFonts w:hint="eastAsia"/>
                <w:rtl/>
              </w:rPr>
              <w:t>בעניין</w:t>
            </w:r>
            <w:r w:rsidRPr="008C79A1">
              <w:rPr>
                <w:rStyle w:val="Hyperlink"/>
                <w:rtl/>
              </w:rPr>
              <w:t xml:space="preserve"> </w:t>
            </w:r>
            <w:r w:rsidRPr="008C79A1">
              <w:rPr>
                <w:rStyle w:val="Hyperlink"/>
                <w:rFonts w:hint="eastAsia"/>
                <w:rtl/>
              </w:rPr>
              <w:t>מחבר</w:t>
            </w:r>
            <w:r w:rsidRPr="008C79A1">
              <w:rPr>
                <w:rStyle w:val="Hyperlink"/>
                <w:rtl/>
              </w:rPr>
              <w:t xml:space="preserve"> </w:t>
            </w:r>
            <w:r w:rsidRPr="008C79A1">
              <w:rPr>
                <w:rStyle w:val="Hyperlink"/>
                <w:rFonts w:hint="eastAsia"/>
                <w:rtl/>
              </w:rPr>
              <w:t>קונטרס</w:t>
            </w:r>
            <w:r w:rsidRPr="008C79A1">
              <w:rPr>
                <w:rStyle w:val="Hyperlink"/>
                <w:rtl/>
              </w:rPr>
              <w:t xml:space="preserve"> '</w:t>
            </w:r>
            <w:r w:rsidRPr="008C79A1">
              <w:rPr>
                <w:rStyle w:val="Hyperlink"/>
                <w:rFonts w:hint="eastAsia"/>
                <w:rtl/>
              </w:rPr>
              <w:t>רמ</w:t>
            </w:r>
            <w:r w:rsidRPr="008C79A1">
              <w:rPr>
                <w:rStyle w:val="Hyperlink"/>
                <w:rtl/>
              </w:rPr>
              <w:t>"</w:t>
            </w:r>
            <w:r w:rsidRPr="008C79A1">
              <w:rPr>
                <w:rStyle w:val="Hyperlink"/>
                <w:rFonts w:hint="eastAsia"/>
                <w:rtl/>
              </w:rPr>
              <w:t>ח</w:t>
            </w:r>
            <w:r w:rsidRPr="008C79A1">
              <w:rPr>
                <w:rStyle w:val="Hyperlink"/>
                <w:rtl/>
              </w:rPr>
              <w:t xml:space="preserve"> </w:t>
            </w:r>
            <w:r w:rsidRPr="008C79A1">
              <w:rPr>
                <w:rStyle w:val="Hyperlink"/>
                <w:rFonts w:hint="eastAsia"/>
                <w:rtl/>
              </w:rPr>
              <w:t>אותיות</w:t>
            </w:r>
            <w:r w:rsidRPr="008C79A1">
              <w:rPr>
                <w:rStyle w:val="Hyperlink"/>
                <w:rtl/>
              </w:rPr>
              <w:t>'</w:t>
            </w:r>
            <w:r>
              <w:rPr>
                <w:webHidden/>
              </w:rPr>
              <w:tab/>
            </w:r>
            <w:r>
              <w:rPr>
                <w:webHidden/>
              </w:rPr>
              <w:fldChar w:fldCharType="begin"/>
            </w:r>
            <w:r>
              <w:rPr>
                <w:webHidden/>
              </w:rPr>
              <w:instrText xml:space="preserve"> PAGEREF _Toc43963166 \h </w:instrText>
            </w:r>
            <w:r>
              <w:rPr>
                <w:webHidden/>
              </w:rPr>
            </w:r>
            <w:r>
              <w:rPr>
                <w:webHidden/>
              </w:rPr>
              <w:fldChar w:fldCharType="separate"/>
            </w:r>
            <w:r w:rsidR="008C1238">
              <w:rPr>
                <w:webHidden/>
                <w:rtl/>
              </w:rPr>
              <w:t>176</w:t>
            </w:r>
            <w:r>
              <w:rPr>
                <w:webHidden/>
              </w:rPr>
              <w:fldChar w:fldCharType="end"/>
            </w:r>
          </w:hyperlink>
        </w:p>
        <w:p w:rsidR="004820B2" w:rsidRDefault="004820B2" w:rsidP="002C5DAA">
          <w:pPr>
            <w:pStyle w:val="TOC3"/>
            <w:rPr>
              <w:rFonts w:asciiTheme="minorHAnsi" w:eastAsiaTheme="minorEastAsia" w:hAnsiTheme="minorHAnsi" w:cstheme="minorBidi"/>
              <w:sz w:val="22"/>
              <w:szCs w:val="22"/>
              <w:lang w:val="en-US"/>
            </w:rPr>
          </w:pPr>
          <w:hyperlink w:anchor="_Toc43963167" w:history="1">
            <w:r w:rsidRPr="008C79A1">
              <w:rPr>
                <w:rStyle w:val="Hyperlink"/>
                <w:rFonts w:hint="eastAsia"/>
                <w:rtl/>
              </w:rPr>
              <w:t>אשר</w:t>
            </w:r>
            <w:r w:rsidRPr="008C79A1">
              <w:rPr>
                <w:rStyle w:val="Hyperlink"/>
                <w:rtl/>
              </w:rPr>
              <w:t xml:space="preserve"> </w:t>
            </w:r>
            <w:r w:rsidRPr="008C79A1">
              <w:rPr>
                <w:rStyle w:val="Hyperlink"/>
                <w:rFonts w:hint="eastAsia"/>
                <w:rtl/>
              </w:rPr>
              <w:t>זך</w:t>
            </w:r>
          </w:hyperlink>
        </w:p>
        <w:p w:rsidR="000836F8" w:rsidRPr="000836F8" w:rsidRDefault="000836F8" w:rsidP="004820B2">
          <w:pPr>
            <w:tabs>
              <w:tab w:val="right" w:leader="dot" w:pos="6182"/>
            </w:tabs>
            <w:bidi/>
            <w:spacing w:after="100"/>
            <w:rPr>
              <w:rFonts w:ascii="FbSfaradi" w:hAnsi="FbSfaradi" w:cs="FbSfaradi"/>
              <w:noProof/>
              <w:sz w:val="20"/>
              <w:szCs w:val="20"/>
              <w:rtl/>
              <w:lang w:val="en-GB"/>
            </w:rPr>
            <w:sectPr w:rsidR="000836F8" w:rsidRPr="000836F8" w:rsidSect="00970EBE">
              <w:footnotePr>
                <w:numRestart w:val="eachSect"/>
              </w:footnotePr>
              <w:pgSz w:w="7920" w:h="12240"/>
              <w:pgMar w:top="720" w:right="864" w:bottom="720" w:left="864" w:header="720" w:footer="720" w:gutter="0"/>
              <w:cols w:space="720"/>
              <w:docGrid w:linePitch="360"/>
            </w:sectPr>
          </w:pPr>
          <w:r w:rsidRPr="000836F8">
            <w:rPr>
              <w:rFonts w:ascii="FbSfaradi" w:hAnsi="FbSfaradi" w:cs="FbSfaradi"/>
              <w:noProof/>
              <w:sz w:val="200"/>
              <w:szCs w:val="200"/>
              <w:lang w:val="en-GB"/>
            </w:rPr>
            <w:fldChar w:fldCharType="end"/>
          </w:r>
        </w:p>
      </w:sdtContent>
    </w:sdt>
    <w:p w:rsidR="000836F8" w:rsidRPr="000836F8" w:rsidRDefault="000836F8" w:rsidP="000836F8">
      <w:pPr>
        <w:rPr>
          <w:rFonts w:ascii="FbSfaradi Medium" w:eastAsia="Times New Roman" w:hAnsi="FbSfaradi Medium" w:cs="FbSfaradi Medium"/>
          <w:sz w:val="70"/>
          <w:szCs w:val="70"/>
          <w:rtl/>
          <w:lang w:val="en-GB"/>
        </w:rPr>
      </w:pPr>
      <w:bookmarkStart w:id="89" w:name="_Toc504475482"/>
      <w:bookmarkStart w:id="90" w:name="_Toc403698996"/>
      <w:bookmarkStart w:id="91" w:name="_Toc405513659"/>
      <w:bookmarkStart w:id="92" w:name="_Toc408433553"/>
      <w:r w:rsidRPr="000836F8">
        <w:rPr>
          <w:rtl/>
        </w:rPr>
        <w:br w:type="page"/>
      </w:r>
      <w:r w:rsidRPr="000836F8">
        <w:rPr>
          <w:noProof/>
          <w:sz w:val="24"/>
          <w:szCs w:val="24"/>
        </w:rPr>
        <mc:AlternateContent>
          <mc:Choice Requires="wps">
            <w:drawing>
              <wp:anchor distT="0" distB="0" distL="114300" distR="114300" simplePos="0" relativeHeight="251663360" behindDoc="1" locked="0" layoutInCell="1" allowOverlap="1" wp14:anchorId="50DB01AF" wp14:editId="7CDC6B9D">
                <wp:simplePos x="0" y="0"/>
                <wp:positionH relativeFrom="column">
                  <wp:posOffset>-360680</wp:posOffset>
                </wp:positionH>
                <wp:positionV relativeFrom="paragraph">
                  <wp:posOffset>2908935</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4820B2" w:rsidRDefault="004820B2" w:rsidP="000836F8">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4820B2" w:rsidRDefault="004820B2" w:rsidP="00900523">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מטו"מ - חזק ה'תש"פ</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ד', כ"ג תמוז ה'תש"פ </w:t>
                            </w:r>
                          </w:p>
                          <w:p w:rsidR="004820B2" w:rsidRDefault="004820B2" w:rsidP="000836F8">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4820B2" w:rsidRDefault="004820B2" w:rsidP="000836F8">
                            <w:pPr>
                              <w:pStyle w:val="Footer"/>
                              <w:bidi/>
                              <w:jc w:val="center"/>
                              <w:rPr>
                                <w:rFonts w:ascii="FbFrankReal" w:hAnsi="FbFrankReal" w:cs="Levenim MT"/>
                                <w:sz w:val="16"/>
                                <w:szCs w:val="16"/>
                                <w:rtl/>
                              </w:rPr>
                            </w:pPr>
                          </w:p>
                          <w:p w:rsidR="004820B2" w:rsidRDefault="004820B2" w:rsidP="000836F8">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4820B2" w:rsidRDefault="004820B2" w:rsidP="000836F8">
                            <w:pPr>
                              <w:bidi/>
                              <w:spacing w:after="0" w:line="240" w:lineRule="auto"/>
                              <w:jc w:val="center"/>
                              <w:rPr>
                                <w:rFonts w:ascii="FbFrankReal" w:hAnsi="FbFrankReal" w:cs="1ShefaClassic"/>
                                <w:b/>
                                <w:bCs/>
                                <w:rtl/>
                              </w:rPr>
                            </w:pPr>
                          </w:p>
                          <w:p w:rsidR="004820B2" w:rsidRDefault="004820B2" w:rsidP="000836F8">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4820B2" w:rsidRDefault="004820B2" w:rsidP="000836F8">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4820B2" w:rsidRDefault="004820B2" w:rsidP="000836F8">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rsidR="004820B2" w:rsidRDefault="004820B2" w:rsidP="000836F8">
                            <w:pPr>
                              <w:bidi/>
                              <w:spacing w:after="0" w:line="240" w:lineRule="auto"/>
                              <w:jc w:val="center"/>
                              <w:rPr>
                                <w:rFonts w:ascii="FbFrankReal" w:hAnsi="FbFrankReal" w:cs="1ShefaClassic"/>
                                <w:b/>
                                <w:bCs/>
                              </w:rPr>
                            </w:pPr>
                            <w:r>
                              <w:rPr>
                                <w:rFonts w:ascii="FbFrankReal" w:hAnsi="FbFrankReal" w:cs="1ShefaClassic" w:hint="cs"/>
                                <w:b/>
                                <w:bCs/>
                                <w:rtl/>
                              </w:rPr>
                              <w:t>כתובת:</w:t>
                            </w:r>
                          </w:p>
                          <w:p w:rsidR="004820B2" w:rsidRDefault="004820B2" w:rsidP="000836F8">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4820B2" w:rsidRDefault="004820B2" w:rsidP="000836F8">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4820B2" w:rsidRDefault="004820B2" w:rsidP="000836F8">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rsidR="004820B2" w:rsidRDefault="004820B2" w:rsidP="000836F8">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4820B2" w:rsidRPr="003234A3" w:rsidRDefault="004820B2" w:rsidP="000836F8">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DB01AF" id="Text Box 6" o:spid="_x0000_s1030" type="#_x0000_t202" style="position:absolute;margin-left:-28.4pt;margin-top:229.05pt;width:366.9pt;height:22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" fillcolor="window" strokecolor="windowText" strokeweight="1pt">
                <v:textbox>
                  <w:txbxContent>
                    <w:p w:rsidR="004820B2" w:rsidRDefault="004820B2" w:rsidP="000836F8">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4820B2" w:rsidRDefault="004820B2" w:rsidP="00900523">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מטו"מ - חזק ה'תש"פ</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ד', כ"ג תמוז ה'תש"פ </w:t>
                      </w:r>
                    </w:p>
                    <w:p w:rsidR="004820B2" w:rsidRDefault="004820B2" w:rsidP="000836F8">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4820B2" w:rsidRDefault="004820B2" w:rsidP="000836F8">
                      <w:pPr>
                        <w:pStyle w:val="Footer"/>
                        <w:bidi/>
                        <w:jc w:val="center"/>
                        <w:rPr>
                          <w:rFonts w:ascii="FbFrankReal" w:hAnsi="FbFrankReal" w:cs="Levenim MT"/>
                          <w:sz w:val="16"/>
                          <w:szCs w:val="16"/>
                          <w:rtl/>
                        </w:rPr>
                      </w:pPr>
                    </w:p>
                    <w:p w:rsidR="004820B2" w:rsidRDefault="004820B2" w:rsidP="000836F8">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4820B2" w:rsidRDefault="004820B2" w:rsidP="000836F8">
                      <w:pPr>
                        <w:bidi/>
                        <w:spacing w:after="0" w:line="240" w:lineRule="auto"/>
                        <w:jc w:val="center"/>
                        <w:rPr>
                          <w:rFonts w:ascii="FbFrankReal" w:hAnsi="FbFrankReal" w:cs="1ShefaClassic"/>
                          <w:b/>
                          <w:bCs/>
                          <w:rtl/>
                        </w:rPr>
                      </w:pPr>
                    </w:p>
                    <w:p w:rsidR="004820B2" w:rsidRDefault="004820B2" w:rsidP="000836F8">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4820B2" w:rsidRDefault="004820B2" w:rsidP="000836F8">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4820B2" w:rsidRDefault="004820B2" w:rsidP="000836F8">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rsidR="004820B2" w:rsidRDefault="004820B2" w:rsidP="000836F8">
                      <w:pPr>
                        <w:bidi/>
                        <w:spacing w:after="0" w:line="240" w:lineRule="auto"/>
                        <w:jc w:val="center"/>
                        <w:rPr>
                          <w:rFonts w:ascii="FbFrankReal" w:hAnsi="FbFrankReal" w:cs="1ShefaClassic"/>
                          <w:b/>
                          <w:bCs/>
                        </w:rPr>
                      </w:pPr>
                      <w:r>
                        <w:rPr>
                          <w:rFonts w:ascii="FbFrankReal" w:hAnsi="FbFrankReal" w:cs="1ShefaClassic" w:hint="cs"/>
                          <w:b/>
                          <w:bCs/>
                          <w:rtl/>
                        </w:rPr>
                        <w:t>כתובת:</w:t>
                      </w:r>
                    </w:p>
                    <w:p w:rsidR="004820B2" w:rsidRDefault="004820B2" w:rsidP="000836F8">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4820B2" w:rsidRDefault="004820B2" w:rsidP="000836F8">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4820B2" w:rsidRDefault="004820B2" w:rsidP="000836F8">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rsidR="004820B2" w:rsidRDefault="004820B2" w:rsidP="000836F8">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4820B2" w:rsidRPr="003234A3" w:rsidRDefault="004820B2" w:rsidP="000836F8">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p>
    <w:p w:rsidR="000836F8" w:rsidRDefault="000836F8" w:rsidP="000836F8">
      <w:pPr>
        <w:pStyle w:val="12"/>
        <w:rPr>
          <w:rtl/>
        </w:rPr>
      </w:pPr>
      <w:bookmarkStart w:id="93" w:name="_Toc43858726"/>
      <w:bookmarkStart w:id="94" w:name="_Toc43963075"/>
      <w:r w:rsidRPr="000836F8">
        <w:rPr>
          <w:rFonts w:hint="cs"/>
          <w:rtl/>
        </w:rPr>
        <w:lastRenderedPageBreak/>
        <w:t>עניני גאולה ומשיח</w:t>
      </w:r>
      <w:bookmarkStart w:id="95" w:name="_Toc7576748"/>
      <w:bookmarkEnd w:id="93"/>
      <w:bookmarkEnd w:id="94"/>
    </w:p>
    <w:p w:rsidR="00346413" w:rsidRDefault="00346413" w:rsidP="00346413">
      <w:pPr>
        <w:pStyle w:val="a0"/>
      </w:pPr>
      <w:bookmarkStart w:id="96" w:name="_Toc43963076"/>
      <w:r>
        <w:rPr>
          <w:rFonts w:hint="cs"/>
          <w:rtl/>
        </w:rPr>
        <w:t>גדרי הציפי' לביאת המשיח</w:t>
      </w:r>
      <w:bookmarkEnd w:id="96"/>
    </w:p>
    <w:p w:rsidR="00346413" w:rsidRDefault="00346413" w:rsidP="00F146A6">
      <w:pPr>
        <w:pStyle w:val="a"/>
        <w:rPr>
          <w:rtl/>
        </w:rPr>
      </w:pPr>
      <w:bookmarkStart w:id="97" w:name="_Toc43963077"/>
      <w:r>
        <w:rPr>
          <w:rFonts w:hint="cs"/>
          <w:rtl/>
        </w:rPr>
        <w:t>הרב שלום צירקינד</w:t>
      </w:r>
      <w:bookmarkEnd w:id="97"/>
    </w:p>
    <w:p w:rsidR="00346413" w:rsidRDefault="00346413" w:rsidP="00346413">
      <w:pPr>
        <w:pStyle w:val="a1"/>
        <w:rPr>
          <w:rtl/>
        </w:rPr>
      </w:pPr>
      <w:r>
        <w:rPr>
          <w:rFonts w:hint="cs"/>
          <w:rtl/>
        </w:rPr>
        <w:t>תושב השכונה</w:t>
      </w:r>
    </w:p>
    <w:p w:rsidR="00346413" w:rsidRPr="00F146A6" w:rsidRDefault="00346413" w:rsidP="00F146A6">
      <w:pPr>
        <w:pStyle w:val="a3"/>
        <w:rPr>
          <w:rtl/>
        </w:rPr>
      </w:pPr>
      <w:r w:rsidRPr="00F146A6">
        <w:rPr>
          <w:rFonts w:hint="cs"/>
          <w:rtl/>
        </w:rPr>
        <w:t>בענין חיוב האמונה והצפי' לביאת המשיח, ידוע ומפורסם המבואר בכמה ספרים, וכמה פעמים בשיחות הקודש, שחיוב האמונה והציפי' לביאת המשיח הוא לא רק שמשיח יביא אי פעם, אלא להאמין לצפות ולקוות שמשיח יבוא היום. ומכיון שישנם כמה ששואלים קושיות וכו' בזה, ראיתי לנכון ללקט מהספרים</w:t>
      </w:r>
      <w:r w:rsidRPr="00F146A6">
        <w:rPr>
          <w:rtl/>
        </w:rPr>
        <w:footnoteReference w:id="1"/>
      </w:r>
      <w:r w:rsidRPr="00F146A6">
        <w:rPr>
          <w:rFonts w:hint="cs"/>
          <w:rtl/>
        </w:rPr>
        <w:t xml:space="preserve"> ולברר וללבן קצת בזה בעזה"י כפי מיעוט השגתי והבנתי.</w:t>
      </w:r>
    </w:p>
    <w:p w:rsidR="00346413" w:rsidRDefault="00346413" w:rsidP="00F146A6">
      <w:pPr>
        <w:pStyle w:val="a3"/>
        <w:rPr>
          <w:rtl/>
        </w:rPr>
      </w:pPr>
      <w:r>
        <w:rPr>
          <w:rFonts w:hint="cs"/>
          <w:rtl/>
        </w:rPr>
        <w:t>ותחילה יש להקדים, שעיקר הצורך בהשקו"ט דלקמן הוא בעיקר לגבי חיוב האמונה והציפי' בביאת המשיח כפי מה שהוא מצד עצמה, מזמן התחלת הגלות ועוד קודם לכן</w:t>
      </w:r>
      <w:r w:rsidRPr="00346413">
        <w:rPr>
          <w:vertAlign w:val="superscript"/>
          <w:rtl/>
        </w:rPr>
        <w:footnoteReference w:id="2"/>
      </w:r>
      <w:r>
        <w:rPr>
          <w:rFonts w:hint="cs"/>
          <w:rtl/>
        </w:rPr>
        <w:t>, אמנם בדורותינו אלו שלפי עדות כל גדולי ישראל</w:t>
      </w:r>
      <w:r w:rsidRPr="00346413">
        <w:rPr>
          <w:vertAlign w:val="superscript"/>
          <w:rtl/>
        </w:rPr>
        <w:footnoteReference w:id="3"/>
      </w:r>
      <w:r>
        <w:rPr>
          <w:rFonts w:hint="cs"/>
          <w:rtl/>
        </w:rPr>
        <w:t xml:space="preserve"> כבר נתקיימו הסימנים </w:t>
      </w:r>
      <w:r>
        <w:rPr>
          <w:rFonts w:hint="cs"/>
          <w:rtl/>
        </w:rPr>
        <w:lastRenderedPageBreak/>
        <w:t>של עקבתא דמשיחא, והרבי ביאר שמשיח כבר הי' צריך לבוא מזמן</w:t>
      </w:r>
      <w:r w:rsidRPr="00346413">
        <w:rPr>
          <w:vertAlign w:val="superscript"/>
          <w:rtl/>
        </w:rPr>
        <w:footnoteReference w:id="4"/>
      </w:r>
      <w:r>
        <w:rPr>
          <w:rFonts w:hint="cs"/>
          <w:rtl/>
        </w:rPr>
        <w:t>, ורואים כבר פעולות מלך המשיח בעולם</w:t>
      </w:r>
      <w:r w:rsidRPr="00346413">
        <w:rPr>
          <w:vertAlign w:val="superscript"/>
          <w:rtl/>
        </w:rPr>
        <w:footnoteReference w:id="5"/>
      </w:r>
      <w:r>
        <w:rPr>
          <w:rFonts w:hint="cs"/>
          <w:rtl/>
        </w:rPr>
        <w:t>, מובן ופשוט שמלכתחילה אין צורך להכנס לשקו"ט בזה, אלא יש לצפות לביאת המשיח היום ולא שח"ו יבוא לאחר זמן.</w:t>
      </w:r>
    </w:p>
    <w:p w:rsidR="00346413" w:rsidRDefault="00346413" w:rsidP="00F146A6">
      <w:pPr>
        <w:pStyle w:val="a3"/>
        <w:rPr>
          <w:rtl/>
        </w:rPr>
      </w:pPr>
      <w:r>
        <w:rPr>
          <w:rFonts w:hint="cs"/>
          <w:rtl/>
        </w:rPr>
        <w:t>בסגנון אחר: אע"פ שהחיוב לביאת המשיח התחיל בהתחלת זמן הגלות, והוא חיוב תמידי</w:t>
      </w:r>
      <w:r w:rsidRPr="00346413">
        <w:rPr>
          <w:vertAlign w:val="superscript"/>
          <w:rtl/>
        </w:rPr>
        <w:footnoteReference w:id="6"/>
      </w:r>
      <w:r>
        <w:rPr>
          <w:rFonts w:hint="cs"/>
          <w:rtl/>
        </w:rPr>
        <w:t>, מ"מ בזמנים המסוגלים לביאת המשיח מודגש ציפי' זו ביתר שאת וביתר עז</w:t>
      </w:r>
      <w:r w:rsidRPr="00346413">
        <w:rPr>
          <w:vertAlign w:val="superscript"/>
          <w:rtl/>
        </w:rPr>
        <w:footnoteReference w:id="7"/>
      </w:r>
      <w:r>
        <w:rPr>
          <w:rFonts w:hint="cs"/>
          <w:rtl/>
        </w:rPr>
        <w:t xml:space="preserve">, </w:t>
      </w:r>
      <w:r>
        <w:rPr>
          <w:rFonts w:hint="cs"/>
          <w:rtl/>
        </w:rPr>
        <w:lastRenderedPageBreak/>
        <w:t>ומכ"ש בזמנינו זה שאנו עומדים על סף הגאולה, מובן שענין הציפי' לביאת המשיח הוא ביתר שאת ויתר עז</w:t>
      </w:r>
      <w:r w:rsidRPr="00346413">
        <w:rPr>
          <w:vertAlign w:val="superscript"/>
          <w:rtl/>
        </w:rPr>
        <w:footnoteReference w:id="8"/>
      </w:r>
      <w:r>
        <w:rPr>
          <w:rFonts w:hint="cs"/>
          <w:rtl/>
        </w:rPr>
        <w:t>, והיינו שבזמנינו מודגש בפשטות ענין הציפי' למשיח שיבוא עכשיו כפשוטו. ועד"ז י"ל שהציפי' עכשיו היא מעומק הלב ביותר</w:t>
      </w:r>
      <w:r w:rsidRPr="00346413">
        <w:rPr>
          <w:vertAlign w:val="superscript"/>
          <w:rtl/>
        </w:rPr>
        <w:footnoteReference w:id="9"/>
      </w:r>
      <w:r>
        <w:rPr>
          <w:rFonts w:hint="cs"/>
          <w:rtl/>
        </w:rPr>
        <w:t xml:space="preserve"> כו', (כמבואר בכ"מ שבענין הציפי' לביאת המשיח יש דרגא לפנים מדרגא</w:t>
      </w:r>
      <w:r w:rsidRPr="00346413">
        <w:rPr>
          <w:vertAlign w:val="superscript"/>
          <w:rtl/>
        </w:rPr>
        <w:footnoteReference w:id="10"/>
      </w:r>
      <w:r>
        <w:rPr>
          <w:rFonts w:hint="cs"/>
          <w:rtl/>
        </w:rPr>
        <w:t>).</w:t>
      </w:r>
    </w:p>
    <w:p w:rsidR="00346413" w:rsidRPr="00346413" w:rsidRDefault="00346413" w:rsidP="00521750">
      <w:pPr>
        <w:pStyle w:val="11"/>
        <w:bidi/>
        <w:rPr>
          <w:rtl/>
        </w:rPr>
      </w:pPr>
      <w:r w:rsidRPr="00346413">
        <w:rPr>
          <w:rFonts w:hint="cs"/>
          <w:rtl/>
        </w:rPr>
        <w:t>דברי הרמב"ם בפירוש המשניות</w:t>
      </w:r>
    </w:p>
    <w:p w:rsidR="00346413" w:rsidRPr="00346413" w:rsidRDefault="00346413" w:rsidP="00F146A6">
      <w:pPr>
        <w:pStyle w:val="a3"/>
        <w:rPr>
          <w:rtl/>
        </w:rPr>
      </w:pPr>
      <w:r>
        <w:rPr>
          <w:rFonts w:hint="cs"/>
          <w:rtl/>
        </w:rPr>
        <w:t xml:space="preserve">בפירוש המשניות להרמב"ם היסוד השנים עשר, כפי שהוא בפירוש </w:t>
      </w:r>
      <w:r w:rsidRPr="00346413">
        <w:rPr>
          <w:rtl/>
        </w:rPr>
        <w:t>המשניות הנפוץ</w:t>
      </w:r>
      <w:r w:rsidRPr="00346413">
        <w:rPr>
          <w:rFonts w:hint="cs"/>
          <w:rtl/>
        </w:rPr>
        <w:t>, כתוב</w:t>
      </w:r>
      <w:r w:rsidRPr="00346413">
        <w:rPr>
          <w:rtl/>
        </w:rPr>
        <w:t>: היסוד השנים עשר, ימות המשיח והוא להאמין ולאמת שיבא, ולא יחשב שיתאחר, אם יתמהמה חכה לו</w:t>
      </w:r>
      <w:r w:rsidRPr="00346413">
        <w:rPr>
          <w:vertAlign w:val="superscript"/>
          <w:rtl/>
        </w:rPr>
        <w:footnoteReference w:id="11"/>
      </w:r>
      <w:r w:rsidRPr="00346413">
        <w:rPr>
          <w:rtl/>
        </w:rPr>
        <w:t>, ולא ישים לו זמן ולא יעשה לו סברות במקראות להוציא זמן ביאתו, וחכמים אומרים תיפח רוחן של מחשבי קיצין</w:t>
      </w:r>
      <w:r w:rsidRPr="00346413">
        <w:rPr>
          <w:vertAlign w:val="superscript"/>
          <w:rtl/>
        </w:rPr>
        <w:footnoteReference w:id="12"/>
      </w:r>
      <w:r w:rsidRPr="00346413">
        <w:rPr>
          <w:rtl/>
        </w:rPr>
        <w:t xml:space="preserve">. </w:t>
      </w:r>
      <w:r w:rsidRPr="00346413">
        <w:rPr>
          <w:rFonts w:hint="cs"/>
          <w:rtl/>
        </w:rPr>
        <w:t>עכ"ל בהנוגע לעניננו.</w:t>
      </w:r>
    </w:p>
    <w:p w:rsidR="00346413" w:rsidRPr="00346413" w:rsidRDefault="00346413" w:rsidP="00F146A6">
      <w:pPr>
        <w:pStyle w:val="a3"/>
        <w:rPr>
          <w:rtl/>
        </w:rPr>
      </w:pPr>
      <w:r w:rsidRPr="00346413">
        <w:rPr>
          <w:rFonts w:hint="cs"/>
          <w:rtl/>
        </w:rPr>
        <w:t>והנה משמעות הלשון "ולא יחשוב שיתאחר" מורה, שחיוב האמונה על ביאת המשיח הוא לא רק להאמין שמשיח יבוא אי פעם, אלא להאמין בביאת המשיח עכשיו ולא יחשוב שיתאחר. וכן כתב המבי"ט</w:t>
      </w:r>
      <w:r w:rsidRPr="00346413">
        <w:rPr>
          <w:vertAlign w:val="superscript"/>
          <w:rtl/>
        </w:rPr>
        <w:footnoteReference w:id="13"/>
      </w:r>
      <w:r w:rsidRPr="00346413">
        <w:rPr>
          <w:rFonts w:hint="cs"/>
          <w:rtl/>
        </w:rPr>
        <w:t xml:space="preserve"> בביאור דבריו "</w:t>
      </w:r>
      <w:r w:rsidRPr="00346413">
        <w:rPr>
          <w:rtl/>
        </w:rPr>
        <w:t>ולכן הזהיר עליו הרב ז"ל</w:t>
      </w:r>
      <w:r w:rsidRPr="00346413">
        <w:rPr>
          <w:vertAlign w:val="superscript"/>
          <w:rtl/>
        </w:rPr>
        <w:footnoteReference w:id="14"/>
      </w:r>
      <w:r w:rsidRPr="00346413">
        <w:rPr>
          <w:rtl/>
        </w:rPr>
        <w:t xml:space="preserve"> להאמין ולאמת שיבוא ולא יחשוב שיתאחר</w:t>
      </w:r>
      <w:r w:rsidRPr="00346413">
        <w:rPr>
          <w:rFonts w:hint="cs"/>
          <w:rtl/>
        </w:rPr>
        <w:t>,</w:t>
      </w:r>
      <w:r w:rsidRPr="00346413">
        <w:rPr>
          <w:rtl/>
        </w:rPr>
        <w:t xml:space="preserve"> אם יתמהמה חכה לו</w:t>
      </w:r>
      <w:r w:rsidRPr="00346413">
        <w:rPr>
          <w:rFonts w:hint="cs"/>
          <w:rtl/>
        </w:rPr>
        <w:t>,</w:t>
      </w:r>
      <w:r w:rsidRPr="00346413">
        <w:rPr>
          <w:rtl/>
        </w:rPr>
        <w:t xml:space="preserve"> כמאמר הנביא ע"ה</w:t>
      </w:r>
      <w:r w:rsidRPr="00346413">
        <w:rPr>
          <w:vertAlign w:val="superscript"/>
          <w:rtl/>
        </w:rPr>
        <w:footnoteReference w:id="15"/>
      </w:r>
      <w:r w:rsidRPr="00346413">
        <w:rPr>
          <w:rFonts w:hint="cs"/>
          <w:rtl/>
        </w:rPr>
        <w:t>,</w:t>
      </w:r>
      <w:r w:rsidRPr="00346413">
        <w:rPr>
          <w:rtl/>
        </w:rPr>
        <w:t xml:space="preserve"> כי מה שלא הוגבל זמנו יכול להיות בכל זמן בין קרוב או רחוק</w:t>
      </w:r>
      <w:r w:rsidRPr="00346413">
        <w:rPr>
          <w:vertAlign w:val="superscript"/>
          <w:rtl/>
        </w:rPr>
        <w:footnoteReference w:id="16"/>
      </w:r>
      <w:r w:rsidRPr="00346413">
        <w:rPr>
          <w:rFonts w:hint="cs"/>
          <w:rtl/>
        </w:rPr>
        <w:t>,</w:t>
      </w:r>
      <w:r w:rsidRPr="00346413">
        <w:rPr>
          <w:rtl/>
        </w:rPr>
        <w:t xml:space="preserve"> והבל</w:t>
      </w:r>
      <w:r w:rsidRPr="00346413">
        <w:rPr>
          <w:rFonts w:hint="cs"/>
          <w:rtl/>
        </w:rPr>
        <w:t>ת</w:t>
      </w:r>
      <w:r w:rsidRPr="00346413">
        <w:rPr>
          <w:rtl/>
        </w:rPr>
        <w:t>י מאמין לזמן קרוב ג"כ לא יאמין לזמן רחוק</w:t>
      </w:r>
      <w:r w:rsidRPr="00346413">
        <w:rPr>
          <w:rFonts w:hint="cs"/>
          <w:rtl/>
        </w:rPr>
        <w:t>,</w:t>
      </w:r>
      <w:r w:rsidRPr="00346413">
        <w:rPr>
          <w:rtl/>
        </w:rPr>
        <w:t xml:space="preserve"> וגם אם יגביל לו זמן בעבור הזמן אשר גבל תמעט אמונתו לעתיד</w:t>
      </w:r>
      <w:r w:rsidRPr="00346413">
        <w:rPr>
          <w:rFonts w:hint="cs"/>
          <w:rtl/>
        </w:rPr>
        <w:t>,</w:t>
      </w:r>
      <w:r w:rsidRPr="00346413">
        <w:rPr>
          <w:rtl/>
        </w:rPr>
        <w:t xml:space="preserve"> וכן אם יגביל לו זמן לא יאמין ביאתו קודם הזמן ההוא</w:t>
      </w:r>
      <w:r w:rsidRPr="00346413">
        <w:rPr>
          <w:rFonts w:hint="cs"/>
          <w:rtl/>
        </w:rPr>
        <w:t>,</w:t>
      </w:r>
      <w:r w:rsidRPr="00346413">
        <w:rPr>
          <w:rtl/>
        </w:rPr>
        <w:t xml:space="preserve"> ואם בזמן </w:t>
      </w:r>
      <w:r w:rsidRPr="00346413">
        <w:rPr>
          <w:rtl/>
        </w:rPr>
        <w:lastRenderedPageBreak/>
        <w:t>שהגביל לו כפי דעתו לא בא</w:t>
      </w:r>
      <w:r w:rsidRPr="00346413">
        <w:rPr>
          <w:rFonts w:hint="cs"/>
          <w:rtl/>
        </w:rPr>
        <w:t>,</w:t>
      </w:r>
      <w:r w:rsidRPr="00346413">
        <w:rPr>
          <w:rtl/>
        </w:rPr>
        <w:t xml:space="preserve"> לא יאמין ביאתו לזמן שאינו מוגבל לו כפי דעתו</w:t>
      </w:r>
      <w:r w:rsidRPr="00346413">
        <w:rPr>
          <w:rFonts w:hint="cs"/>
          <w:rtl/>
        </w:rPr>
        <w:t>,</w:t>
      </w:r>
      <w:r w:rsidRPr="00346413">
        <w:rPr>
          <w:rtl/>
        </w:rPr>
        <w:t xml:space="preserve"> ולכן</w:t>
      </w:r>
      <w:r w:rsidRPr="00346413">
        <w:rPr>
          <w:rFonts w:hint="cs"/>
          <w:rtl/>
        </w:rPr>
        <w:t xml:space="preserve"> </w:t>
      </w:r>
      <w:r w:rsidRPr="00346413">
        <w:rPr>
          <w:rtl/>
        </w:rPr>
        <w:t>האמונה היא שלא יחשוב שיתאחר כי אין לו זמן מוגבל ואפשר בכל יום ביאתו, כמו שאמר הכתוב היום אם בקולו תשמעו</w:t>
      </w:r>
      <w:r w:rsidRPr="00346413">
        <w:rPr>
          <w:rFonts w:hint="cs"/>
          <w:rtl/>
        </w:rPr>
        <w:t xml:space="preserve">". </w:t>
      </w:r>
    </w:p>
    <w:p w:rsidR="00346413" w:rsidRPr="00346413" w:rsidRDefault="00346413" w:rsidP="00F146A6">
      <w:pPr>
        <w:pStyle w:val="a3"/>
        <w:rPr>
          <w:rtl/>
        </w:rPr>
      </w:pPr>
      <w:r w:rsidRPr="00346413">
        <w:rPr>
          <w:rFonts w:hint="cs"/>
          <w:rtl/>
        </w:rPr>
        <w:t>והרה"צ מקאמארנא בחומש היכל הברכה</w:t>
      </w:r>
      <w:r w:rsidRPr="00346413">
        <w:rPr>
          <w:vertAlign w:val="superscript"/>
          <w:rtl/>
        </w:rPr>
        <w:footnoteReference w:id="17"/>
      </w:r>
      <w:r w:rsidRPr="00346413">
        <w:rPr>
          <w:rFonts w:hint="cs"/>
          <w:rtl/>
        </w:rPr>
        <w:t xml:space="preserve"> כ' בביאור דברי הרמב"ם "</w:t>
      </w:r>
      <w:r w:rsidRPr="00346413">
        <w:rPr>
          <w:rtl/>
        </w:rPr>
        <w:t>וצריכין אנו לפרש דברי הרב רבינו הקדוש מה שכתב להאמין ולאמת שיבא ולא יחשוב שיתאחר, פירוש שכל אדם צריך לקיים צפית לישועה של מעלה (שבת לא, א) ולשון צפית לשון "צופה נתתיך" (יחזקאל ג, יז) כמו שצופה ומביט ורואה בכל עת ורגע שלא יבא אויב ושונא, כך צריך איש ישראל לצפות בעיניו ובשכיות לבבו בכל זמן ועת, אולי יבא באותו רגע מלך המשיח, ובכל עת יהי' לבו הומה עליו וצופה לישועת ה', כי ישועת ה' בהרף עין, אולי הוא אותו רגע הרף עין של ישועת ישראל, לכן לא יהי' לו שום מחשבה של איחור הזמן חלילה, ובכל רגע יצפה לישועת ה', אם יתמהמה חכה לו, ועל ידי צפיות וחכיות לישועת ה' בכל רגע, בודאי תפעול למעלה הרבה ותקרב את הגאולה בודאי"</w:t>
      </w:r>
      <w:r w:rsidRPr="00346413">
        <w:rPr>
          <w:rFonts w:hint="cs"/>
          <w:rtl/>
        </w:rPr>
        <w:t>.</w:t>
      </w:r>
    </w:p>
    <w:p w:rsidR="00346413" w:rsidRPr="00346413" w:rsidRDefault="00346413" w:rsidP="00F146A6">
      <w:pPr>
        <w:pStyle w:val="a3"/>
        <w:rPr>
          <w:rtl/>
        </w:rPr>
      </w:pPr>
      <w:r w:rsidRPr="00346413">
        <w:rPr>
          <w:rFonts w:hint="cs"/>
          <w:rtl/>
        </w:rPr>
        <w:t>אמנם בכמה מהתרגומים המאוחרים יותר, נראה שפירוש דברי הרמב"ם הוא באופן שונה</w:t>
      </w:r>
      <w:r w:rsidRPr="00346413">
        <w:rPr>
          <w:vertAlign w:val="superscript"/>
          <w:rtl/>
        </w:rPr>
        <w:footnoteReference w:id="18"/>
      </w:r>
      <w:r w:rsidRPr="00346413">
        <w:rPr>
          <w:rFonts w:hint="cs"/>
          <w:rtl/>
        </w:rPr>
        <w:t xml:space="preserve">.  </w:t>
      </w:r>
    </w:p>
    <w:p w:rsidR="00346413" w:rsidRPr="00346413" w:rsidRDefault="00346413" w:rsidP="00F146A6">
      <w:pPr>
        <w:pStyle w:val="a3"/>
        <w:rPr>
          <w:rtl/>
        </w:rPr>
      </w:pPr>
      <w:r w:rsidRPr="00346413">
        <w:rPr>
          <w:rFonts w:hint="cs"/>
          <w:rtl/>
        </w:rPr>
        <w:t xml:space="preserve">וכך כתב </w:t>
      </w:r>
      <w:r w:rsidRPr="00346413">
        <w:rPr>
          <w:rtl/>
        </w:rPr>
        <w:t xml:space="preserve">במהדורת קאפח: </w:t>
      </w:r>
      <w:r w:rsidRPr="00346413">
        <w:rPr>
          <w:rFonts w:hint="cs"/>
          <w:rtl/>
        </w:rPr>
        <w:t>"</w:t>
      </w:r>
      <w:r w:rsidRPr="00346413">
        <w:rPr>
          <w:rtl/>
        </w:rPr>
        <w:t xml:space="preserve">והיסוד השנים עשר ימות המשיח, והוא להאמין ולאמת שיבא ואין לומר שנתאחר, אם יתמהמה חכה לו </w:t>
      </w:r>
      <w:r w:rsidRPr="00346413">
        <w:rPr>
          <w:rFonts w:hint="cs"/>
          <w:rtl/>
        </w:rPr>
        <w:t>…". ועד"ז בת</w:t>
      </w:r>
      <w:r w:rsidRPr="00346413">
        <w:rPr>
          <w:rtl/>
        </w:rPr>
        <w:t xml:space="preserve">רגום החדש על פירוש המשניות שי"ל ע"י מכון המאור: </w:t>
      </w:r>
      <w:r w:rsidRPr="00346413">
        <w:rPr>
          <w:rFonts w:hint="cs"/>
          <w:rtl/>
        </w:rPr>
        <w:t>"</w:t>
      </w:r>
      <w:r w:rsidRPr="00346413">
        <w:rPr>
          <w:rtl/>
        </w:rPr>
        <w:t>והיסוד השנים עשר ימות המשיח. והוא האמונה והאמות על בואו, ושאינו מתאחר, אם יתמהמה חכה לו</w:t>
      </w:r>
      <w:r w:rsidRPr="00346413">
        <w:rPr>
          <w:rFonts w:hint="cs"/>
          <w:rtl/>
        </w:rPr>
        <w:t>…".</w:t>
      </w:r>
    </w:p>
    <w:p w:rsidR="00346413" w:rsidRPr="00346413" w:rsidRDefault="00346413" w:rsidP="00F146A6">
      <w:pPr>
        <w:pStyle w:val="a3"/>
        <w:rPr>
          <w:rtl/>
        </w:rPr>
      </w:pPr>
      <w:r w:rsidRPr="00346413">
        <w:rPr>
          <w:rFonts w:hint="cs"/>
          <w:rtl/>
        </w:rPr>
        <w:t xml:space="preserve">וכוונת תרגום הזה, הוא ע"ד לשון הפסוק הנ"ל "אם יתמהמה חכה לו כי בא יבא ולא יאחר", שפי' המצו"ד שם </w:t>
      </w:r>
      <w:r w:rsidRPr="00346413">
        <w:rPr>
          <w:rtl/>
        </w:rPr>
        <w:t>"אף אם יתמהמה זמן רב</w:t>
      </w:r>
      <w:r w:rsidRPr="00346413">
        <w:rPr>
          <w:rFonts w:hint="cs"/>
          <w:rtl/>
        </w:rPr>
        <w:t>,</w:t>
      </w:r>
      <w:r w:rsidRPr="00346413">
        <w:rPr>
          <w:rtl/>
        </w:rPr>
        <w:t xml:space="preserve"> עכ"ז אתה ישראל חכה לו</w:t>
      </w:r>
      <w:r w:rsidRPr="00346413">
        <w:rPr>
          <w:rFonts w:hint="cs"/>
          <w:rtl/>
        </w:rPr>
        <w:t>,</w:t>
      </w:r>
      <w:r w:rsidRPr="00346413">
        <w:rPr>
          <w:rtl/>
        </w:rPr>
        <w:t xml:space="preserve"> ולא תתייאש ממנו</w:t>
      </w:r>
      <w:r w:rsidRPr="00346413">
        <w:rPr>
          <w:rFonts w:hint="cs"/>
          <w:rtl/>
        </w:rPr>
        <w:t>,</w:t>
      </w:r>
      <w:r w:rsidRPr="00346413">
        <w:rPr>
          <w:rtl/>
        </w:rPr>
        <w:t xml:space="preserve"> כי בודאי יבוא בזמן הקבוע לא יאחר עוד".</w:t>
      </w:r>
      <w:r w:rsidRPr="00346413">
        <w:rPr>
          <w:rFonts w:hint="cs"/>
          <w:rtl/>
        </w:rPr>
        <w:t xml:space="preserve"> דהיינו, שא' מן הנסיונות בהאמונה בביאת המשיח הוא, שמכיון שכבר עבר זמן ועדיין לא נושענו, ממילא יכול האדם ליפול בייאוש ח"ו, ולומר שכבר עבר זמן שמשיח הי' צ"ל לבוא, ושוב לא יבוא. ולכן חלק מהאמונה בביאת המשיח הוא שאע"פ שהתמהמה "אין לומר שנתאחר" וממילא שוב לא יבוא ח"ו, כי כשאכן יגיע הזמן המיועד הנה "בא יבא ולא יאחר".</w:t>
      </w:r>
    </w:p>
    <w:p w:rsidR="00346413" w:rsidRPr="00346413" w:rsidRDefault="00346413" w:rsidP="00F146A6">
      <w:pPr>
        <w:pStyle w:val="a3"/>
        <w:rPr>
          <w:rtl/>
        </w:rPr>
      </w:pPr>
      <w:r w:rsidRPr="00346413">
        <w:rPr>
          <w:rFonts w:hint="cs"/>
          <w:rtl/>
        </w:rPr>
        <w:t xml:space="preserve">והנה אין סתירה תוכנית בין ב' התרגומים. כי התרגום הראשון מדגיש שהאמונה היא שלא יחשוב האדם שמשיח לא יבוא עכשיו אלא לאחר זמן, והתרגומים </w:t>
      </w:r>
      <w:r w:rsidRPr="00346413">
        <w:rPr>
          <w:rFonts w:hint="cs"/>
          <w:rtl/>
        </w:rPr>
        <w:lastRenderedPageBreak/>
        <w:t>המאוחרים מדגישים נקודה אחרת, והוא שלא יתייאש האדם מביאת המשיח, מחמת אריכות הזמן שכבר עבר ועדיין לא בא.</w:t>
      </w:r>
    </w:p>
    <w:p w:rsidR="00346413" w:rsidRPr="00346413" w:rsidRDefault="00346413" w:rsidP="00F146A6">
      <w:pPr>
        <w:pStyle w:val="a3"/>
        <w:rPr>
          <w:rtl/>
        </w:rPr>
      </w:pPr>
      <w:r w:rsidRPr="00346413">
        <w:rPr>
          <w:rFonts w:hint="cs"/>
          <w:rtl/>
        </w:rPr>
        <w:t>ובאמת גם בהפסוק הנ"ל "אם יתמהמה חכה לו כי בא יבא ולא יאחר", מצינו ב' הפירושים הנ"ל: שבנוסף לפירוש המצודת דוד הנ"ל (שהוא ע"ד תרגום הב'), יש גם הפירוש בס' העיקרים</w:t>
      </w:r>
      <w:r w:rsidRPr="00346413">
        <w:rPr>
          <w:vertAlign w:val="superscript"/>
          <w:rtl/>
        </w:rPr>
        <w:footnoteReference w:id="19"/>
      </w:r>
      <w:r w:rsidRPr="00346413">
        <w:rPr>
          <w:rFonts w:hint="cs"/>
          <w:rtl/>
        </w:rPr>
        <w:t xml:space="preserve"> (שהוא ע"ד תרגום הנפוץ), וז"ל "מזהיר על התקוה והתוחלת, אמר אם יתמהמה חכה לו כי בא יבא ולא יאחר, ואחר שהוא מתמהמה איך אמר כי לא יאחר, אבל פירושו שאע"פ שיתמהמה ראוי שיחכה תמיד לגאולה, ויחכה שיבא בלי איחור".</w:t>
      </w:r>
    </w:p>
    <w:p w:rsidR="00346413" w:rsidRPr="00346413" w:rsidRDefault="00346413" w:rsidP="00F146A6">
      <w:pPr>
        <w:pStyle w:val="a3"/>
        <w:rPr>
          <w:rtl/>
        </w:rPr>
      </w:pPr>
      <w:r w:rsidRPr="00346413">
        <w:rPr>
          <w:rFonts w:hint="cs"/>
          <w:rtl/>
        </w:rPr>
        <w:t>עכ"פ מלשון הרמב"ם כאן לכשלעצמם א"א להוכיח באופן חד משמעי שהחיוב להאמין בביאת המשיח הוא "ולא יחשוב שיתאחר", אמנם מ"מ מדברי המבי"ט והרה"צ מקאמראנא מבואר שכן הוא החיוב, (ואע"פ שיסדו דברים על התרגום הנפוץ, הרי הוסיפו ראיות והסברות שאינו תלוי בדברי התרגום הזה).</w:t>
      </w:r>
    </w:p>
    <w:p w:rsidR="00346413" w:rsidRPr="00346413" w:rsidRDefault="00346413" w:rsidP="00F146A6">
      <w:pPr>
        <w:pStyle w:val="a3"/>
        <w:rPr>
          <w:rtl/>
        </w:rPr>
      </w:pPr>
      <w:r w:rsidRPr="00346413">
        <w:rPr>
          <w:rFonts w:hint="cs"/>
          <w:rtl/>
        </w:rPr>
        <w:t>אמנם יש להבהיר, שלשיטת המבי"ט וכו' הפירוש של "ולא יחשוב שיתאחר", אינו שהתורה מבטיחה שעכשיו בא משיח ולכן לא יחשוב שיתאחר, שהרי התורה עצמה אומרת "אם יתמהמה חכה לו</w:t>
      </w:r>
      <w:r w:rsidRPr="00346413">
        <w:rPr>
          <w:vertAlign w:val="superscript"/>
          <w:rtl/>
        </w:rPr>
        <w:footnoteReference w:id="20"/>
      </w:r>
      <w:r w:rsidRPr="00346413">
        <w:rPr>
          <w:rFonts w:hint="cs"/>
          <w:rtl/>
        </w:rPr>
        <w:t xml:space="preserve">", וכן בפועל אנו רואים שעדיין לא נושענו, אלא הפירוש הוא שמצד האדם עליו לצפות ולחכות לביאת המשיח היום כי אולי היום אכן יגיע בפועל. </w:t>
      </w:r>
    </w:p>
    <w:p w:rsidR="00346413" w:rsidRPr="00346413" w:rsidRDefault="00346413" w:rsidP="00F146A6">
      <w:pPr>
        <w:pStyle w:val="a3"/>
        <w:rPr>
          <w:rtl/>
        </w:rPr>
      </w:pPr>
      <w:r w:rsidRPr="00346413">
        <w:rPr>
          <w:rFonts w:hint="cs"/>
          <w:rtl/>
        </w:rPr>
        <w:t>ועפ"ז יובנו דברי הר"א בן הרמב"ם שהובאו להלן, שהבטחון בביאת המשיח אינו בתור וודאי אלא צפי' ותקוה, וידוע שבדרך כלל ר"א הולך בשיטת אביו הרמב"ם, וא"כ משמע שגם בדברי הרמב"ם "ולא יחשוב שיתאחר" הכוונה הוא בעיקר מצד ציפיית האדם, אבל מצד הבטחת התורה הלא זה תלוי במעשינו ועבודתינו וזמן הגעת הקץ וכו'.</w:t>
      </w:r>
    </w:p>
    <w:p w:rsidR="00346413" w:rsidRPr="00346413" w:rsidRDefault="00346413" w:rsidP="00521750">
      <w:pPr>
        <w:pStyle w:val="11"/>
        <w:bidi/>
        <w:rPr>
          <w:rtl/>
        </w:rPr>
      </w:pPr>
      <w:r w:rsidRPr="00346413">
        <w:rPr>
          <w:rFonts w:hint="cs"/>
          <w:rtl/>
        </w:rPr>
        <w:t>דברי הרמב"ם ביד החזקה</w:t>
      </w:r>
    </w:p>
    <w:p w:rsidR="00346413" w:rsidRPr="00346413" w:rsidRDefault="00346413" w:rsidP="00F146A6">
      <w:pPr>
        <w:pStyle w:val="a3"/>
        <w:rPr>
          <w:rtl/>
        </w:rPr>
      </w:pPr>
      <w:r>
        <w:rPr>
          <w:rFonts w:hint="cs"/>
          <w:rtl/>
        </w:rPr>
        <w:t xml:space="preserve">הנה הרמב"ם בהלכות מלכים רפי"א כתב </w:t>
      </w:r>
      <w:r w:rsidRPr="00346413">
        <w:t>"</w:t>
      </w:r>
      <w:r w:rsidRPr="00346413">
        <w:rPr>
          <w:rtl/>
        </w:rPr>
        <w:t>וכל מי שאינו מאמין בו, או מי שאינו מחכה לביאתו לא בשאר נביאים בלבד הוא כופר, אלא בתורה ובמשה רבינו</w:t>
      </w:r>
      <w:r w:rsidRPr="00346413">
        <w:rPr>
          <w:rFonts w:hint="cs"/>
          <w:rtl/>
        </w:rPr>
        <w:t>". ובס' משמיע ישועה</w:t>
      </w:r>
      <w:r w:rsidRPr="00346413">
        <w:rPr>
          <w:vertAlign w:val="superscript"/>
          <w:rtl/>
        </w:rPr>
        <w:footnoteReference w:id="21"/>
      </w:r>
      <w:r w:rsidRPr="00346413">
        <w:rPr>
          <w:rFonts w:hint="cs"/>
          <w:rtl/>
        </w:rPr>
        <w:t xml:space="preserve"> כתב בביאור דברי הרמב"ם "דגם אם מאמין בו אלא שאינו מחכה לביאתו, רוצה שיבא בזמן מאוחר, ואין מחכה לו בכל יום שיבוא, ה"ז ג"כ כופר בתורת משה". </w:t>
      </w:r>
    </w:p>
    <w:p w:rsidR="00346413" w:rsidRPr="00346413" w:rsidRDefault="00346413" w:rsidP="00F146A6">
      <w:pPr>
        <w:pStyle w:val="a3"/>
        <w:rPr>
          <w:rtl/>
        </w:rPr>
      </w:pPr>
      <w:r w:rsidRPr="00346413">
        <w:rPr>
          <w:rFonts w:hint="cs"/>
          <w:rtl/>
        </w:rPr>
        <w:lastRenderedPageBreak/>
        <w:t xml:space="preserve">והנה הרמב"ם לא כתב להדיא "שאינו מחכה לביאתו בכל יום", וכיו"ב, ויש לבעל דין לחלוק ולומר שאין זה הפשט בדברי הרמב"ם, אמנם לכאורה נראה שמהבנת דברי הרמב"ם משמע שהענין של לחכות לביאתו הוא לחכות לביאתו בכל יום. </w:t>
      </w:r>
    </w:p>
    <w:p w:rsidR="00346413" w:rsidRPr="00346413" w:rsidRDefault="00346413" w:rsidP="00F146A6">
      <w:pPr>
        <w:pStyle w:val="a3"/>
        <w:rPr>
          <w:rtl/>
        </w:rPr>
      </w:pPr>
      <w:r w:rsidRPr="00346413">
        <w:rPr>
          <w:rFonts w:hint="cs"/>
          <w:rtl/>
        </w:rPr>
        <w:t>וביאור הדברים הוא ע"פ מה שנתבאר בגליון הקודם, דיש כמה פירושים בדברי הרמב"ם האלו. א', שהאמונה בביאת המשיח הוא לא רק להאמין שמשיח יבוא אי פעם, אלא שזה כולל ההבנה שזהו דבר הנצרך וחסר בלעדו</w:t>
      </w:r>
      <w:r w:rsidRPr="00346413">
        <w:rPr>
          <w:vertAlign w:val="superscript"/>
          <w:rtl/>
        </w:rPr>
        <w:footnoteReference w:id="22"/>
      </w:r>
      <w:r w:rsidRPr="00346413">
        <w:rPr>
          <w:rFonts w:hint="cs"/>
          <w:rtl/>
        </w:rPr>
        <w:t>, שלכן משתוקק ומצפה לזה. ובלי הבנה והרגשה זו יש חסרון בעצם האמונה בביאת המשיח, כנראה בחוש שמי שאינו מבין הצורך בביאת המשיח, הרי כל ענין ביאת המשיח אינו מציאותי בעיניו. והרי מובן שמי שיש לו ההבנה הזאת, הוא רוצה ומשתוקק ומקוה שמשיח יגיע עכשיו ושלא יתאחר</w:t>
      </w:r>
      <w:r w:rsidRPr="00346413">
        <w:rPr>
          <w:vertAlign w:val="superscript"/>
          <w:rtl/>
        </w:rPr>
        <w:footnoteReference w:id="23"/>
      </w:r>
      <w:r w:rsidRPr="00346413">
        <w:rPr>
          <w:rFonts w:hint="cs"/>
          <w:rtl/>
        </w:rPr>
        <w:t>.</w:t>
      </w:r>
    </w:p>
    <w:p w:rsidR="00346413" w:rsidRPr="00346413" w:rsidRDefault="00346413" w:rsidP="00F146A6">
      <w:pPr>
        <w:pStyle w:val="a3"/>
        <w:rPr>
          <w:rtl/>
        </w:rPr>
      </w:pPr>
      <w:r w:rsidRPr="00346413">
        <w:rPr>
          <w:rFonts w:hint="cs"/>
          <w:rtl/>
        </w:rPr>
        <w:t>והביאור השני שנתבאר שם, הוא שדברי הרמב"ם הוא שמי שמאמין בביאת המשיח, אלא שחושב שא"א שיבוא עכשיו</w:t>
      </w:r>
      <w:r w:rsidRPr="00346413">
        <w:rPr>
          <w:vertAlign w:val="superscript"/>
          <w:rtl/>
        </w:rPr>
        <w:footnoteReference w:id="24"/>
      </w:r>
      <w:r w:rsidRPr="00346413">
        <w:rPr>
          <w:rFonts w:hint="cs"/>
          <w:rtl/>
        </w:rPr>
        <w:t xml:space="preserve"> הוא כופר בביאת המשיח. ומזה מובן ג"כ כשיטת ס' המשמיע ישועה הנ"ל.</w:t>
      </w:r>
    </w:p>
    <w:p w:rsidR="00346413" w:rsidRPr="00346413" w:rsidRDefault="00346413" w:rsidP="00521750">
      <w:pPr>
        <w:pStyle w:val="11"/>
        <w:bidi/>
        <w:rPr>
          <w:rtl/>
        </w:rPr>
      </w:pPr>
      <w:r w:rsidRPr="00346413">
        <w:rPr>
          <w:rFonts w:hint="cs"/>
          <w:rtl/>
        </w:rPr>
        <w:t>ביאור נוסח האני מאמין</w:t>
      </w:r>
    </w:p>
    <w:p w:rsidR="00346413" w:rsidRPr="00346413" w:rsidRDefault="00346413" w:rsidP="00F146A6">
      <w:pPr>
        <w:pStyle w:val="a3"/>
        <w:rPr>
          <w:rtl/>
        </w:rPr>
      </w:pPr>
      <w:r w:rsidRPr="00346413">
        <w:rPr>
          <w:rFonts w:hint="cs"/>
          <w:rtl/>
        </w:rPr>
        <w:t xml:space="preserve">הנה אע"פ שבדברי הרמב"ם לא מצינו הלשון "אחכה לו בכל יום שיבוא", אבל בנוסח האני מאמין שנדפס בסידורים ונתפשט בתפוצות ישראל, (והוא מיוסד על י"ג העיקרים להרמב"ם) כתוב "אני מאמין באמונה שלימה בביאת המשיח ואע"פ שיתמהמה עם כל זה אחכה לו בכל יום שיבוא". </w:t>
      </w:r>
    </w:p>
    <w:p w:rsidR="00346413" w:rsidRPr="00346413" w:rsidRDefault="00346413" w:rsidP="00F146A6">
      <w:pPr>
        <w:pStyle w:val="a3"/>
        <w:rPr>
          <w:rtl/>
        </w:rPr>
      </w:pPr>
      <w:bookmarkStart w:id="98" w:name="_GoBack"/>
      <w:r w:rsidRPr="00346413">
        <w:rPr>
          <w:rFonts w:hint="cs"/>
          <w:rtl/>
        </w:rPr>
        <w:t xml:space="preserve">והנה יש שרוצים לומר הפירוש בזה, שבכל יום אחכה לו </w:t>
      </w:r>
      <w:r w:rsidRPr="00346413">
        <w:rPr>
          <w:rtl/>
        </w:rPr>
        <w:t>–</w:t>
      </w:r>
      <w:r w:rsidRPr="00346413">
        <w:rPr>
          <w:rFonts w:hint="cs"/>
          <w:rtl/>
        </w:rPr>
        <w:t xml:space="preserve"> שיבוא באיזה זמן שיהי'. ובכמה משיחות הקודש מבואר שהפירוש הוא שאחכה לו שיבוא - בכל יום</w:t>
      </w:r>
      <w:r w:rsidRPr="00346413">
        <w:rPr>
          <w:vertAlign w:val="superscript"/>
          <w:rtl/>
        </w:rPr>
        <w:footnoteReference w:id="25"/>
      </w:r>
      <w:r w:rsidRPr="00346413">
        <w:rPr>
          <w:rFonts w:hint="cs"/>
          <w:rtl/>
        </w:rPr>
        <w:t>. ושלל הפירוש הראשון בחריפות</w:t>
      </w:r>
      <w:r w:rsidRPr="00346413">
        <w:rPr>
          <w:vertAlign w:val="superscript"/>
          <w:rtl/>
        </w:rPr>
        <w:footnoteReference w:id="26"/>
      </w:r>
      <w:r w:rsidRPr="00346413">
        <w:rPr>
          <w:rFonts w:hint="cs"/>
          <w:rtl/>
        </w:rPr>
        <w:t xml:space="preserve">. אמנם יש להעיר, שבשיחות הקודש לא שלל </w:t>
      </w:r>
      <w:r w:rsidRPr="00346413">
        <w:rPr>
          <w:rFonts w:hint="cs"/>
          <w:rtl/>
        </w:rPr>
        <w:lastRenderedPageBreak/>
        <w:t>לגמרי הפירוש הראשון</w:t>
      </w:r>
      <w:r w:rsidRPr="00346413">
        <w:rPr>
          <w:vertAlign w:val="superscript"/>
          <w:rtl/>
        </w:rPr>
        <w:footnoteReference w:id="27"/>
      </w:r>
      <w:r w:rsidRPr="00346413">
        <w:rPr>
          <w:rFonts w:hint="cs"/>
          <w:rtl/>
        </w:rPr>
        <w:t>, וגם ביאר</w:t>
      </w:r>
      <w:r w:rsidRPr="00346413">
        <w:rPr>
          <w:vertAlign w:val="superscript"/>
          <w:rtl/>
        </w:rPr>
        <w:footnoteReference w:id="28"/>
      </w:r>
      <w:r w:rsidRPr="00346413">
        <w:rPr>
          <w:rFonts w:hint="cs"/>
          <w:rtl/>
        </w:rPr>
        <w:t xml:space="preserve"> שבעצם עיקר ההוכחה הוא (לא רק מלשון האני מאין) מלשון התפילה "לישועתך קוינו כל היום" "ותחזינה עינינו", שפירוש המלות הוא שהאדם מקוה כל היום שמשיח יבוא באותו יום.</w:t>
      </w:r>
    </w:p>
    <w:bookmarkEnd w:id="98"/>
    <w:p w:rsidR="00346413" w:rsidRPr="00346413" w:rsidRDefault="00346413" w:rsidP="00F146A6">
      <w:pPr>
        <w:pStyle w:val="a3"/>
        <w:rPr>
          <w:rtl/>
        </w:rPr>
      </w:pPr>
      <w:r w:rsidRPr="00346413">
        <w:rPr>
          <w:rFonts w:hint="cs"/>
          <w:rtl/>
        </w:rPr>
        <w:t xml:space="preserve">ולענ"ד יש להוסיף בדא"פ: בשלמא אם הפירוש הוא שבכל יום הנני מצפה לזה שיבוא היום, מובן שפיר ההדגשה "בכל יום". אבל באם נאמר שכוונת בעל המחבר אני מאמין הוא שאע"פ שאיני חושב שמשיח יבוא היום, מ"מ הנני משתוקק בכל יום שמשיח יבוא אי פעם, אינו מובן מהו ההדגשה "בכל יום"? איפה מצינו צורך להדגיש שאני משתוקק לזה בכל יום ומהו הפשר בהדגשה זאת? </w:t>
      </w:r>
    </w:p>
    <w:p w:rsidR="00346413" w:rsidRDefault="00346413" w:rsidP="00F146A6">
      <w:pPr>
        <w:pStyle w:val="a3"/>
        <w:rPr>
          <w:rtl/>
        </w:rPr>
      </w:pPr>
      <w:r w:rsidRPr="00346413">
        <w:rPr>
          <w:rFonts w:hint="cs"/>
          <w:rtl/>
        </w:rPr>
        <w:t>ובעומק יותר יש להוסיף: ב' האופנים הנ"ל תלויים לא רק בפירוש "בכל יום שיבוא", אלא גם ב"אחכה". דאם מפרשים ש"אחכה" הוא מלשון השתוקקות גרידא, אפשר לפרש שאני משתוקק לזה שיבוא אי פעם שיהי'. אלא שבזה גופא אפשר להוסיף ולפרש גם כהפירוש השני, שההשתוקקות שלי כ"כ גדולה שהנני משתוקק לזה שיבוא היום. אמנם באמת הלשון "אחכה" מבטא הרבה יותר מזה, שהאדם מצפה שיבוא בפועל</w:t>
      </w:r>
      <w:r w:rsidRPr="002512DF">
        <w:rPr>
          <w:vertAlign w:val="superscript"/>
          <w:rtl/>
        </w:rPr>
        <w:footnoteReference w:id="29"/>
      </w:r>
      <w:r w:rsidRPr="00346413">
        <w:rPr>
          <w:rFonts w:hint="cs"/>
          <w:rtl/>
        </w:rPr>
        <w:t>. ומכיון שהלשון של מחכה הוא על דבר שאדם מצפה שיבוא בפועל, מובן בפשטות שצ"ל כפירוש הב' הנ"ל.</w:t>
      </w:r>
    </w:p>
    <w:p w:rsidR="00346413" w:rsidRPr="00346413" w:rsidRDefault="00346413" w:rsidP="00521750">
      <w:pPr>
        <w:pStyle w:val="11"/>
        <w:bidi/>
        <w:rPr>
          <w:rtl/>
        </w:rPr>
      </w:pPr>
      <w:r w:rsidRPr="00346413">
        <w:rPr>
          <w:rFonts w:hint="cs"/>
          <w:rtl/>
        </w:rPr>
        <w:t>ציפית לישועה - בימיך</w:t>
      </w:r>
    </w:p>
    <w:p w:rsidR="00346413" w:rsidRDefault="00346413" w:rsidP="00F146A6">
      <w:pPr>
        <w:pStyle w:val="a3"/>
        <w:rPr>
          <w:rtl/>
        </w:rPr>
      </w:pPr>
      <w:r>
        <w:rPr>
          <w:rFonts w:hint="cs"/>
          <w:rtl/>
        </w:rPr>
        <w:t>בחידושים המיוחסים להר"ן</w:t>
      </w:r>
      <w:r w:rsidRPr="002512DF">
        <w:rPr>
          <w:vertAlign w:val="superscript"/>
          <w:rtl/>
        </w:rPr>
        <w:footnoteReference w:id="30"/>
      </w:r>
      <w:r>
        <w:rPr>
          <w:rFonts w:hint="cs"/>
          <w:rtl/>
        </w:rPr>
        <w:t xml:space="preserve"> על מסכת </w:t>
      </w:r>
      <w:r>
        <w:rPr>
          <w:rtl/>
        </w:rPr>
        <w:t>שבת ל</w:t>
      </w:r>
      <w:r>
        <w:rPr>
          <w:rFonts w:hint="cs"/>
          <w:rtl/>
        </w:rPr>
        <w:t>א</w:t>
      </w:r>
      <w:r>
        <w:rPr>
          <w:rtl/>
        </w:rPr>
        <w:t>, א</w:t>
      </w:r>
      <w:r>
        <w:rPr>
          <w:rFonts w:hint="cs"/>
          <w:rtl/>
        </w:rPr>
        <w:t>, כתוב</w:t>
      </w:r>
      <w:r>
        <w:rPr>
          <w:rtl/>
        </w:rPr>
        <w:t>: "צפית לישועה – בימיך, ולא אמר צפית שתבוא ישועה לישראל, דמי שאינו מאמין זה אפיקורס הוא</w:t>
      </w:r>
      <w:r>
        <w:rPr>
          <w:rFonts w:hint="cs"/>
          <w:rtl/>
        </w:rPr>
        <w:t>,</w:t>
      </w:r>
      <w:r>
        <w:rPr>
          <w:rtl/>
        </w:rPr>
        <w:t xml:space="preserve"> שהאפיקורסים אינן מאמינין שתבוא ישועה לעולם לישראל</w:t>
      </w:r>
      <w:r>
        <w:rPr>
          <w:rFonts w:hint="cs"/>
          <w:rtl/>
        </w:rPr>
        <w:t>. כן פירש בתוספות</w:t>
      </w:r>
      <w:r>
        <w:rPr>
          <w:rtl/>
        </w:rPr>
        <w:t xml:space="preserve">". </w:t>
      </w:r>
    </w:p>
    <w:p w:rsidR="00346413" w:rsidRDefault="00346413" w:rsidP="00F146A6">
      <w:pPr>
        <w:pStyle w:val="a3"/>
        <w:rPr>
          <w:rtl/>
        </w:rPr>
      </w:pPr>
      <w:r>
        <w:rPr>
          <w:rtl/>
        </w:rPr>
        <w:t>ו</w:t>
      </w:r>
      <w:r>
        <w:rPr>
          <w:rFonts w:hint="cs"/>
          <w:rtl/>
        </w:rPr>
        <w:t xml:space="preserve">ביתר ביאור כתב </w:t>
      </w:r>
      <w:r>
        <w:rPr>
          <w:rtl/>
        </w:rPr>
        <w:t>בדרשות מלך המשיח לתלמיד הריצב"א</w:t>
      </w:r>
      <w:r w:rsidRPr="002512DF">
        <w:rPr>
          <w:vertAlign w:val="superscript"/>
          <w:rtl/>
        </w:rPr>
        <w:footnoteReference w:id="31"/>
      </w:r>
      <w:r>
        <w:rPr>
          <w:rtl/>
        </w:rPr>
        <w:t xml:space="preserve">: "השם יתברך לעד ולנצח, צונו לחכות לישועה ולצפות לגאולה, שאם יתמהמה חכה לו. וכשם שאנו מצפים כך הקב"ה מצפה ותאב מתי יבא הקץ לגאול את בניו מבין האומות, שנאמר (ישעי' ל, יח) לכן יחכה י"י לחננכם. והשכר הגדול ומאושר המחכה, שנאמר (שם) אשרי כל חוכה לו. (ובשעה) [ובשעת] פטירתו של אדם שואלין אותו ציפית לישועה, </w:t>
      </w:r>
      <w:r>
        <w:rPr>
          <w:rtl/>
        </w:rPr>
        <w:lastRenderedPageBreak/>
        <w:t>שנ' (שם לג, ו) והיה אמונת עתך חוסן ישועות. וא[ו]תה צפייה היא שיצפה כל אחד מישראל (שביא) [שיביא] צמח וישועה בימיו, שאם בא לומר שיגאלו ישראל לבסוף, באלו הוצרכנו, הלא מי (מודה) [שמודה] בזה אין לו חלק לעולם הבא ואחריתו ותקות(?) וכאילו כופר בעיקר, אלא בירור הדבר כן הוא שיצריך כל אדם לחכות ולצפות שיבא מלך המשיח במהרה בימינו".</w:t>
      </w:r>
    </w:p>
    <w:p w:rsidR="00346413" w:rsidRPr="00346413" w:rsidRDefault="00346413" w:rsidP="00F146A6">
      <w:pPr>
        <w:pStyle w:val="a3"/>
        <w:rPr>
          <w:rtl/>
        </w:rPr>
      </w:pPr>
      <w:r>
        <w:rPr>
          <w:rFonts w:hint="cs"/>
          <w:rtl/>
        </w:rPr>
        <w:t>ומזה מבואר</w:t>
      </w:r>
      <w:r w:rsidRPr="002512DF">
        <w:rPr>
          <w:vertAlign w:val="superscript"/>
          <w:rtl/>
        </w:rPr>
        <w:footnoteReference w:id="32"/>
      </w:r>
      <w:r w:rsidRPr="002512DF">
        <w:rPr>
          <w:rFonts w:hint="cs"/>
          <w:vertAlign w:val="superscript"/>
          <w:rtl/>
        </w:rPr>
        <w:t xml:space="preserve"> </w:t>
      </w:r>
      <w:r>
        <w:rPr>
          <w:rFonts w:hint="cs"/>
          <w:rtl/>
        </w:rPr>
        <w:t>שהחיוב של ציפית לישועה, הוא לא רק שמשיח יבוא "אי פעם", אלא שזה יקרה בימיו. ובדא"פ יש להוסיף, שזה נרמז גם בהלשון "</w:t>
      </w:r>
      <w:r w:rsidRPr="00346413">
        <w:rPr>
          <w:rFonts w:hint="cs"/>
          <w:rtl/>
        </w:rPr>
        <w:t>צפית</w:t>
      </w:r>
      <w:r>
        <w:rPr>
          <w:rFonts w:hint="cs"/>
          <w:rtl/>
        </w:rPr>
        <w:t xml:space="preserve"> לישועה", ע"פ המבואר בחומש היכל הברכה</w:t>
      </w:r>
      <w:r w:rsidRPr="002512DF">
        <w:rPr>
          <w:vertAlign w:val="superscript"/>
          <w:rtl/>
        </w:rPr>
        <w:footnoteReference w:id="33"/>
      </w:r>
      <w:r>
        <w:rPr>
          <w:rFonts w:hint="cs"/>
          <w:rtl/>
        </w:rPr>
        <w:t xml:space="preserve"> "</w:t>
      </w:r>
      <w:r w:rsidRPr="00346413">
        <w:rPr>
          <w:rtl/>
        </w:rPr>
        <w:t>צפית לשון "צופה נתתיך"</w:t>
      </w:r>
      <w:r w:rsidRPr="002512DF">
        <w:rPr>
          <w:vertAlign w:val="superscript"/>
          <w:rtl/>
        </w:rPr>
        <w:footnoteReference w:id="34"/>
      </w:r>
      <w:r w:rsidRPr="00346413">
        <w:rPr>
          <w:rtl/>
        </w:rPr>
        <w:t xml:space="preserve"> כמו שצופה ומביט ורואה בכל עת ורגע שלא יבא אויב ושונא, כך צריך איש ישראל לצפות בעיניו ובשכיות לבבו בכל זמן ועת, אולי יבא באותו רגע מלך המשיח</w:t>
      </w:r>
      <w:r w:rsidRPr="00346413">
        <w:rPr>
          <w:rFonts w:hint="cs"/>
          <w:rtl/>
        </w:rPr>
        <w:t>". והיינו שהלשון "צפית" מורה על מי שצופה ומביט לדבר שיבוא, ובלשון אידיש "ארויסקוקן"</w:t>
      </w:r>
      <w:r w:rsidRPr="002512DF">
        <w:rPr>
          <w:vertAlign w:val="superscript"/>
          <w:rtl/>
        </w:rPr>
        <w:footnoteReference w:id="35"/>
      </w:r>
      <w:r w:rsidRPr="00346413">
        <w:rPr>
          <w:rFonts w:hint="cs"/>
          <w:rtl/>
        </w:rPr>
        <w:t>, ומובן שזהו דוקא באם אכן מקוה בכל יום שהדבר יבוא בפועל</w:t>
      </w:r>
      <w:r w:rsidRPr="002512DF">
        <w:rPr>
          <w:vertAlign w:val="superscript"/>
          <w:rtl/>
        </w:rPr>
        <w:footnoteReference w:id="36"/>
      </w:r>
      <w:r w:rsidRPr="00346413">
        <w:rPr>
          <w:rFonts w:hint="cs"/>
          <w:rtl/>
        </w:rPr>
        <w:t>, לא רק "אי פעם". (ומובן גם לכל מבקש אמת, דאין הפירוש בדברי הראשונים "בימיך" "בימיו", שמאמין שמשיח יבוא באיזה זמן במשך ימי חייו, לאו דוקא עכשיו אלא לעת זקנותו, אלא שבמשך כל ימיו הוא מצפה לביאת המשיח באותו יום. ומה שנאמר הלשון "בימיך" "בימיו" דרך כלל, הוא מפני שמדברים כאן על כללות ימי האדם).</w:t>
      </w:r>
    </w:p>
    <w:p w:rsidR="00346413" w:rsidRPr="00346413" w:rsidRDefault="00346413" w:rsidP="00F146A6">
      <w:pPr>
        <w:pStyle w:val="a3"/>
        <w:rPr>
          <w:rtl/>
        </w:rPr>
      </w:pPr>
      <w:r w:rsidRPr="00346413">
        <w:rPr>
          <w:rFonts w:hint="cs"/>
          <w:rtl/>
        </w:rPr>
        <w:t>וכן מצינו בהרבה מקורות</w:t>
      </w:r>
      <w:r w:rsidRPr="002512DF">
        <w:rPr>
          <w:vertAlign w:val="superscript"/>
          <w:rtl/>
        </w:rPr>
        <w:footnoteReference w:id="37"/>
      </w:r>
      <w:r w:rsidRPr="00346413">
        <w:rPr>
          <w:rFonts w:hint="cs"/>
          <w:rtl/>
        </w:rPr>
        <w:t xml:space="preserve">, שענין הציפי' לביאת המשיח הוא בכל יום, וכמודגש בנוסח האני מאמין "אחכה לו בכל יום שיבוא". אמנם, לכאורה נראה שיש חילוק עיקרי ביניהם. דהענין של "אחכה לו בכל יום שיבוא", שהוא חלק מנוסח ה"אני מאמין", משמעו שזהו חלק מענין האמונה בביאת המשיח. דהיינו דעצם האמונה בביאת המשיח מחייבת שיחכה לו בכל יום. אמנם מרהיטת לשונות הראשונים בהענין של צפית לישועה המבואר כאן, נראה, שעצם האמונה בביאת המשיח מצד עצמה אינו </w:t>
      </w:r>
      <w:r w:rsidRPr="00346413">
        <w:rPr>
          <w:rFonts w:hint="cs"/>
          <w:rtl/>
        </w:rPr>
        <w:lastRenderedPageBreak/>
        <w:t>מחייב הציפי' בכל יום, אלא שזה נלמד ממאחז"ל הזה של "צפית לישועה".</w:t>
      </w:r>
    </w:p>
    <w:p w:rsidR="00346413" w:rsidRPr="00346413" w:rsidRDefault="00346413" w:rsidP="00F146A6">
      <w:pPr>
        <w:pStyle w:val="a3"/>
        <w:rPr>
          <w:rtl/>
        </w:rPr>
      </w:pPr>
      <w:r w:rsidRPr="00346413">
        <w:rPr>
          <w:rFonts w:hint="cs"/>
          <w:rtl/>
        </w:rPr>
        <w:t>ונראה לבאר שיטתם, ובהקדם ביאור הלשון "צפית לישועה</w:t>
      </w:r>
      <w:r w:rsidRPr="002512DF">
        <w:rPr>
          <w:vertAlign w:val="superscript"/>
          <w:rtl/>
        </w:rPr>
        <w:footnoteReference w:id="38"/>
      </w:r>
      <w:r w:rsidRPr="00346413">
        <w:rPr>
          <w:rFonts w:hint="cs"/>
          <w:rtl/>
        </w:rPr>
        <w:t>", דהיינו שמגדיר כאן ענין של ביאת המשיח כענין של "ישועה". ובהקדם, דיש כמה ענינים בהציפי' לביאת המשיח. הציפי' לישועת ישראל</w:t>
      </w:r>
      <w:r w:rsidRPr="002512DF">
        <w:rPr>
          <w:vertAlign w:val="superscript"/>
          <w:rtl/>
        </w:rPr>
        <w:footnoteReference w:id="39"/>
      </w:r>
      <w:r w:rsidRPr="00346413">
        <w:rPr>
          <w:rFonts w:hint="cs"/>
          <w:rtl/>
        </w:rPr>
        <w:t>, שלימות התומ"צ</w:t>
      </w:r>
      <w:r w:rsidRPr="002512DF">
        <w:rPr>
          <w:vertAlign w:val="superscript"/>
          <w:rtl/>
        </w:rPr>
        <w:footnoteReference w:id="40"/>
      </w:r>
      <w:r w:rsidRPr="00346413">
        <w:rPr>
          <w:rFonts w:hint="cs"/>
          <w:rtl/>
        </w:rPr>
        <w:t>, גילוי מלכותו של הקב"ה</w:t>
      </w:r>
      <w:r w:rsidRPr="002512DF">
        <w:rPr>
          <w:vertAlign w:val="superscript"/>
          <w:rtl/>
        </w:rPr>
        <w:footnoteReference w:id="41"/>
      </w:r>
      <w:r w:rsidRPr="00346413">
        <w:rPr>
          <w:rFonts w:hint="cs"/>
          <w:rtl/>
        </w:rPr>
        <w:t>, גאולת השכינה מהגלות</w:t>
      </w:r>
      <w:r w:rsidRPr="002512DF">
        <w:rPr>
          <w:vertAlign w:val="superscript"/>
          <w:rtl/>
        </w:rPr>
        <w:footnoteReference w:id="42"/>
      </w:r>
      <w:r w:rsidRPr="00346413">
        <w:rPr>
          <w:rFonts w:hint="cs"/>
          <w:rtl/>
        </w:rPr>
        <w:t>, שלימות הכוונה של דירה בתחתונים</w:t>
      </w:r>
      <w:r w:rsidRPr="002512DF">
        <w:rPr>
          <w:vertAlign w:val="superscript"/>
          <w:rtl/>
        </w:rPr>
        <w:footnoteReference w:id="43"/>
      </w:r>
      <w:r w:rsidRPr="00346413">
        <w:rPr>
          <w:rFonts w:hint="cs"/>
          <w:rtl/>
        </w:rPr>
        <w:t>, ועוד</w:t>
      </w:r>
      <w:r w:rsidRPr="002512DF">
        <w:rPr>
          <w:vertAlign w:val="superscript"/>
          <w:rtl/>
        </w:rPr>
        <w:footnoteReference w:id="44"/>
      </w:r>
      <w:r w:rsidRPr="00346413">
        <w:rPr>
          <w:rFonts w:hint="cs"/>
          <w:rtl/>
        </w:rPr>
        <w:t>. ובכללות, של הציפי' לביאת המשיח כולל כל הענינים הנ"ל. אמנם כאן, ההדגשה היא על ענין של "ישועה"</w:t>
      </w:r>
      <w:r w:rsidRPr="00346413">
        <w:rPr>
          <w:rFonts w:hint="cs"/>
        </w:rPr>
        <w:t xml:space="preserve"> </w:t>
      </w:r>
      <w:r w:rsidRPr="00346413">
        <w:rPr>
          <w:rFonts w:hint="cs"/>
          <w:rtl/>
        </w:rPr>
        <w:t>בדוקא.</w:t>
      </w:r>
    </w:p>
    <w:p w:rsidR="00346413" w:rsidRPr="00346413" w:rsidRDefault="00346413" w:rsidP="00F146A6">
      <w:pPr>
        <w:pStyle w:val="a3"/>
        <w:rPr>
          <w:rtl/>
        </w:rPr>
      </w:pPr>
      <w:r w:rsidRPr="00346413">
        <w:rPr>
          <w:rFonts w:hint="cs"/>
          <w:rtl/>
        </w:rPr>
        <w:t>והנה מבואר בכ"מ</w:t>
      </w:r>
      <w:r w:rsidRPr="002512DF">
        <w:rPr>
          <w:vertAlign w:val="superscript"/>
          <w:rtl/>
        </w:rPr>
        <w:footnoteReference w:id="45"/>
      </w:r>
      <w:r w:rsidRPr="00346413">
        <w:rPr>
          <w:rFonts w:hint="cs"/>
          <w:rtl/>
        </w:rPr>
        <w:t>, שהיסוד המבואר בדברי חז"ל "צפית לישועה", הוא החיוב הכללי לצפות לישועת ה' בעת צרה, הן כללי או פרטי. וא"כ אוי"ל בביאור שיטת הראשונים הנ"ל, שאע"פ שעצם האמונה בביאת המשיח מצד עצמה אינו כולל הציפי' בכל יום, מ"מ מצד זה שביאת המשיח הו"ע של ישועה, והישועה הכי כללי, לכן שוב חל ע"ז החיוב לצפות לזה בכל יום.</w:t>
      </w:r>
    </w:p>
    <w:p w:rsidR="00346413" w:rsidRPr="00346413" w:rsidRDefault="00346413" w:rsidP="00F146A6">
      <w:pPr>
        <w:pStyle w:val="a3"/>
        <w:rPr>
          <w:rtl/>
        </w:rPr>
      </w:pPr>
      <w:r w:rsidRPr="00346413">
        <w:rPr>
          <w:rFonts w:hint="cs"/>
          <w:rtl/>
        </w:rPr>
        <w:t>ולתוספת הסברה בכהנ"ל י"ל: הציפי' לביאת המשיח (וכן הלשונות "מחכה", ו"צפית"), כולל ב' ענינים. א' ציפי' ותאוה</w:t>
      </w:r>
      <w:r w:rsidRPr="002512DF">
        <w:rPr>
          <w:vertAlign w:val="superscript"/>
          <w:rtl/>
        </w:rPr>
        <w:footnoteReference w:id="46"/>
      </w:r>
      <w:r w:rsidRPr="00346413">
        <w:rPr>
          <w:rFonts w:hint="cs"/>
          <w:rtl/>
        </w:rPr>
        <w:t>. ב' תקוה ובטחון</w:t>
      </w:r>
      <w:r w:rsidRPr="002512DF">
        <w:rPr>
          <w:vertAlign w:val="superscript"/>
          <w:rtl/>
        </w:rPr>
        <w:footnoteReference w:id="47"/>
      </w:r>
      <w:r w:rsidRPr="00346413">
        <w:rPr>
          <w:rFonts w:hint="cs"/>
          <w:rtl/>
        </w:rPr>
        <w:t xml:space="preserve">. והנה בהגדרת היסוד הנ"ל, שעל כל צרה שלא תבוא צריך האדם לצפות לישועת ה', מובן שאין הכוונה (רק) </w:t>
      </w:r>
      <w:r w:rsidRPr="00346413">
        <w:rPr>
          <w:rFonts w:hint="cs"/>
          <w:rtl/>
        </w:rPr>
        <w:lastRenderedPageBreak/>
        <w:t xml:space="preserve">שרוצה בישועת ה', אלא שהוא מצפה ומקוה בכל יום שה' יעזור לו בפועל ממש. ומזה מובן לעניננו, להציפי' לישועת ישראל בביאת המשיח, שעיקר ההדגשה ב"צפית לישועה", היא לא רק שיש לו חמדה ותאוה לביאת המשיח, אלא ע"ז שציפה וקיוה לישועת ה' בפועל </w:t>
      </w:r>
      <w:r w:rsidRPr="00346413">
        <w:rPr>
          <w:rtl/>
        </w:rPr>
        <w:t>–</w:t>
      </w:r>
      <w:r w:rsidRPr="00346413">
        <w:rPr>
          <w:rFonts w:hint="cs"/>
          <w:rtl/>
        </w:rPr>
        <w:t xml:space="preserve"> "בימיו".</w:t>
      </w:r>
    </w:p>
    <w:p w:rsidR="00346413" w:rsidRPr="00346413" w:rsidRDefault="00346413" w:rsidP="00521750">
      <w:pPr>
        <w:pStyle w:val="11"/>
        <w:bidi/>
        <w:rPr>
          <w:rtl/>
        </w:rPr>
      </w:pPr>
      <w:r w:rsidRPr="00346413">
        <w:rPr>
          <w:rFonts w:hint="cs"/>
          <w:rtl/>
        </w:rPr>
        <w:t>אופן הבטחון לביאת המשיח</w:t>
      </w:r>
    </w:p>
    <w:p w:rsidR="00346413" w:rsidRPr="00346413" w:rsidRDefault="00346413" w:rsidP="00F146A6">
      <w:pPr>
        <w:pStyle w:val="a3"/>
        <w:rPr>
          <w:rtl/>
        </w:rPr>
      </w:pPr>
      <w:r w:rsidRPr="00346413">
        <w:rPr>
          <w:rFonts w:hint="cs"/>
          <w:rtl/>
        </w:rPr>
        <w:t>ובאופן הבטחון הגמור שצ"ל בביאת המשיח, מבואר בלקו"ש ח"ז ע' 275, שצ"ל "</w:t>
      </w:r>
      <w:r w:rsidRPr="00346413">
        <w:rPr>
          <w:rtl/>
        </w:rPr>
        <w:t>בבטחון גמור בלי שום פקפוק ובאופן ד</w:t>
      </w:r>
      <w:r w:rsidRPr="00346413">
        <w:rPr>
          <w:rFonts w:hint="cs"/>
          <w:rtl/>
        </w:rPr>
        <w:t>"</w:t>
      </w:r>
      <w:r w:rsidRPr="00346413">
        <w:rPr>
          <w:rtl/>
        </w:rPr>
        <w:t>אחכה לו בכל יום</w:t>
      </w:r>
      <w:r w:rsidRPr="00346413">
        <w:rPr>
          <w:rFonts w:hint="cs"/>
          <w:rtl/>
        </w:rPr>
        <w:t>"</w:t>
      </w:r>
      <w:r w:rsidRPr="00346413">
        <w:rPr>
          <w:rtl/>
        </w:rPr>
        <w:t xml:space="preserve"> שמחר ממש יבוא משיח </w:t>
      </w:r>
      <w:r w:rsidRPr="00346413">
        <w:rPr>
          <w:rFonts w:hint="cs"/>
          <w:rtl/>
        </w:rPr>
        <w:t xml:space="preserve">- </w:t>
      </w:r>
      <w:r w:rsidRPr="00346413">
        <w:rPr>
          <w:rtl/>
        </w:rPr>
        <w:t xml:space="preserve">גם כשמצד </w:t>
      </w:r>
      <w:r w:rsidRPr="00346413">
        <w:rPr>
          <w:rFonts w:hint="cs"/>
          <w:rtl/>
        </w:rPr>
        <w:t>"</w:t>
      </w:r>
      <w:r w:rsidRPr="00346413">
        <w:rPr>
          <w:rtl/>
        </w:rPr>
        <w:t>חשבונות</w:t>
      </w:r>
      <w:r w:rsidRPr="00346413">
        <w:rPr>
          <w:rFonts w:hint="cs"/>
          <w:rtl/>
        </w:rPr>
        <w:t xml:space="preserve">" </w:t>
      </w:r>
      <w:r w:rsidRPr="00346413">
        <w:rPr>
          <w:rtl/>
        </w:rPr>
        <w:t xml:space="preserve">של שכל </w:t>
      </w:r>
      <w:r w:rsidRPr="00346413">
        <w:rPr>
          <w:rFonts w:hint="cs"/>
          <w:rtl/>
        </w:rPr>
        <w:t>[</w:t>
      </w:r>
      <w:r w:rsidRPr="00346413">
        <w:rPr>
          <w:rtl/>
        </w:rPr>
        <w:t>וטבע</w:t>
      </w:r>
      <w:r w:rsidRPr="00346413">
        <w:rPr>
          <w:rFonts w:hint="cs"/>
          <w:rtl/>
        </w:rPr>
        <w:t>]</w:t>
      </w:r>
      <w:r w:rsidRPr="00346413">
        <w:rPr>
          <w:rtl/>
        </w:rPr>
        <w:t xml:space="preserve"> אינו רואה שום מקור לזה</w:t>
      </w:r>
      <w:r w:rsidRPr="00346413">
        <w:rPr>
          <w:rFonts w:hint="cs"/>
          <w:rtl/>
        </w:rPr>
        <w:t>,</w:t>
      </w:r>
      <w:r w:rsidRPr="00346413">
        <w:rPr>
          <w:rtl/>
        </w:rPr>
        <w:t xml:space="preserve"> ובטחון זה עצמו ימהר ויחיש את ביאתו</w:t>
      </w:r>
      <w:r w:rsidRPr="00346413">
        <w:rPr>
          <w:rFonts w:hint="cs"/>
          <w:rtl/>
        </w:rPr>
        <w:t>,</w:t>
      </w:r>
      <w:r w:rsidRPr="00346413">
        <w:rPr>
          <w:rtl/>
        </w:rPr>
        <w:t xml:space="preserve"> בקרוב ממש</w:t>
      </w:r>
      <w:r w:rsidRPr="00346413">
        <w:rPr>
          <w:rFonts w:hint="cs"/>
          <w:rtl/>
        </w:rPr>
        <w:t xml:space="preserve">". </w:t>
      </w:r>
    </w:p>
    <w:p w:rsidR="00346413" w:rsidRPr="00346413" w:rsidRDefault="00346413" w:rsidP="00F146A6">
      <w:pPr>
        <w:pStyle w:val="a3"/>
        <w:rPr>
          <w:rtl/>
        </w:rPr>
      </w:pPr>
      <w:r w:rsidRPr="00346413">
        <w:rPr>
          <w:rFonts w:hint="cs"/>
          <w:rtl/>
        </w:rPr>
        <w:t xml:space="preserve">אמנם בס' המספיק לעבדי ה', לר' אברהם בן הרמב"ם, </w:t>
      </w:r>
      <w:r w:rsidRPr="00346413">
        <w:rPr>
          <w:rtl/>
        </w:rPr>
        <w:t>בביאור ענין הבטחון</w:t>
      </w:r>
      <w:r w:rsidRPr="00346413">
        <w:rPr>
          <w:rFonts w:hint="cs"/>
          <w:rtl/>
        </w:rPr>
        <w:t>, כתב</w:t>
      </w:r>
      <w:r w:rsidRPr="00346413">
        <w:rPr>
          <w:rtl/>
        </w:rPr>
        <w:t xml:space="preserve"> </w:t>
      </w:r>
      <w:r w:rsidRPr="00346413">
        <w:rPr>
          <w:rFonts w:hint="cs"/>
          <w:rtl/>
        </w:rPr>
        <w:t>"</w:t>
      </w:r>
      <w:r w:rsidRPr="00346413">
        <w:rPr>
          <w:rtl/>
        </w:rPr>
        <w:t>(בנוגע לשאלה) אם יבטח כל אחד מאתנו כי יקום הדבר (=הגאולה)</w:t>
      </w:r>
      <w:r w:rsidRPr="00346413">
        <w:rPr>
          <w:rFonts w:hint="cs"/>
          <w:rtl/>
        </w:rPr>
        <w:t xml:space="preserve"> </w:t>
      </w:r>
      <w:r w:rsidRPr="00346413">
        <w:rPr>
          <w:rtl/>
        </w:rPr>
        <w:t>ויהי' בימי חייו קודם מיתתו, אז יהיה בטחוננו כפי המעלה הראשונה והשניה (=כמו שביאר לעיל, הכוונה שיהא מקווה ומצפה, וגם מתפלל, אבל אינו בטוח בוודאות שיקבל זה)</w:t>
      </w:r>
      <w:r w:rsidRPr="00346413">
        <w:rPr>
          <w:rFonts w:hint="cs"/>
          <w:rtl/>
        </w:rPr>
        <w:t>,</w:t>
      </w:r>
      <w:r w:rsidRPr="00346413">
        <w:rPr>
          <w:rtl/>
        </w:rPr>
        <w:t xml:space="preserve"> כי אפשר שיקום הדבר בזכות רוב רחמיו יתעלה ואפשר שלא יקום מפני חטאינו</w:t>
      </w:r>
      <w:r w:rsidRPr="00346413">
        <w:rPr>
          <w:rFonts w:hint="cs"/>
          <w:rtl/>
        </w:rPr>
        <w:t>,</w:t>
      </w:r>
      <w:r w:rsidRPr="00346413">
        <w:rPr>
          <w:rtl/>
        </w:rPr>
        <w:t xml:space="preserve"> ולפיכך נאמר דניאל</w:t>
      </w:r>
      <w:r w:rsidRPr="00346413">
        <w:rPr>
          <w:rFonts w:hint="cs"/>
          <w:rtl/>
        </w:rPr>
        <w:t xml:space="preserve"> </w:t>
      </w:r>
      <w:r w:rsidRPr="00346413">
        <w:rPr>
          <w:rtl/>
        </w:rPr>
        <w:t>(י"ב</w:t>
      </w:r>
      <w:r w:rsidRPr="00346413">
        <w:rPr>
          <w:rFonts w:hint="cs"/>
          <w:rtl/>
        </w:rPr>
        <w:t>,</w:t>
      </w:r>
      <w:r w:rsidRPr="00346413">
        <w:rPr>
          <w:rtl/>
        </w:rPr>
        <w:t xml:space="preserve"> י"ב) אשרי המחכה ויגיע</w:t>
      </w:r>
      <w:r w:rsidRPr="00346413">
        <w:rPr>
          <w:rFonts w:hint="cs"/>
          <w:rtl/>
        </w:rPr>
        <w:t>,</w:t>
      </w:r>
      <w:r w:rsidRPr="00346413">
        <w:rPr>
          <w:rtl/>
        </w:rPr>
        <w:t xml:space="preserve"> כ</w:t>
      </w:r>
      <w:r w:rsidRPr="00346413">
        <w:rPr>
          <w:rFonts w:hint="cs"/>
          <w:rtl/>
        </w:rPr>
        <w:t>י</w:t>
      </w:r>
      <w:r w:rsidRPr="00346413">
        <w:rPr>
          <w:rtl/>
        </w:rPr>
        <w:t xml:space="preserve"> לא כל המחכה יגיע</w:t>
      </w:r>
      <w:r w:rsidRPr="002512DF">
        <w:rPr>
          <w:vertAlign w:val="superscript"/>
          <w:rtl/>
        </w:rPr>
        <w:footnoteReference w:id="48"/>
      </w:r>
      <w:r w:rsidRPr="00346413">
        <w:rPr>
          <w:rtl/>
        </w:rPr>
        <w:t>".</w:t>
      </w:r>
    </w:p>
    <w:p w:rsidR="00346413" w:rsidRPr="00346413" w:rsidRDefault="00346413" w:rsidP="00F146A6">
      <w:pPr>
        <w:pStyle w:val="a3"/>
        <w:rPr>
          <w:rtl/>
        </w:rPr>
      </w:pPr>
      <w:r w:rsidRPr="00346413">
        <w:rPr>
          <w:rFonts w:hint="cs"/>
          <w:rtl/>
        </w:rPr>
        <w:t>אמנם המעיין ביסודי הדברים יראה, כי הר"א בן הרמב"ם הולך לשיטתו בביאור ענין הבטחון שביאר לפנ"ז, שא"א לבטוח בוודאות. אמנם לפי ביאור כ"ק אדמו"ר בענין הבטחון בלקו"ש חל"ו בתחלתו, ענין הבטחון הוא בטחון גמור בלי שום פקפוק. עיי"ש. וא"כ גם בביאת המשיח צ"ל כן.</w:t>
      </w:r>
    </w:p>
    <w:p w:rsidR="00346413" w:rsidRPr="00346413" w:rsidRDefault="00346413" w:rsidP="00F146A6">
      <w:pPr>
        <w:pStyle w:val="a3"/>
        <w:rPr>
          <w:rtl/>
        </w:rPr>
      </w:pPr>
      <w:r w:rsidRPr="00346413">
        <w:rPr>
          <w:rFonts w:hint="cs"/>
          <w:rtl/>
        </w:rPr>
        <w:t>ובס' אגרות משה ח"ח או"ח סי' ה' כתב "</w:t>
      </w:r>
      <w:r w:rsidRPr="00346413">
        <w:rPr>
          <w:rtl/>
        </w:rPr>
        <w:t>משמע שאי</w:t>
      </w:r>
      <w:r w:rsidRPr="00346413">
        <w:rPr>
          <w:rFonts w:hint="cs"/>
          <w:rtl/>
        </w:rPr>
        <w:t>כ</w:t>
      </w:r>
      <w:r w:rsidRPr="00346413">
        <w:rPr>
          <w:rtl/>
        </w:rPr>
        <w:t>א חיוב לצ</w:t>
      </w:r>
      <w:r w:rsidRPr="00346413">
        <w:rPr>
          <w:rFonts w:hint="cs"/>
          <w:rtl/>
        </w:rPr>
        <w:t>פו</w:t>
      </w:r>
      <w:r w:rsidRPr="00346413">
        <w:rPr>
          <w:rtl/>
        </w:rPr>
        <w:t>ת יותר מחשיבות ספק</w:t>
      </w:r>
      <w:r w:rsidRPr="00346413">
        <w:rPr>
          <w:rFonts w:hint="cs"/>
          <w:rtl/>
        </w:rPr>
        <w:t>.</w:t>
      </w:r>
      <w:r w:rsidRPr="00346413">
        <w:rPr>
          <w:rtl/>
        </w:rPr>
        <w:t xml:space="preserve"> דהא למ"ד שריב"ז סובר שבליכא מקדש</w:t>
      </w:r>
      <w:r w:rsidRPr="00346413">
        <w:rPr>
          <w:rFonts w:hint="cs"/>
          <w:rtl/>
        </w:rPr>
        <w:t>,</w:t>
      </w:r>
      <w:r w:rsidRPr="00346413">
        <w:rPr>
          <w:rtl/>
        </w:rPr>
        <w:t xml:space="preserve"> האיר מזרח מתי</w:t>
      </w:r>
      <w:r w:rsidRPr="00346413">
        <w:rPr>
          <w:rFonts w:hint="cs"/>
          <w:rtl/>
        </w:rPr>
        <w:t>ר</w:t>
      </w:r>
      <w:r w:rsidRPr="00346413">
        <w:rPr>
          <w:rtl/>
        </w:rPr>
        <w:t xml:space="preserve"> </w:t>
      </w:r>
      <w:r w:rsidRPr="00346413">
        <w:rPr>
          <w:rFonts w:hint="cs"/>
          <w:rtl/>
        </w:rPr>
        <w:t>(</w:t>
      </w:r>
      <w:r w:rsidRPr="00346413">
        <w:rPr>
          <w:rtl/>
        </w:rPr>
        <w:t>מנחות ס"ח ע"א</w:t>
      </w:r>
      <w:r w:rsidRPr="00346413">
        <w:rPr>
          <w:rFonts w:hint="cs"/>
          <w:rtl/>
        </w:rPr>
        <w:t>)</w:t>
      </w:r>
      <w:r w:rsidRPr="00346413">
        <w:rPr>
          <w:rtl/>
        </w:rPr>
        <w:t xml:space="preserve"> ובשביל מהרה יבנה ביהמ"ק אף</w:t>
      </w:r>
      <w:r w:rsidRPr="00346413">
        <w:rPr>
          <w:rFonts w:hint="cs"/>
          <w:rtl/>
        </w:rPr>
        <w:t xml:space="preserve"> </w:t>
      </w:r>
      <w:r w:rsidRPr="00346413">
        <w:rPr>
          <w:rtl/>
        </w:rPr>
        <w:t>שהוא רק כשלא נבנה עד חמ</w:t>
      </w:r>
      <w:r w:rsidRPr="00346413">
        <w:rPr>
          <w:rFonts w:hint="cs"/>
          <w:rtl/>
        </w:rPr>
        <w:t>יס</w:t>
      </w:r>
      <w:r w:rsidRPr="00346413">
        <w:rPr>
          <w:rtl/>
        </w:rPr>
        <w:t>ר</w:t>
      </w:r>
      <w:r w:rsidRPr="00346413">
        <w:rPr>
          <w:rFonts w:hint="cs"/>
          <w:rtl/>
        </w:rPr>
        <w:t>,</w:t>
      </w:r>
      <w:r w:rsidRPr="00346413">
        <w:rPr>
          <w:rtl/>
        </w:rPr>
        <w:t xml:space="preserve"> נאסר יום הנף כולו</w:t>
      </w:r>
      <w:r w:rsidRPr="00346413">
        <w:rPr>
          <w:rFonts w:hint="cs"/>
          <w:rtl/>
        </w:rPr>
        <w:t>.</w:t>
      </w:r>
      <w:r w:rsidRPr="00346413">
        <w:rPr>
          <w:rtl/>
        </w:rPr>
        <w:t xml:space="preserve"> ואם היה זה רק בחשיבות ספק</w:t>
      </w:r>
      <w:r w:rsidRPr="00346413">
        <w:rPr>
          <w:rFonts w:hint="cs"/>
          <w:rtl/>
        </w:rPr>
        <w:t>,</w:t>
      </w:r>
      <w:r w:rsidRPr="00346413">
        <w:rPr>
          <w:rtl/>
        </w:rPr>
        <w:t xml:space="preserve"> והוא גם רק ספק קטן</w:t>
      </w:r>
      <w:r w:rsidRPr="00346413">
        <w:rPr>
          <w:rFonts w:hint="cs"/>
          <w:rtl/>
        </w:rPr>
        <w:t>,</w:t>
      </w:r>
      <w:r w:rsidRPr="00346413">
        <w:rPr>
          <w:rtl/>
        </w:rPr>
        <w:t xml:space="preserve"> לא היה שייך למיגזר ולאסור בחדש כל יום הנף</w:t>
      </w:r>
      <w:r w:rsidRPr="002512DF">
        <w:rPr>
          <w:vertAlign w:val="superscript"/>
          <w:rtl/>
        </w:rPr>
        <w:footnoteReference w:id="49"/>
      </w:r>
      <w:r w:rsidRPr="00346413">
        <w:rPr>
          <w:rFonts w:hint="cs"/>
          <w:rtl/>
        </w:rPr>
        <w:t>.</w:t>
      </w:r>
      <w:r w:rsidRPr="00346413">
        <w:rPr>
          <w:rtl/>
        </w:rPr>
        <w:t xml:space="preserve"> אלא </w:t>
      </w:r>
      <w:r w:rsidRPr="00346413">
        <w:rPr>
          <w:rFonts w:hint="cs"/>
          <w:rtl/>
        </w:rPr>
        <w:t>הוא</w:t>
      </w:r>
      <w:r w:rsidRPr="00346413">
        <w:rPr>
          <w:rtl/>
        </w:rPr>
        <w:t xml:space="preserve"> משום דהחיוב בכל יום ויום לצפות כעין וודאי שיבא היום</w:t>
      </w:r>
      <w:r w:rsidRPr="00346413">
        <w:rPr>
          <w:rFonts w:hint="cs"/>
          <w:rtl/>
        </w:rPr>
        <w:t>,</w:t>
      </w:r>
      <w:r w:rsidRPr="00346413">
        <w:rPr>
          <w:rtl/>
        </w:rPr>
        <w:t xml:space="preserve"> וממילא כשיבא </w:t>
      </w:r>
      <w:r w:rsidRPr="00346413">
        <w:rPr>
          <w:rFonts w:hint="cs"/>
          <w:rtl/>
        </w:rPr>
        <w:t xml:space="preserve">חמיסר </w:t>
      </w:r>
      <w:r w:rsidRPr="00346413">
        <w:rPr>
          <w:rtl/>
        </w:rPr>
        <w:t>הרי יהיה החיוב לצפות כעין וודאי על כל שעה ושעה שיבנה</w:t>
      </w:r>
      <w:r w:rsidRPr="00346413">
        <w:rPr>
          <w:rFonts w:hint="cs"/>
          <w:rtl/>
        </w:rPr>
        <w:t>,</w:t>
      </w:r>
      <w:r w:rsidRPr="00346413">
        <w:rPr>
          <w:rtl/>
        </w:rPr>
        <w:t xml:space="preserve"> שלכן שייך לגזור</w:t>
      </w:r>
      <w:r w:rsidRPr="00346413">
        <w:rPr>
          <w:rFonts w:hint="cs"/>
          <w:rtl/>
        </w:rPr>
        <w:t>".</w:t>
      </w:r>
    </w:p>
    <w:p w:rsidR="00346413" w:rsidRPr="00346413" w:rsidRDefault="00346413" w:rsidP="00F146A6">
      <w:pPr>
        <w:pStyle w:val="a3"/>
        <w:rPr>
          <w:rtl/>
        </w:rPr>
      </w:pPr>
      <w:r w:rsidRPr="00346413">
        <w:rPr>
          <w:rFonts w:hint="cs"/>
          <w:rtl/>
        </w:rPr>
        <w:t xml:space="preserve">אבל יש להעיר בדבריו: א) גוף סברתו צ"ב: באם צריך לצפות כעין וודאי שיבוא היום, א"כ באותו יום שבו גזרו חז"ל הגזירה, היו צריכים לצפות שיבוא אותו יום, ולא שיבוא בט"ו בניסן! וא"כ למה גזרו על ט"ו ניסן. ב) ע"פ המבואר בכ"מ שזמן הגאולה ובנין ביהמ"ק הוא בחודש ניסן ובימי פסח, הרי נמצא דטעם גדול יש בדבר למה גזרו </w:t>
      </w:r>
      <w:r w:rsidRPr="00346413">
        <w:rPr>
          <w:rFonts w:hint="cs"/>
          <w:rtl/>
        </w:rPr>
        <w:lastRenderedPageBreak/>
        <w:t xml:space="preserve">משום החשש שמא יבנה ביהמ"ק דוקא בט"ו או ט"ז ניסן, ואין ללמוד מזה על שאר ימות השנה. ויל"ע.  </w:t>
      </w:r>
    </w:p>
    <w:p w:rsidR="00346413" w:rsidRPr="00346413" w:rsidRDefault="00346413" w:rsidP="00F146A6">
      <w:pPr>
        <w:pStyle w:val="a3"/>
      </w:pPr>
      <w:r w:rsidRPr="00346413">
        <w:rPr>
          <w:rtl/>
        </w:rPr>
        <w:t>האיחור הוא סבה לשתחכה יותר</w:t>
      </w:r>
    </w:p>
    <w:p w:rsidR="00346413" w:rsidRPr="00346413" w:rsidRDefault="00346413" w:rsidP="00F146A6">
      <w:pPr>
        <w:pStyle w:val="a3"/>
        <w:rPr>
          <w:rtl/>
        </w:rPr>
      </w:pPr>
      <w:r>
        <w:rPr>
          <w:rFonts w:hint="cs"/>
          <w:rtl/>
        </w:rPr>
        <w:t>בס' בית אלקים להמבי"ט</w:t>
      </w:r>
      <w:r w:rsidRPr="002512DF">
        <w:rPr>
          <w:vertAlign w:val="superscript"/>
          <w:rtl/>
        </w:rPr>
        <w:footnoteReference w:id="50"/>
      </w:r>
      <w:r>
        <w:rPr>
          <w:rFonts w:hint="cs"/>
          <w:rtl/>
        </w:rPr>
        <w:t>, שער היסודות פ"נ, כתב: "</w:t>
      </w:r>
      <w:bookmarkStart w:id="99" w:name="_Hlk43856600"/>
      <w:r>
        <w:rPr>
          <w:rFonts w:hint="cs"/>
          <w:rtl/>
        </w:rPr>
        <w:t>…</w:t>
      </w:r>
      <w:r w:rsidRPr="00346413">
        <w:rPr>
          <w:rtl/>
        </w:rPr>
        <w:t>ולכן</w:t>
      </w:r>
      <w:bookmarkEnd w:id="99"/>
      <w:r w:rsidRPr="00346413">
        <w:rPr>
          <w:rtl/>
        </w:rPr>
        <w:t xml:space="preserve"> האמונה היא שלא יחשוב שיתאחר כי אין לו זמן מוגבל ואפשר בכל יום ביאתו</w:t>
      </w:r>
      <w:r w:rsidRPr="00346413">
        <w:rPr>
          <w:rFonts w:hint="cs"/>
          <w:rtl/>
        </w:rPr>
        <w:t>,</w:t>
      </w:r>
      <w:r w:rsidRPr="00346413">
        <w:rPr>
          <w:rtl/>
        </w:rPr>
        <w:t xml:space="preserve"> כמו שאמר הכתוב היום אם בקולו תשמעו</w:t>
      </w:r>
      <w:r w:rsidRPr="00346413">
        <w:rPr>
          <w:rFonts w:hint="cs"/>
          <w:rtl/>
        </w:rPr>
        <w:t>,</w:t>
      </w:r>
      <w:r w:rsidRPr="00346413">
        <w:rPr>
          <w:rtl/>
        </w:rPr>
        <w:t xml:space="preserve"> וגם שנתאחר הרבה מן הזמן יהיה לו יותר תקוה</w:t>
      </w:r>
      <w:r w:rsidRPr="00346413">
        <w:rPr>
          <w:rFonts w:hint="cs"/>
          <w:rtl/>
        </w:rPr>
        <w:t>,</w:t>
      </w:r>
      <w:r w:rsidRPr="00346413">
        <w:rPr>
          <w:rtl/>
        </w:rPr>
        <w:t xml:space="preserve"> כי הוא קרוב יותר מהזמן שעבר</w:t>
      </w:r>
      <w:r w:rsidRPr="00346413">
        <w:rPr>
          <w:rFonts w:hint="cs"/>
          <w:rtl/>
        </w:rPr>
        <w:t>,</w:t>
      </w:r>
      <w:r w:rsidRPr="00346413">
        <w:rPr>
          <w:rtl/>
        </w:rPr>
        <w:t xml:space="preserve"> וכמו שאמר הכתוב אם יתמהמה חכה לו</w:t>
      </w:r>
      <w:r w:rsidRPr="00346413">
        <w:rPr>
          <w:rFonts w:hint="cs"/>
          <w:rtl/>
        </w:rPr>
        <w:t>,</w:t>
      </w:r>
      <w:r w:rsidRPr="00346413">
        <w:rPr>
          <w:rtl/>
        </w:rPr>
        <w:t xml:space="preserve"> כי האיחור הוא סבה לשתחכה לו יותר</w:t>
      </w:r>
      <w:r w:rsidRPr="00346413">
        <w:rPr>
          <w:rFonts w:hint="cs"/>
          <w:rtl/>
        </w:rPr>
        <w:t>,</w:t>
      </w:r>
      <w:r w:rsidRPr="00346413">
        <w:rPr>
          <w:rtl/>
        </w:rPr>
        <w:t xml:space="preserve"> ומ"ש הכתוב</w:t>
      </w:r>
      <w:r w:rsidRPr="002512DF">
        <w:rPr>
          <w:vertAlign w:val="superscript"/>
          <w:rtl/>
        </w:rPr>
        <w:footnoteReference w:id="51"/>
      </w:r>
      <w:r w:rsidRPr="002512DF">
        <w:rPr>
          <w:vertAlign w:val="superscript"/>
          <w:rtl/>
        </w:rPr>
        <w:t xml:space="preserve"> </w:t>
      </w:r>
      <w:r w:rsidRPr="00346413">
        <w:rPr>
          <w:rtl/>
        </w:rPr>
        <w:t>כי בוא יבוא ולא יאחר כי בזמן ביאתו</w:t>
      </w:r>
      <w:r w:rsidRPr="00346413">
        <w:rPr>
          <w:rFonts w:hint="cs"/>
          <w:rtl/>
        </w:rPr>
        <w:t xml:space="preserve"> </w:t>
      </w:r>
      <w:r w:rsidRPr="00346413">
        <w:rPr>
          <w:rtl/>
        </w:rPr>
        <w:t>לא יאחר ולא תהיה ביאתו באיחור</w:t>
      </w:r>
      <w:r w:rsidRPr="00346413">
        <w:rPr>
          <w:rFonts w:hint="cs"/>
          <w:rtl/>
        </w:rPr>
        <w:t>,</w:t>
      </w:r>
      <w:r w:rsidRPr="00346413">
        <w:rPr>
          <w:rtl/>
        </w:rPr>
        <w:t xml:space="preserve"> וזהו כפל בוא יבוא לעולם</w:t>
      </w:r>
      <w:r w:rsidRPr="002512DF">
        <w:rPr>
          <w:vertAlign w:val="superscript"/>
          <w:rtl/>
        </w:rPr>
        <w:footnoteReference w:id="52"/>
      </w:r>
      <w:r w:rsidRPr="00346413">
        <w:rPr>
          <w:rFonts w:hint="cs"/>
          <w:rtl/>
        </w:rPr>
        <w:t>".</w:t>
      </w:r>
    </w:p>
    <w:p w:rsidR="00346413" w:rsidRPr="00346413" w:rsidRDefault="00346413" w:rsidP="00F146A6">
      <w:pPr>
        <w:pStyle w:val="a3"/>
        <w:rPr>
          <w:rtl/>
        </w:rPr>
      </w:pPr>
      <w:r w:rsidRPr="00346413">
        <w:rPr>
          <w:rFonts w:hint="cs"/>
          <w:rtl/>
        </w:rPr>
        <w:t>ומבואר בדבריו, כי מכיון שהקץ האחרון לא יאחר מזמנו, (כמבואר בהפסוק שהביא "כי בא יבא ולא יאחר"), א"כ נמצא שכל יום ויום שעבר, מתקרב יותר אותו הזמן, ולכן האיחור הוא סיבה לשתחכה יותר</w:t>
      </w:r>
      <w:r w:rsidRPr="002512DF">
        <w:rPr>
          <w:vertAlign w:val="superscript"/>
          <w:rtl/>
        </w:rPr>
        <w:footnoteReference w:id="53"/>
      </w:r>
      <w:r w:rsidRPr="00346413">
        <w:rPr>
          <w:rFonts w:hint="cs"/>
          <w:rtl/>
        </w:rPr>
        <w:t>.</w:t>
      </w:r>
    </w:p>
    <w:p w:rsidR="00346413" w:rsidRPr="00346413" w:rsidRDefault="00346413" w:rsidP="00F146A6">
      <w:pPr>
        <w:pStyle w:val="a3"/>
        <w:rPr>
          <w:rtl/>
        </w:rPr>
      </w:pPr>
      <w:r w:rsidRPr="00346413">
        <w:rPr>
          <w:rFonts w:hint="cs"/>
          <w:rtl/>
        </w:rPr>
        <w:t>ועפ"ז יש לבאר גם דברי הרמב"ם באגרת תימן</w:t>
      </w:r>
      <w:r w:rsidRPr="002512DF">
        <w:rPr>
          <w:vertAlign w:val="superscript"/>
          <w:rtl/>
        </w:rPr>
        <w:footnoteReference w:id="54"/>
      </w:r>
      <w:r w:rsidRPr="00346413">
        <w:rPr>
          <w:rFonts w:hint="cs"/>
          <w:rtl/>
        </w:rPr>
        <w:t xml:space="preserve"> "כל מה שיוסיף להתאחר, הוסיפו בו תקוה, שכן אמר "כי עוד חזון למועד ויפח לקץ ולא יכזב, אם יתמהמה חכה לו כי בא יבא ולא יאחר"</w:t>
      </w:r>
      <w:r w:rsidRPr="002512DF">
        <w:rPr>
          <w:vertAlign w:val="superscript"/>
          <w:rtl/>
        </w:rPr>
        <w:footnoteReference w:id="55"/>
      </w:r>
      <w:r w:rsidRPr="00346413">
        <w:rPr>
          <w:rFonts w:hint="cs"/>
          <w:rtl/>
        </w:rPr>
        <w:t>".</w:t>
      </w:r>
    </w:p>
    <w:p w:rsidR="00346413" w:rsidRPr="00346413" w:rsidRDefault="00346413" w:rsidP="00F146A6">
      <w:pPr>
        <w:pStyle w:val="a3"/>
        <w:rPr>
          <w:rtl/>
        </w:rPr>
      </w:pPr>
      <w:r w:rsidRPr="00346413">
        <w:rPr>
          <w:rFonts w:hint="cs"/>
          <w:rtl/>
        </w:rPr>
        <w:t>ולתוספת ביאור</w:t>
      </w:r>
      <w:r w:rsidRPr="002512DF">
        <w:rPr>
          <w:vertAlign w:val="superscript"/>
          <w:rtl/>
        </w:rPr>
        <w:footnoteReference w:id="56"/>
      </w:r>
      <w:r w:rsidRPr="00346413">
        <w:rPr>
          <w:rFonts w:hint="cs"/>
          <w:rtl/>
        </w:rPr>
        <w:t xml:space="preserve">: אם אינו מאמין בוודאות באיזה דבר שיקרה, אז כל מה שמתאחר יותר, מתחלש אמונתו ותקותו בהדבר ההוא. אמנם דבר שמאמין בודאי שיקרה, הרי להיפך, כל מה שמתאחר הזמן יותר מאמין שזה יקר עכשיו, כי עד מתי </w:t>
      </w:r>
      <w:r w:rsidRPr="00346413">
        <w:rPr>
          <w:rFonts w:hint="cs"/>
          <w:rtl/>
        </w:rPr>
        <w:lastRenderedPageBreak/>
        <w:t xml:space="preserve">יכול להתאחר, ואם לא עכשיו אימתי. </w:t>
      </w:r>
    </w:p>
    <w:p w:rsidR="00346413" w:rsidRPr="00346413" w:rsidRDefault="00346413" w:rsidP="00F146A6">
      <w:pPr>
        <w:pStyle w:val="a3"/>
        <w:rPr>
          <w:rtl/>
        </w:rPr>
      </w:pPr>
      <w:r w:rsidRPr="00346413">
        <w:rPr>
          <w:rFonts w:hint="cs"/>
          <w:rtl/>
        </w:rPr>
        <w:t>ודוגמא פשוטה לדבר: אם מישהו הבטיח לחבירו שיבא לבקר אצלו, הנה מכיון שביקור חבירו אינו דבר ודאי, לכן כל מה שמתאחר מהזמן שאותו שיער שיבוא חבירו אצלו, יותר מתחלש אצל החבירו התקוה שיבוא חבירו אצלו. אמנם באם אמא מבטיח לילדי' שתשוב הביתה הלילה, הרי מכיון שזהו דבר ודאי, הרי כל מה שמתאחרת יותר, יותר מתגברת הציפי' שתבוא עכשיו, כי כמה יכולה כבר להתמהמה, ואם לא עכשיו אימתי</w:t>
      </w:r>
      <w:r w:rsidRPr="002512DF">
        <w:rPr>
          <w:vertAlign w:val="superscript"/>
          <w:rtl/>
        </w:rPr>
        <w:footnoteReference w:id="57"/>
      </w:r>
      <w:r w:rsidRPr="00346413">
        <w:rPr>
          <w:rFonts w:hint="cs"/>
          <w:rtl/>
        </w:rPr>
        <w:t>.</w:t>
      </w:r>
    </w:p>
    <w:p w:rsidR="00346413" w:rsidRPr="00346413" w:rsidRDefault="00346413" w:rsidP="00F146A6">
      <w:pPr>
        <w:pStyle w:val="a3"/>
        <w:rPr>
          <w:rtl/>
        </w:rPr>
      </w:pPr>
      <w:r w:rsidRPr="00346413">
        <w:rPr>
          <w:rFonts w:hint="cs"/>
          <w:rtl/>
        </w:rPr>
        <w:lastRenderedPageBreak/>
        <w:t>וע"פ החסידות מבואר הענין, כי בכל דור ודור וכל יום ויום, העולם הולך ומתברר ומתעלה, ונעשה מוכן יותר לביאת המשיח, ולכן ככל שמיתוסף הזמן, יותר מתקרב הענין של ביאת המשיח</w:t>
      </w:r>
      <w:r w:rsidRPr="002512DF">
        <w:rPr>
          <w:vertAlign w:val="superscript"/>
          <w:rtl/>
        </w:rPr>
        <w:footnoteReference w:id="58"/>
      </w:r>
      <w:r w:rsidRPr="00346413">
        <w:rPr>
          <w:rFonts w:hint="cs"/>
          <w:rtl/>
        </w:rPr>
        <w:t>. (ועפ"ז יש לבאר מה שמבואר</w:t>
      </w:r>
      <w:r w:rsidRPr="002512DF">
        <w:rPr>
          <w:vertAlign w:val="superscript"/>
          <w:rtl/>
        </w:rPr>
        <w:footnoteReference w:id="59"/>
      </w:r>
      <w:r w:rsidRPr="00346413">
        <w:rPr>
          <w:rFonts w:hint="cs"/>
          <w:rtl/>
        </w:rPr>
        <w:t xml:space="preserve"> בענין הקיצין שנאמרו בדורות שעברו, שבאמת אין הפשט שעבר הזמן ולא נתקיים הענין, אלא שעדיין הענין נמשך בכל התוקף, אלא שצריך עוד עבודה להביא זה. וע"ד המבואר בכ"מ בענין הקיצין</w:t>
      </w:r>
      <w:r w:rsidRPr="002512DF">
        <w:rPr>
          <w:vertAlign w:val="superscript"/>
          <w:rtl/>
        </w:rPr>
        <w:footnoteReference w:id="60"/>
      </w:r>
      <w:r w:rsidRPr="00346413">
        <w:rPr>
          <w:rFonts w:hint="cs"/>
          <w:rtl/>
        </w:rPr>
        <w:t>, שכל קץ פעל המשכה למעלה, אלא שעדיין צריך הדבר לבוא בפועל ממש למטה, וכהסיפור הידוע של אדמו"ר הצ"צ ואדמו"ר מהר"ש לגבי הקץ של שנת תר"ח</w:t>
      </w:r>
      <w:r w:rsidRPr="002512DF">
        <w:rPr>
          <w:vertAlign w:val="superscript"/>
          <w:rtl/>
        </w:rPr>
        <w:footnoteReference w:id="61"/>
      </w:r>
      <w:r w:rsidRPr="00346413">
        <w:rPr>
          <w:rFonts w:hint="cs"/>
          <w:rtl/>
        </w:rPr>
        <w:t>).</w:t>
      </w:r>
    </w:p>
    <w:p w:rsidR="00346413" w:rsidRPr="00346413" w:rsidRDefault="00346413" w:rsidP="00F146A6">
      <w:pPr>
        <w:pStyle w:val="a3"/>
        <w:rPr>
          <w:rtl/>
        </w:rPr>
      </w:pPr>
      <w:r w:rsidRPr="00346413">
        <w:rPr>
          <w:rFonts w:hint="cs"/>
          <w:rtl/>
        </w:rPr>
        <w:t>והנה לכאורה מצינו מקומות שבהם מבואר להיפך, ראה תענית יז, א, רש"י ד"ה רבי אומר "…</w:t>
      </w:r>
      <w:r w:rsidRPr="003C147F">
        <w:rPr>
          <w:rtl/>
        </w:rPr>
        <w:t xml:space="preserve"> </w:t>
      </w:r>
      <w:r w:rsidRPr="00346413">
        <w:rPr>
          <w:rtl/>
        </w:rPr>
        <w:t>דהוי כמה שנים שלא חזרה בירה</w:t>
      </w:r>
      <w:r w:rsidRPr="00346413">
        <w:rPr>
          <w:rFonts w:hint="cs"/>
          <w:rtl/>
        </w:rPr>
        <w:t>,</w:t>
      </w:r>
      <w:r w:rsidRPr="00346413">
        <w:rPr>
          <w:rtl/>
        </w:rPr>
        <w:t xml:space="preserve"> וקלקלה זו תקנתו לשתות יין בהדיא</w:t>
      </w:r>
      <w:r w:rsidRPr="00346413">
        <w:rPr>
          <w:rFonts w:hint="cs"/>
          <w:rtl/>
        </w:rPr>
        <w:t>,</w:t>
      </w:r>
      <w:r w:rsidRPr="00346413">
        <w:rPr>
          <w:rtl/>
        </w:rPr>
        <w:t xml:space="preserve"> ולשמא יבנה לא חיישינן</w:t>
      </w:r>
      <w:r w:rsidRPr="00346413">
        <w:rPr>
          <w:rFonts w:hint="cs"/>
          <w:rtl/>
        </w:rPr>
        <w:t>", דמשמע מזה שמכיון שנתארך זמן הגלות לכן לא חיישינן שמא יבנה, דלכאורה אינו מובן</w:t>
      </w:r>
      <w:r w:rsidRPr="002512DF">
        <w:rPr>
          <w:vertAlign w:val="superscript"/>
          <w:rtl/>
        </w:rPr>
        <w:footnoteReference w:id="62"/>
      </w:r>
      <w:r w:rsidRPr="00346413">
        <w:rPr>
          <w:rFonts w:hint="cs"/>
          <w:rtl/>
        </w:rPr>
        <w:t>, שהרי אדרבה, האיחור היא סיבה לשתחכה יותר כנ"ל. וכבר נתבארו בזה כמה ביאורים, (למשל, שלשיטה זו, רק לא חיישינן שיבנה ביהמ"ק בפתאומיות באופן כזה שלא יהי' זמן לכהן להפיג יינו</w:t>
      </w:r>
      <w:r w:rsidRPr="002512DF">
        <w:rPr>
          <w:vertAlign w:val="superscript"/>
          <w:rtl/>
        </w:rPr>
        <w:footnoteReference w:id="63"/>
      </w:r>
      <w:r w:rsidRPr="00346413">
        <w:rPr>
          <w:rFonts w:hint="cs"/>
          <w:rtl/>
        </w:rPr>
        <w:t xml:space="preserve">, ועוד), ונלקטו בקובץ </w:t>
      </w:r>
      <w:r w:rsidRPr="00346413">
        <w:rPr>
          <w:rFonts w:hint="cs"/>
          <w:rtl/>
        </w:rPr>
        <w:lastRenderedPageBreak/>
        <w:t>"מעלין בקודש" חוברת כ"ז ע' 46 ואילך. עיי"ש בארוכה ותדרשנו משם</w:t>
      </w:r>
      <w:r w:rsidRPr="002512DF">
        <w:rPr>
          <w:vertAlign w:val="superscript"/>
          <w:rtl/>
        </w:rPr>
        <w:footnoteReference w:id="64"/>
      </w:r>
      <w:r w:rsidRPr="00346413">
        <w:rPr>
          <w:rFonts w:hint="cs"/>
          <w:rtl/>
        </w:rPr>
        <w:t>.</w:t>
      </w:r>
    </w:p>
    <w:p w:rsidR="00346413" w:rsidRPr="00D13C23" w:rsidRDefault="00346413" w:rsidP="00F146A6">
      <w:pPr>
        <w:pStyle w:val="a3"/>
      </w:pPr>
      <w:r>
        <w:rPr>
          <w:rFonts w:hint="cs"/>
          <w:rtl/>
        </w:rPr>
        <w:t>ויה"ר שנזכה לקבל פני משיח צדקינו תומ"י ממש ובחסד וברחמים.</w:t>
      </w:r>
    </w:p>
    <w:bookmarkEnd w:id="95"/>
    <w:p w:rsidR="000836F8" w:rsidRPr="000836F8" w:rsidRDefault="000836F8" w:rsidP="000836F8">
      <w:pPr>
        <w:bidi/>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0836F8" w:rsidRDefault="000836F8" w:rsidP="000836F8">
      <w:pPr>
        <w:pStyle w:val="12"/>
        <w:rPr>
          <w:rtl/>
        </w:rPr>
      </w:pPr>
      <w:bookmarkStart w:id="100" w:name="_Toc43963078"/>
      <w:r w:rsidRPr="000836F8">
        <w:rPr>
          <w:rFonts w:hint="cs"/>
          <w:rtl/>
        </w:rPr>
        <w:t>תורת רבינו</w:t>
      </w:r>
      <w:bookmarkEnd w:id="100"/>
    </w:p>
    <w:p w:rsidR="009011A6" w:rsidRDefault="009011A6" w:rsidP="009011A6">
      <w:pPr>
        <w:pStyle w:val="a0"/>
        <w:bidi w:val="0"/>
        <w:rPr>
          <w:rtl/>
        </w:rPr>
      </w:pPr>
      <w:bookmarkStart w:id="101" w:name="_Toc43963079"/>
      <w:r>
        <w:rPr>
          <w:rFonts w:hint="cs"/>
          <w:rtl/>
        </w:rPr>
        <w:t>"</w:t>
      </w:r>
      <w:r w:rsidRPr="00521DEE">
        <w:rPr>
          <w:rFonts w:hint="cs"/>
          <w:rtl/>
        </w:rPr>
        <w:t>לבוד</w:t>
      </w:r>
      <w:r>
        <w:rPr>
          <w:rFonts w:hint="cs"/>
          <w:rtl/>
        </w:rPr>
        <w:t>"</w:t>
      </w:r>
      <w:r w:rsidRPr="00521DEE">
        <w:rPr>
          <w:rFonts w:hint="cs"/>
          <w:rtl/>
        </w:rPr>
        <w:t xml:space="preserve"> בזמן</w:t>
      </w:r>
      <w:bookmarkEnd w:id="101"/>
    </w:p>
    <w:p w:rsidR="009011A6" w:rsidRDefault="009011A6" w:rsidP="00F146A6">
      <w:pPr>
        <w:pStyle w:val="a"/>
        <w:rPr>
          <w:rtl/>
        </w:rPr>
      </w:pPr>
      <w:bookmarkStart w:id="102" w:name="_Toc43963080"/>
      <w:r>
        <w:rPr>
          <w:rFonts w:hint="cs"/>
          <w:rtl/>
        </w:rPr>
        <w:t>הרב חנני' יוסף אייזנבך</w:t>
      </w:r>
      <w:bookmarkEnd w:id="102"/>
    </w:p>
    <w:p w:rsidR="009011A6" w:rsidRDefault="009011A6" w:rsidP="009011A6">
      <w:pPr>
        <w:pStyle w:val="a1"/>
        <w:rPr>
          <w:rtl/>
        </w:rPr>
      </w:pPr>
      <w:r>
        <w:rPr>
          <w:rFonts w:hint="cs"/>
          <w:rtl/>
        </w:rPr>
        <w:t>בעמ"ח ספרי "מחנה יוסף"</w:t>
      </w:r>
    </w:p>
    <w:p w:rsidR="009011A6" w:rsidRPr="00900523" w:rsidRDefault="009011A6" w:rsidP="00F146A6">
      <w:pPr>
        <w:pStyle w:val="11"/>
        <w:rPr>
          <w:rtl/>
        </w:rPr>
      </w:pPr>
      <w:r w:rsidRPr="00900523">
        <w:rPr>
          <w:rFonts w:hint="cs"/>
          <w:rtl/>
        </w:rPr>
        <w:t>-על יסוד דברי רבינו-</w:t>
      </w:r>
    </w:p>
    <w:p w:rsidR="009011A6" w:rsidRDefault="009011A6" w:rsidP="00F146A6">
      <w:pPr>
        <w:pStyle w:val="11"/>
        <w:rPr>
          <w:rtl/>
        </w:rPr>
      </w:pPr>
      <w:r>
        <w:rPr>
          <w:rFonts w:hint="cs"/>
          <w:rtl/>
        </w:rPr>
        <w:t>א</w:t>
      </w:r>
    </w:p>
    <w:p w:rsidR="009011A6" w:rsidRPr="005228D7" w:rsidRDefault="009011A6" w:rsidP="00F146A6">
      <w:pPr>
        <w:pStyle w:val="a3"/>
        <w:rPr>
          <w:rtl/>
        </w:rPr>
      </w:pPr>
      <w:r w:rsidRPr="005228D7">
        <w:rPr>
          <w:rFonts w:hint="cs"/>
          <w:rtl/>
        </w:rPr>
        <w:t>בבא קמא פ"ב ע"א: "עשרה תקנות תיקן עזרא, שקןרין במנחה בשבת וקורין בשני ובחמישי כו'", ובהמשך דברי הגמרא: "ושיהו קוראין בשני ובחמישי עזרא תיקן? והא מעיקרא הוה מיתקנא, דתניא: וילכו שלשת ימים במדבר ולא מצאו מים, דורשי רשומות אמרו אין מים אלא תורה שנאמר: הוי כל צמא לכו למים, כיון שהלכו שלשת ימים בלא תורה נלאו, עמדו נביאים שביניהם ותיקנו להם שיהו קורין בשבת ומפסיקין באחד בשבת וקורין בשני ומפסיקין שלישי ורביעי וקורין בחמישי ומפסיקין ערב שבת, כדי שלא ג' ימים בלא תורה? מעיקרא תקנו חד גברא תלתא פסוקי אי נמי תלתא גברי תלתא פסוקי כנגד כהנים לוים וישראלים, אתא הוא תיקן תלתא גברי ועשרה פסוקי כנגד עשרה בטלנין".</w:t>
      </w:r>
    </w:p>
    <w:p w:rsidR="009011A6" w:rsidRPr="005228D7" w:rsidRDefault="009011A6" w:rsidP="00F146A6">
      <w:pPr>
        <w:pStyle w:val="a3"/>
        <w:rPr>
          <w:rtl/>
        </w:rPr>
      </w:pPr>
      <w:r w:rsidRPr="005228D7">
        <w:rPr>
          <w:rFonts w:hint="cs"/>
          <w:rtl/>
        </w:rPr>
        <w:t xml:space="preserve">ודברי הגמ' לכאורה צ"ע: תירצו שעזרא תיקן "תלתא גברי ועשרה פסוקי", אבל קושיית הגמ' על הברייתא </w:t>
      </w:r>
      <w:r>
        <w:rPr>
          <w:rFonts w:hint="cs"/>
          <w:rtl/>
        </w:rPr>
        <w:t xml:space="preserve">איך אמרו </w:t>
      </w:r>
      <w:r w:rsidRPr="005228D7">
        <w:rPr>
          <w:rFonts w:hint="cs"/>
          <w:rtl/>
        </w:rPr>
        <w:t>שעזרא תיקן בשני ובחמישי</w:t>
      </w:r>
      <w:r>
        <w:rPr>
          <w:rFonts w:hint="cs"/>
          <w:rtl/>
        </w:rPr>
        <w:t xml:space="preserve"> והלא משה תיקן</w:t>
      </w:r>
      <w:r w:rsidRPr="005228D7">
        <w:rPr>
          <w:rFonts w:hint="cs"/>
          <w:rtl/>
        </w:rPr>
        <w:t xml:space="preserve">, הרי לא מתורצת. </w:t>
      </w:r>
    </w:p>
    <w:p w:rsidR="009011A6" w:rsidRPr="005228D7" w:rsidRDefault="009011A6" w:rsidP="00F146A6">
      <w:pPr>
        <w:pStyle w:val="a3"/>
        <w:rPr>
          <w:rtl/>
        </w:rPr>
      </w:pPr>
      <w:r w:rsidRPr="005228D7">
        <w:rPr>
          <w:rFonts w:hint="cs"/>
          <w:rtl/>
        </w:rPr>
        <w:t xml:space="preserve">ובירושלמי פ"ד דמגילה: "עזרא התקין לישראל שיהו קורין בתורה בשני ובחמישי </w:t>
      </w:r>
      <w:r w:rsidRPr="005228D7">
        <w:rPr>
          <w:rFonts w:hint="cs"/>
          <w:rtl/>
        </w:rPr>
        <w:lastRenderedPageBreak/>
        <w:t>ובשבת במנחה", והביאו הרי"ף במגילה פ"ד. וכך הוא גם בירושלמי שם פ"א, וכתבו מפרשי הירושלמי ה"קרבן העדה" וה"פני משה", וכן מהר"ץ חיות בב"ק שם, שיש כאן מחלוקת בין הבבלי והירושלמי, ולהירושלמי כל תקנת קריאת התורה בשני ובחמישי היא משל עזרא, ואילו הבבלי סובר שעיקר ויסוד תקנת שני וחמישי "מעיקרא הוה מיתקנא" היינו ע"י משה רבינו.</w:t>
      </w:r>
    </w:p>
    <w:p w:rsidR="009011A6" w:rsidRPr="005228D7" w:rsidRDefault="009011A6" w:rsidP="00F146A6">
      <w:pPr>
        <w:pStyle w:val="a3"/>
        <w:rPr>
          <w:rtl/>
        </w:rPr>
      </w:pPr>
      <w:r w:rsidRPr="005228D7">
        <w:rPr>
          <w:rFonts w:hint="cs"/>
          <w:rtl/>
        </w:rPr>
        <w:t>ודבריהם צע"ג, שהרי הרי"ף בפ"ד דמגילה הביא את לשון הירושלמי שעזרא תיקן לישראל שיהו קורין בשני ובחמישי ובשבת במנחה, ואף על פי כן במס' בבא קמא, הביא בהלכותיו את כל לשון הבבלי שם, ובע"כ שהבין ז"ל שבאמת אין מחלוקת ביניהם, וצ"ע.</w:t>
      </w:r>
    </w:p>
    <w:p w:rsidR="009011A6" w:rsidRDefault="009011A6" w:rsidP="00F146A6">
      <w:pPr>
        <w:pStyle w:val="11"/>
        <w:bidi/>
        <w:rPr>
          <w:rtl/>
        </w:rPr>
      </w:pPr>
      <w:r>
        <w:rPr>
          <w:rFonts w:hint="cs"/>
          <w:rtl/>
        </w:rPr>
        <w:t>ב</w:t>
      </w:r>
    </w:p>
    <w:p w:rsidR="009011A6" w:rsidRPr="005228D7" w:rsidRDefault="009011A6" w:rsidP="00F146A6">
      <w:pPr>
        <w:pStyle w:val="a3"/>
        <w:rPr>
          <w:rtl/>
        </w:rPr>
      </w:pPr>
      <w:r w:rsidRPr="005228D7">
        <w:rPr>
          <w:rFonts w:hint="cs"/>
          <w:rtl/>
        </w:rPr>
        <w:t>ובברכות י"ג ע"א בתוד"ה בלשון הקודש (וי"א שצ"ל בכל לשון): פירש רש"י פרק שני דמגילה (וי"ג: בסוטה ל"ג ע"א): לקרות בתורה, ולא נהירא דהא עזרא תיקן קריאת התורה, ומקמי דאתא עזרא "והיו" למה לי, וי"ל דמיירי בפרשיות המחוייבין לקרות דאורייתא כגון פרשת זכור וכו'". ובגליון הש"ס ציין: "עיין מגן אברהם ריש סימן קל"ה". וז"ל המג"א שם: "איתא ברי"ף פ"ד דמגילה: ירושלמי, משה תיקן לישראל שיהיו קורין בתורה בשבתות ובימים טובים ובחולו של מועד וכו' עזרא תיקן להם לישראל שיהיו קורין שלשה בשני וחמישי [ובשבת] במנחה עכ"ל, וצריך עיון דאיתא במרובה שהלכו ישראל שלשה ימים בלא תורה בימי משה עמדו הנביאים שביניהם ותיקנו שיהיו קורין בשני ובחמישי ובשבת ועזרא תיקן במנחה, והתוספות ריש פ"ב דברכות (יג,א ד"ה בלשון) כתבו גם כן שעזרא תיקן קריאת התורה, והקשה הב"ח עליהם בסימן תרפ"ה מההיא דמרובה וכו', [ז"ל הב"ח שם: "ומה שתופסין התוס' בפשיטות דקריאת התורה אינה מן התורה אלא מדרבנן ועזרא הוא דתיקן, איכא לתמוה נמי דבפרק מרובה אמרו משה רבינו ע"ה תיקן במדבר שיהו קורין בתורה אלא שבא עזרא ותיקן תלתא וכו'"] ואפשר לומר דהתוספות לא נחתו לדקדק בזה כו'". וכל זה כמובן עדיין צ"ע.</w:t>
      </w:r>
    </w:p>
    <w:p w:rsidR="009011A6" w:rsidRPr="005228D7" w:rsidRDefault="009011A6" w:rsidP="00F146A6">
      <w:pPr>
        <w:pStyle w:val="a3"/>
        <w:rPr>
          <w:rtl/>
        </w:rPr>
      </w:pPr>
      <w:r w:rsidRPr="005228D7">
        <w:rPr>
          <w:rFonts w:hint="cs"/>
          <w:rtl/>
        </w:rPr>
        <w:t>גם במסכת סופרים פ"י ה"ב אמרו: "עזרא תיקן להם לישראל שיהו קורין בתורה בשני  ובחמישי ובשבת במנחה".</w:t>
      </w:r>
    </w:p>
    <w:p w:rsidR="009011A6" w:rsidRPr="005228D7" w:rsidRDefault="009011A6" w:rsidP="00F146A6">
      <w:pPr>
        <w:pStyle w:val="11"/>
        <w:bidi/>
        <w:rPr>
          <w:rtl/>
        </w:rPr>
      </w:pPr>
      <w:r>
        <w:rPr>
          <w:rFonts w:hint="cs"/>
          <w:rtl/>
        </w:rPr>
        <w:t>ג</w:t>
      </w:r>
    </w:p>
    <w:p w:rsidR="009011A6" w:rsidRPr="005228D7" w:rsidRDefault="009011A6" w:rsidP="00F146A6">
      <w:pPr>
        <w:pStyle w:val="a3"/>
        <w:rPr>
          <w:rtl/>
        </w:rPr>
      </w:pPr>
      <w:r w:rsidRPr="005228D7">
        <w:rPr>
          <w:rFonts w:hint="cs"/>
          <w:rtl/>
        </w:rPr>
        <w:t>והנה במה שתיקן משה "שלא ילינו שלשת ימים בלא תורה" לכאורה, למה לא תיקן שבכל יום ילמדו תורה, ומה זה "שלשת ימים"? והמהרש"א כתב וז"ל: "ועל כן דרשו שהלכו שלשת ימים בלא תורה</w:t>
      </w:r>
      <w:r w:rsidRPr="00656F1A">
        <w:rPr>
          <w:rFonts w:hint="cs"/>
          <w:b/>
          <w:bCs/>
          <w:rtl/>
        </w:rPr>
        <w:t>, ונתחזק</w:t>
      </w:r>
      <w:r w:rsidRPr="005228D7">
        <w:rPr>
          <w:rFonts w:hint="cs"/>
          <w:rtl/>
        </w:rPr>
        <w:t xml:space="preserve"> להם ביטול התורה, והיו מלאין לשתות מי התורה כי היו מרים להם, כנאמר: אם תעזבני יום וכו', עד שהורה להם ה' עץ וגו' שהתורה היא עץ חיים </w:t>
      </w:r>
      <w:r w:rsidRPr="005228D7">
        <w:rPr>
          <w:rFonts w:hint="cs"/>
          <w:u w:val="single"/>
          <w:rtl/>
        </w:rPr>
        <w:t xml:space="preserve">למחזיקים </w:t>
      </w:r>
      <w:r w:rsidRPr="005228D7">
        <w:rPr>
          <w:rFonts w:hint="cs"/>
          <w:rtl/>
        </w:rPr>
        <w:t xml:space="preserve">בה והחזקה הוא בכל בג' פעמים, ועל כן בהיפך זה </w:t>
      </w:r>
      <w:r w:rsidRPr="005228D7">
        <w:rPr>
          <w:rFonts w:hint="cs"/>
          <w:rtl/>
        </w:rPr>
        <w:lastRenderedPageBreak/>
        <w:t>קאמר שלא יתחזק להן חזקת לינה ג' ימים בלא תורה ובזה ימתקו להן מי התורה כו'" עי"ש,</w:t>
      </w:r>
    </w:p>
    <w:p w:rsidR="009011A6" w:rsidRPr="005228D7" w:rsidRDefault="009011A6" w:rsidP="00F146A6">
      <w:pPr>
        <w:pStyle w:val="a3"/>
        <w:rPr>
          <w:rtl/>
        </w:rPr>
      </w:pPr>
      <w:r w:rsidRPr="005228D7">
        <w:rPr>
          <w:rFonts w:hint="cs"/>
          <w:rtl/>
        </w:rPr>
        <w:t xml:space="preserve">וכיו"ב כתב ב"תורת חיים" לבבא קמא שם: "שלא ילינו שלשה ימים בלא תורה, לפי שיצרו של אדם מתחדש ומתגבר עליו בכל יום ומבקש להמיתו, כדאיתא בפ"ק דקידושין (ל' ע"ב) התורה תבלין ליצר הרע כדאיתא התם, לכך כל זמן שלא נתגבר עליו היצר הרע אלא יום או יומיים עדיין כח ביד האדם לבטלו כשעוסק בתורה, אבל כשנתגבר עליו שלשה ימים זה אחר זה, הרי הוא כחוט המשולש אשר לא במהרה ינתק, דכיון דדש דש </w:t>
      </w:r>
      <w:r w:rsidRPr="00656F1A">
        <w:rPr>
          <w:rFonts w:hint="cs"/>
          <w:b/>
          <w:bCs/>
          <w:rtl/>
        </w:rPr>
        <w:t xml:space="preserve">ותלת זימנין הוי חזקה, </w:t>
      </w:r>
      <w:r w:rsidRPr="005228D7">
        <w:rPr>
          <w:rFonts w:hint="cs"/>
          <w:rtl/>
        </w:rPr>
        <w:t>דלהכי כתיב (ישעיה ה, יח) הוי מושכי העון בחבלי השוא בחבל שיש בו שלשה גדילין שזורין ואחוזין יחד זה בזה, לכך תיקנו שלא ילינו שלשת ימים רצופין בלא תורה כו', עי"ש מש"כ עוד.</w:t>
      </w:r>
    </w:p>
    <w:p w:rsidR="009011A6" w:rsidRPr="005228D7" w:rsidRDefault="009011A6" w:rsidP="00F146A6">
      <w:pPr>
        <w:pStyle w:val="a3"/>
        <w:rPr>
          <w:rtl/>
        </w:rPr>
      </w:pPr>
      <w:r w:rsidRPr="005228D7">
        <w:rPr>
          <w:rFonts w:hint="cs"/>
          <w:rtl/>
        </w:rPr>
        <w:t xml:space="preserve">וממוצא דברים משמע, שהתקנה היתה </w:t>
      </w:r>
      <w:r w:rsidRPr="00656F1A">
        <w:rPr>
          <w:rFonts w:hint="cs"/>
          <w:b/>
          <w:bCs/>
          <w:rtl/>
        </w:rPr>
        <w:t>באופן שלילי,</w:t>
      </w:r>
      <w:r w:rsidRPr="005228D7">
        <w:rPr>
          <w:rFonts w:hint="cs"/>
          <w:rtl/>
        </w:rPr>
        <w:t xml:space="preserve"> שלא יהיה "חזקה" בימים שיהיו בלא תורה. אבל לא שהיתה תקנה חיובית לקרוא התורה בשני ובחמישי. ובזה ידוייק מאד לשון הגמרא "ותיקנו להם שיהו קורין בשבת ומפסיקין באחד בשבת וקורין בשני ומפסיקין שלישי ורביעי וקורין בחמישי ומפסיקין ערב שבת", ולכאורה לשם מה הוצרכו לכתוב "ומפסיקין באחד בשני כו' ומפסיקין שלישי ורביעי כו'", כלום אם היו אומרים שתיקנו קריאת תורה בשני ובחמישי לא היינו יודעים שמפסיקין בימים האחרים? והרי זו לכאורה שפת יתר. אולם להנ"ל פשוט שרצו לומר, שלא היתה התקנה </w:t>
      </w:r>
      <w:r w:rsidRPr="00656F1A">
        <w:rPr>
          <w:rFonts w:hint="cs"/>
          <w:b/>
          <w:bCs/>
          <w:rtl/>
        </w:rPr>
        <w:t>בשני ובחמישי מצד עצמם,</w:t>
      </w:r>
      <w:r w:rsidRPr="005228D7">
        <w:rPr>
          <w:rFonts w:hint="cs"/>
          <w:u w:val="single"/>
          <w:rtl/>
        </w:rPr>
        <w:t xml:space="preserve"> </w:t>
      </w:r>
      <w:r w:rsidRPr="005228D7">
        <w:rPr>
          <w:rFonts w:hint="cs"/>
          <w:rtl/>
        </w:rPr>
        <w:t>שהרי עיקר המכוון בתקנה היה שלא יעברו ג' ימים בלא תורה, ומאי נפקא מינה, באיזה אופן הוא, והרי אפשר לקרוא ביום ראשון וביום רביעי, וגם אז לא יעברו ג' ימים בלא תורה, ולכן באו לומר שאין הכי נמי, שהוא רק דוגמא, שקורין בשבת ומפסיקים בראשון וקורין בשני ומפסיקין, והעיקר שלא יהיו ג' ימים בלא תורה.</w:t>
      </w:r>
    </w:p>
    <w:p w:rsidR="009011A6" w:rsidRPr="005228D7" w:rsidRDefault="009011A6" w:rsidP="00F146A6">
      <w:pPr>
        <w:pStyle w:val="11"/>
        <w:bidi/>
        <w:rPr>
          <w:rtl/>
        </w:rPr>
      </w:pPr>
      <w:r>
        <w:rPr>
          <w:rFonts w:hint="cs"/>
          <w:rtl/>
        </w:rPr>
        <w:t>ד</w:t>
      </w:r>
    </w:p>
    <w:p w:rsidR="009011A6" w:rsidRPr="005228D7" w:rsidRDefault="009011A6" w:rsidP="00F146A6">
      <w:pPr>
        <w:pStyle w:val="a3"/>
        <w:rPr>
          <w:rtl/>
        </w:rPr>
      </w:pPr>
      <w:r w:rsidRPr="005228D7">
        <w:rPr>
          <w:rFonts w:hint="cs"/>
          <w:rtl/>
        </w:rPr>
        <w:t>ומעתה הרי י"ל שזהו שחידש עזרא בתקנתו. לא עוד תקנה שלי</w:t>
      </w:r>
      <w:r>
        <w:rPr>
          <w:rFonts w:hint="cs"/>
          <w:rtl/>
        </w:rPr>
        <w:t>ל</w:t>
      </w:r>
      <w:r w:rsidRPr="005228D7">
        <w:rPr>
          <w:rFonts w:hint="cs"/>
          <w:rtl/>
        </w:rPr>
        <w:t xml:space="preserve">ית, כשכל הכוונה היא </w:t>
      </w:r>
      <w:r w:rsidRPr="00071BD8">
        <w:rPr>
          <w:rFonts w:hint="cs"/>
          <w:u w:val="single"/>
          <w:rtl/>
        </w:rPr>
        <w:t>באי ביטול</w:t>
      </w:r>
      <w:r w:rsidRPr="005228D7">
        <w:rPr>
          <w:rFonts w:hint="cs"/>
          <w:rtl/>
        </w:rPr>
        <w:t xml:space="preserve"> ג' ימים, אלא תיקן תקנה </w:t>
      </w:r>
      <w:r w:rsidRPr="005228D7">
        <w:rPr>
          <w:rFonts w:hint="cs"/>
          <w:u w:val="single"/>
          <w:rtl/>
        </w:rPr>
        <w:t>חיובית,</w:t>
      </w:r>
      <w:r w:rsidRPr="005228D7">
        <w:rPr>
          <w:rFonts w:hint="cs"/>
          <w:rtl/>
        </w:rPr>
        <w:t xml:space="preserve"> שיש דין קריאת התורה בשבת במנחה ובשני ובחמישי (ובודאי דבר שממילא הוא שכוונת תקנת משה נמי תתקיים). </w:t>
      </w:r>
    </w:p>
    <w:p w:rsidR="009011A6" w:rsidRPr="005228D7" w:rsidRDefault="009011A6" w:rsidP="00F146A6">
      <w:pPr>
        <w:pStyle w:val="a3"/>
        <w:rPr>
          <w:rtl/>
        </w:rPr>
      </w:pPr>
      <w:r w:rsidRPr="005228D7">
        <w:rPr>
          <w:rFonts w:hint="cs"/>
          <w:rtl/>
        </w:rPr>
        <w:t>והנה הנפק"מ שיש בין תקנה חיובית לתקנת מניעת השלילה, הוא</w:t>
      </w:r>
      <w:r>
        <w:rPr>
          <w:rFonts w:hint="cs"/>
          <w:rtl/>
        </w:rPr>
        <w:t>,</w:t>
      </w:r>
      <w:r w:rsidRPr="005228D7">
        <w:rPr>
          <w:rFonts w:hint="cs"/>
          <w:rtl/>
        </w:rPr>
        <w:t xml:space="preserve"> שמצד "שלא יעברו שלשה ימים בלא תורה", </w:t>
      </w:r>
      <w:r>
        <w:rPr>
          <w:rFonts w:hint="cs"/>
          <w:rtl/>
        </w:rPr>
        <w:t xml:space="preserve">שאינה תקנה חיובית , לכאורה </w:t>
      </w:r>
      <w:r w:rsidRPr="005228D7">
        <w:rPr>
          <w:rFonts w:hint="cs"/>
          <w:rtl/>
        </w:rPr>
        <w:t xml:space="preserve">לא שייך לומר בזה גדרים ודינים, שהרי בכל ענין </w:t>
      </w:r>
      <w:r>
        <w:rPr>
          <w:rFonts w:hint="cs"/>
          <w:rtl/>
        </w:rPr>
        <w:t>א</w:t>
      </w:r>
      <w:r w:rsidRPr="005228D7">
        <w:rPr>
          <w:rFonts w:hint="cs"/>
          <w:rtl/>
        </w:rPr>
        <w:t>ם יקראו "חד גברא או תלתא גברא" "שלשה פסוקי או עשרה פסוקי" חד הוא. ש</w:t>
      </w:r>
      <w:r>
        <w:rPr>
          <w:rFonts w:hint="cs"/>
          <w:rtl/>
        </w:rPr>
        <w:t xml:space="preserve">הרי </w:t>
      </w:r>
      <w:r w:rsidRPr="005228D7">
        <w:rPr>
          <w:rFonts w:hint="cs"/>
          <w:rtl/>
        </w:rPr>
        <w:t xml:space="preserve">העיקר שלא יעברו ג' ימים בלא תורה. </w:t>
      </w:r>
      <w:r>
        <w:rPr>
          <w:rFonts w:hint="cs"/>
          <w:rtl/>
        </w:rPr>
        <w:t xml:space="preserve">ואיך שלא יקראו ובאיזה אופן שיקראו תתקיים התקנה. </w:t>
      </w:r>
      <w:r w:rsidRPr="005228D7">
        <w:rPr>
          <w:rFonts w:hint="cs"/>
          <w:rtl/>
        </w:rPr>
        <w:t xml:space="preserve">אבל מצד התקנה החיובית ששני וחמישי הם </w:t>
      </w:r>
      <w:r w:rsidRPr="00403026">
        <w:rPr>
          <w:rFonts w:hint="cs"/>
          <w:b/>
          <w:bCs/>
          <w:rtl/>
        </w:rPr>
        <w:t>ימי הקריאה בעצם</w:t>
      </w:r>
      <w:r w:rsidRPr="005228D7">
        <w:rPr>
          <w:rFonts w:hint="cs"/>
          <w:rtl/>
        </w:rPr>
        <w:t xml:space="preserve">, שפיר שייך לומר בזה גדרים: </w:t>
      </w:r>
      <w:r>
        <w:rPr>
          <w:rFonts w:hint="cs"/>
          <w:rtl/>
        </w:rPr>
        <w:t>"</w:t>
      </w:r>
      <w:r w:rsidRPr="005228D7">
        <w:rPr>
          <w:rFonts w:hint="cs"/>
          <w:rtl/>
        </w:rPr>
        <w:t>שלשה גברי ועשרה פסוקי".</w:t>
      </w:r>
    </w:p>
    <w:p w:rsidR="009011A6" w:rsidRPr="005228D7" w:rsidRDefault="009011A6" w:rsidP="00F146A6">
      <w:pPr>
        <w:pStyle w:val="a3"/>
        <w:rPr>
          <w:rtl/>
        </w:rPr>
      </w:pPr>
      <w:r w:rsidRPr="005228D7">
        <w:rPr>
          <w:rFonts w:hint="cs"/>
          <w:rtl/>
        </w:rPr>
        <w:t xml:space="preserve">ולפי זה, זה שאמרו בגמרא בתירוץ מעיקרא תקנו חד גברא תלתא פסוקי אי נמי </w:t>
      </w:r>
      <w:r w:rsidRPr="005228D7">
        <w:rPr>
          <w:rFonts w:hint="cs"/>
          <w:rtl/>
        </w:rPr>
        <w:lastRenderedPageBreak/>
        <w:t xml:space="preserve">תלתא גברי תלתא פסוקי כו' אתא הוא תיקן תלתא גברי ועשרה פסוקי", אין הפירוש שעזרא </w:t>
      </w:r>
      <w:r w:rsidRPr="00403026">
        <w:rPr>
          <w:rFonts w:hint="cs"/>
          <w:b/>
          <w:bCs/>
          <w:rtl/>
        </w:rPr>
        <w:t>הוסיף עוד פרטים</w:t>
      </w:r>
      <w:r w:rsidRPr="005228D7">
        <w:rPr>
          <w:rFonts w:hint="cs"/>
          <w:rtl/>
        </w:rPr>
        <w:t xml:space="preserve"> בתקנת משה, כי אז העיקר בתירוצם חסר מן הספר, איך אפשר לומר שעזרא תיקן והלא משה תיקן, אלא </w:t>
      </w:r>
      <w:r>
        <w:rPr>
          <w:rFonts w:hint="cs"/>
          <w:rtl/>
        </w:rPr>
        <w:t xml:space="preserve">פירוש דברי הגמרא הוא, </w:t>
      </w:r>
      <w:r w:rsidRPr="005228D7">
        <w:rPr>
          <w:rFonts w:hint="cs"/>
          <w:rtl/>
        </w:rPr>
        <w:t>שפרטים אלו מוכיחים לנו שהתקנה היא חיובית, דין בשני ובחמישי עצמם, ולכן שייך לומר בזה דינים וגדרים וכנ"ל.</w:t>
      </w:r>
    </w:p>
    <w:p w:rsidR="009011A6" w:rsidRPr="005228D7" w:rsidRDefault="009011A6" w:rsidP="00F146A6">
      <w:pPr>
        <w:pStyle w:val="a3"/>
        <w:rPr>
          <w:rtl/>
        </w:rPr>
      </w:pPr>
      <w:r w:rsidRPr="005228D7">
        <w:rPr>
          <w:rFonts w:hint="cs"/>
          <w:rtl/>
        </w:rPr>
        <w:t>ומעתה אין צריך לומר כלל שנחלקו הירושלמי והבבלי בזה, אלא שלכולי עלמא תחילת התקנה היתה של משה רבינו, אבל לא היתה זו תקנה חיובית בעצם הימים שני וחמישי, וזה נתחדש על ידי עזרא. אלא שלמעשה הרי נוגע לנו תקנתו המחודשת של עזרא, שהיא דדין קריאה בשני ובחמישי, ולכך בירושלמי וכן הרי"ף במגילה, הביאו את תקנת עזרא בעיקר.</w:t>
      </w:r>
    </w:p>
    <w:p w:rsidR="009011A6" w:rsidRPr="005228D7" w:rsidRDefault="009011A6" w:rsidP="00F146A6">
      <w:pPr>
        <w:pStyle w:val="11"/>
        <w:bidi/>
        <w:rPr>
          <w:rtl/>
        </w:rPr>
      </w:pPr>
      <w:r>
        <w:rPr>
          <w:rFonts w:hint="cs"/>
          <w:rtl/>
        </w:rPr>
        <w:t>ה</w:t>
      </w:r>
    </w:p>
    <w:p w:rsidR="009011A6" w:rsidRPr="005228D7" w:rsidRDefault="009011A6" w:rsidP="00F146A6">
      <w:pPr>
        <w:pStyle w:val="a3"/>
        <w:rPr>
          <w:rtl/>
        </w:rPr>
      </w:pPr>
      <w:r w:rsidRPr="005228D7">
        <w:rPr>
          <w:rFonts w:hint="cs"/>
          <w:rtl/>
        </w:rPr>
        <w:t xml:space="preserve">ועם דברינו יובן עוד: (א) לשון הירושלמי וכן </w:t>
      </w:r>
      <w:r>
        <w:rPr>
          <w:rFonts w:hint="cs"/>
          <w:rtl/>
        </w:rPr>
        <w:t xml:space="preserve">הוא </w:t>
      </w:r>
      <w:r w:rsidRPr="005228D7">
        <w:rPr>
          <w:rFonts w:hint="cs"/>
          <w:rtl/>
        </w:rPr>
        <w:t>במסכת סופרים</w:t>
      </w:r>
      <w:r>
        <w:rPr>
          <w:rFonts w:hint="cs"/>
          <w:rtl/>
        </w:rPr>
        <w:t>,</w:t>
      </w:r>
      <w:r w:rsidRPr="005228D7">
        <w:rPr>
          <w:rFonts w:hint="cs"/>
          <w:rtl/>
        </w:rPr>
        <w:t xml:space="preserve"> שהקדי</w:t>
      </w:r>
      <w:r>
        <w:rPr>
          <w:rFonts w:hint="cs"/>
          <w:rtl/>
        </w:rPr>
        <w:t>מו את קריאת</w:t>
      </w:r>
      <w:r w:rsidRPr="005228D7">
        <w:rPr>
          <w:rFonts w:hint="cs"/>
          <w:rtl/>
        </w:rPr>
        <w:t xml:space="preserve"> שני וחמישי ל</w:t>
      </w:r>
      <w:r>
        <w:rPr>
          <w:rFonts w:hint="cs"/>
          <w:rtl/>
        </w:rPr>
        <w:t xml:space="preserve">קריאת </w:t>
      </w:r>
      <w:r w:rsidRPr="005228D7">
        <w:rPr>
          <w:rFonts w:hint="cs"/>
          <w:rtl/>
        </w:rPr>
        <w:t>מנחה בשבת, ואילו בעיקר התקנה מעיקרא הסדר הוא הפוך, קודם שבת במנחה ואחר כך שני וחמישי</w:t>
      </w:r>
      <w:r>
        <w:rPr>
          <w:rFonts w:hint="cs"/>
          <w:rtl/>
        </w:rPr>
        <w:t>.</w:t>
      </w:r>
      <w:r w:rsidRPr="005228D7">
        <w:rPr>
          <w:rFonts w:hint="cs"/>
          <w:rtl/>
        </w:rPr>
        <w:t xml:space="preserve"> ולמש"כ א"ש, שבתחילת התקנה היה העיקר שלא יעברו ג' ימים בלא תורה, ולכך ציירו הדוגמא שקורין בשבת ואח"כ מפסיקין בראשון וקורין בשני ומפסיקין כו', אבל בתקנת עזרא שנתהווה דין "קריאה" בשני וחמישי ובשבת במנחה, ועיקר דין הקריאה הוא הרי בשני וחמישי, שבשבת בלאו הכי יש דין קריאה בשחרית. (ב) לשון הרמב"ם ריש פי"ב מהל' תפילה: "משה רבינו תיקן להם לישראל שיהו קורין בתורה ברבים בשבת ובשני ובחמישי בשחרית כדי שלא ישהו שלשה ימים בלא שמיעת תורה, ועזרא תיקן שיהו קורין כן במנחה בכל שבת משום יושבי קרנות, </w:t>
      </w:r>
      <w:r w:rsidRPr="00403026">
        <w:rPr>
          <w:rFonts w:hint="cs"/>
          <w:b/>
          <w:bCs/>
          <w:rtl/>
        </w:rPr>
        <w:t>וגם הוא תיקן</w:t>
      </w:r>
      <w:r w:rsidRPr="005228D7">
        <w:rPr>
          <w:rFonts w:hint="cs"/>
          <w:rtl/>
        </w:rPr>
        <w:t xml:space="preserve"> שיהו קורין בשני ובחמישי שלשה בני אדם ולא יקראו פחות מעשרה פסוקים", ותמוה למה חילק את מנחה דשבת משני וחמישי, ולהנ"ל מובן שעיקרא תקנת הקריאה (היינו הדין החיובי) היתה על שני וחמישי דוקא. (ג) גם יובן שבראשית דבריו תפס הלשון "שלא ישהו שלשה ימיים בלא </w:t>
      </w:r>
      <w:r w:rsidRPr="00656F1A">
        <w:rPr>
          <w:rFonts w:hint="cs"/>
          <w:b/>
          <w:bCs/>
          <w:rtl/>
        </w:rPr>
        <w:t xml:space="preserve">שמיעת </w:t>
      </w:r>
      <w:r w:rsidRPr="005228D7">
        <w:rPr>
          <w:rFonts w:hint="cs"/>
          <w:rtl/>
        </w:rPr>
        <w:t>תורה", וראיתי מעירים למה לא נקט הלשון "</w:t>
      </w:r>
      <w:r w:rsidRPr="00656F1A">
        <w:rPr>
          <w:rFonts w:hint="cs"/>
          <w:b/>
          <w:bCs/>
          <w:rtl/>
        </w:rPr>
        <w:t xml:space="preserve">קריאת </w:t>
      </w:r>
      <w:r w:rsidRPr="005228D7">
        <w:rPr>
          <w:rFonts w:hint="cs"/>
          <w:rtl/>
        </w:rPr>
        <w:t>התורה", שהרי בה עוסק, ולהנ"ל ר"ל בזה שהתקנה הראשונה היתה רק שלא יעברו ג' ימים בלא תורה, היינו שמיעת תורה, ועדיין לא היה תקנת קריאה בשני ובחמישי, וכנ"ל.</w:t>
      </w:r>
    </w:p>
    <w:p w:rsidR="009011A6" w:rsidRPr="005228D7" w:rsidRDefault="009011A6" w:rsidP="00F146A6">
      <w:pPr>
        <w:pStyle w:val="11"/>
        <w:bidi/>
        <w:rPr>
          <w:rtl/>
        </w:rPr>
      </w:pPr>
      <w:r>
        <w:rPr>
          <w:rFonts w:hint="cs"/>
          <w:rtl/>
        </w:rPr>
        <w:t>ו</w:t>
      </w:r>
    </w:p>
    <w:p w:rsidR="009011A6" w:rsidRDefault="009011A6" w:rsidP="00F146A6">
      <w:pPr>
        <w:pStyle w:val="a3"/>
        <w:rPr>
          <w:rtl/>
        </w:rPr>
      </w:pPr>
      <w:r w:rsidRPr="005228D7">
        <w:rPr>
          <w:rFonts w:hint="cs"/>
          <w:rtl/>
        </w:rPr>
        <w:t xml:space="preserve">ולפי משנ"ת יובנו בטוב גם דברי התוס' בבבא קמא פ"ב ע"א, שכתבו בד"ה שלא ילינו שלשה ימים בלא תורה, וא"ת למה בשני וחמישי, ותירצו שהוא עת רצון עי"ש, והנה דבריהם ודאי באו על הברייתא שעזרא תיקן, שהרי אחר כך </w:t>
      </w:r>
      <w:r>
        <w:rPr>
          <w:rFonts w:hint="cs"/>
          <w:rtl/>
        </w:rPr>
        <w:t xml:space="preserve">בא </w:t>
      </w:r>
      <w:r w:rsidRPr="005228D7">
        <w:rPr>
          <w:rFonts w:hint="cs"/>
          <w:rtl/>
        </w:rPr>
        <w:t xml:space="preserve">הד"ה ודנין בשני וחמישי, ומ"מ הד"ה הוא מלשון הגמ' אח"כ "והא מעיקרא הוה מיתקנא, דתניא: וילכו שלשת ימים במדבר ולא מצאו מים כו' כיון שהלכו שלשת ימים בלא תורה נלאו", </w:t>
      </w:r>
      <w:r w:rsidRPr="005228D7">
        <w:rPr>
          <w:rFonts w:hint="cs"/>
          <w:rtl/>
        </w:rPr>
        <w:lastRenderedPageBreak/>
        <w:t xml:space="preserve">ונראה שרצו בזה, </w:t>
      </w:r>
      <w:r w:rsidRPr="00403026">
        <w:rPr>
          <w:rFonts w:hint="cs"/>
          <w:b/>
          <w:bCs/>
          <w:rtl/>
        </w:rPr>
        <w:t>שעיקר</w:t>
      </w:r>
      <w:r w:rsidRPr="005228D7">
        <w:rPr>
          <w:rFonts w:hint="cs"/>
          <w:rtl/>
        </w:rPr>
        <w:t xml:space="preserve"> שאלתם היא על הטעם שלא ילינו ג' ימים בלא תורה, שבגמ' אמרוהו על התקנה דמעיקרא. </w:t>
      </w:r>
      <w:r>
        <w:rPr>
          <w:rFonts w:hint="cs"/>
          <w:rtl/>
        </w:rPr>
        <w:t>שכן על זה</w:t>
      </w:r>
      <w:r w:rsidRPr="005228D7">
        <w:rPr>
          <w:rFonts w:hint="cs"/>
          <w:rtl/>
        </w:rPr>
        <w:t xml:space="preserve"> שתיקן עזרא דין קריאה בשני ובחמישי, לא קשה כל כך, </w:t>
      </w:r>
      <w:r>
        <w:rPr>
          <w:rFonts w:hint="cs"/>
          <w:rtl/>
        </w:rPr>
        <w:t>כמו</w:t>
      </w:r>
      <w:r w:rsidRPr="005228D7">
        <w:rPr>
          <w:rFonts w:hint="cs"/>
          <w:rtl/>
        </w:rPr>
        <w:t xml:space="preserve"> </w:t>
      </w:r>
      <w:r>
        <w:rPr>
          <w:rFonts w:hint="cs"/>
          <w:rtl/>
        </w:rPr>
        <w:t>ש</w:t>
      </w:r>
      <w:r w:rsidRPr="005228D7">
        <w:rPr>
          <w:rFonts w:hint="cs"/>
          <w:rtl/>
        </w:rPr>
        <w:t>לא שאלו כן על "ודנין בשני ובחמישי", ובודאי כל תקנה יש לה הסבר. אבל על התקנה דמעיקרא שבעצם לא היתה תקנת קריאה חיובית, אלא כל עיקרה שלא ילינו שלשת ימים בלא תורה, מתעוררת השאלה, מהיכי תיתי שני וחמישי דוקא, שהרי אם המכוון בתקנה שלא יעברו ג' ימים בלא תורה, מה איכפת לנו איזה ימים יקראו וילמדו תורה.</w:t>
      </w:r>
    </w:p>
    <w:p w:rsidR="009011A6" w:rsidRPr="005228D7" w:rsidRDefault="009011A6" w:rsidP="00F146A6">
      <w:pPr>
        <w:pStyle w:val="11"/>
        <w:bidi/>
        <w:rPr>
          <w:rtl/>
        </w:rPr>
      </w:pPr>
      <w:r>
        <w:rPr>
          <w:rFonts w:hint="cs"/>
          <w:rtl/>
        </w:rPr>
        <w:t>ז</w:t>
      </w:r>
    </w:p>
    <w:p w:rsidR="009011A6" w:rsidRPr="005228D7" w:rsidRDefault="009011A6" w:rsidP="00F146A6">
      <w:pPr>
        <w:pStyle w:val="a3"/>
        <w:rPr>
          <w:rtl/>
        </w:rPr>
      </w:pPr>
      <w:r w:rsidRPr="005228D7">
        <w:rPr>
          <w:rFonts w:hint="cs"/>
          <w:rtl/>
        </w:rPr>
        <w:t>ו</w:t>
      </w:r>
      <w:r>
        <w:rPr>
          <w:rFonts w:hint="cs"/>
          <w:rtl/>
        </w:rPr>
        <w:t xml:space="preserve">אולם </w:t>
      </w:r>
      <w:r w:rsidRPr="005228D7">
        <w:rPr>
          <w:rFonts w:hint="cs"/>
          <w:rtl/>
        </w:rPr>
        <w:t xml:space="preserve">חרי ככלות הכל, </w:t>
      </w:r>
      <w:r>
        <w:rPr>
          <w:rFonts w:hint="cs"/>
          <w:rtl/>
        </w:rPr>
        <w:t xml:space="preserve">עדיין </w:t>
      </w:r>
      <w:r w:rsidRPr="005228D7">
        <w:rPr>
          <w:rFonts w:hint="cs"/>
          <w:rtl/>
        </w:rPr>
        <w:t xml:space="preserve">צריך ביאור, הא ניחא תקנת משה "שלא ילינו ג' ימים בלא תורה", שהוא ענין של "חזקה", וכדהעלו המהרש"א וה"תורת חיים", היינו שה"חזקה" היא </w:t>
      </w:r>
      <w:r w:rsidRPr="00403026">
        <w:rPr>
          <w:rFonts w:hint="cs"/>
          <w:b/>
          <w:bCs/>
          <w:rtl/>
        </w:rPr>
        <w:t>באי ביטול</w:t>
      </w:r>
      <w:r w:rsidRPr="005228D7">
        <w:rPr>
          <w:rFonts w:hint="cs"/>
          <w:rtl/>
        </w:rPr>
        <w:t xml:space="preserve"> לימוד התורה. שח"ו לא יעשה חזקה באי לימוד התורה שלשה ימים רצופים לא ילמוד תורה. אבל עזרא הסופר שתיקן, כאמור, דין חיובי של קריאת התורה בשני ובחמישי, למה לא תיקן קריאת התורה בכל יום. </w:t>
      </w:r>
    </w:p>
    <w:p w:rsidR="009011A6" w:rsidRDefault="009011A6" w:rsidP="00F146A6">
      <w:pPr>
        <w:pStyle w:val="a3"/>
        <w:rPr>
          <w:rtl/>
        </w:rPr>
      </w:pPr>
      <w:r w:rsidRPr="005228D7">
        <w:rPr>
          <w:rFonts w:hint="cs"/>
          <w:rtl/>
        </w:rPr>
        <w:t xml:space="preserve">ובפשוטו י"ל שסוף סוף העמיד תקנתו על תקנת משה, ולא בא לשנות אלא להעצים ולחזק יותר תקנה זו. </w:t>
      </w:r>
    </w:p>
    <w:p w:rsidR="009011A6" w:rsidRPr="005228D7" w:rsidRDefault="009011A6" w:rsidP="00F146A6">
      <w:pPr>
        <w:pStyle w:val="a3"/>
        <w:rPr>
          <w:rtl/>
        </w:rPr>
      </w:pPr>
      <w:r w:rsidRPr="005228D7">
        <w:rPr>
          <w:rFonts w:hint="cs"/>
          <w:rtl/>
        </w:rPr>
        <w:t>ו</w:t>
      </w:r>
      <w:r>
        <w:rPr>
          <w:rFonts w:hint="cs"/>
          <w:rtl/>
        </w:rPr>
        <w:t>יותר נראה</w:t>
      </w:r>
      <w:r w:rsidRPr="005228D7">
        <w:rPr>
          <w:rFonts w:hint="cs"/>
          <w:rtl/>
        </w:rPr>
        <w:t xml:space="preserve"> לומר שגם </w:t>
      </w:r>
      <w:r>
        <w:rPr>
          <w:rFonts w:hint="cs"/>
          <w:rtl/>
        </w:rPr>
        <w:t xml:space="preserve">לגבי תקנת עזרא שהיא תקנה </w:t>
      </w:r>
      <w:r w:rsidRPr="005228D7">
        <w:rPr>
          <w:rFonts w:hint="cs"/>
          <w:rtl/>
        </w:rPr>
        <w:t xml:space="preserve">באופן חיובי, </w:t>
      </w:r>
      <w:r>
        <w:rPr>
          <w:rFonts w:hint="cs"/>
          <w:rtl/>
        </w:rPr>
        <w:t xml:space="preserve">הנה </w:t>
      </w:r>
      <w:r w:rsidRPr="005228D7">
        <w:rPr>
          <w:rFonts w:hint="cs"/>
          <w:rtl/>
        </w:rPr>
        <w:t xml:space="preserve">באמת אם לומד </w:t>
      </w:r>
      <w:r w:rsidRPr="000B32FE">
        <w:rPr>
          <w:rFonts w:hint="cs"/>
          <w:b/>
          <w:bCs/>
          <w:rtl/>
        </w:rPr>
        <w:t>תוך שלשה ימים</w:t>
      </w:r>
      <w:r w:rsidRPr="005228D7">
        <w:rPr>
          <w:rFonts w:hint="cs"/>
          <w:rtl/>
        </w:rPr>
        <w:t xml:space="preserve"> הוי כלומד בכל יום, </w:t>
      </w:r>
      <w:r>
        <w:rPr>
          <w:rFonts w:hint="cs"/>
          <w:rtl/>
        </w:rPr>
        <w:t xml:space="preserve">כי אנו רואים את כל שלשת הימים באילו הוא יום אחד, </w:t>
      </w:r>
      <w:r w:rsidRPr="005228D7">
        <w:rPr>
          <w:rFonts w:hint="cs"/>
          <w:rtl/>
        </w:rPr>
        <w:t>והוא מתורת "לבוד" בזמן.</w:t>
      </w:r>
    </w:p>
    <w:p w:rsidR="009011A6" w:rsidRPr="005228D7" w:rsidRDefault="009011A6" w:rsidP="00F146A6">
      <w:pPr>
        <w:pStyle w:val="11"/>
        <w:bidi/>
        <w:rPr>
          <w:rtl/>
        </w:rPr>
      </w:pPr>
      <w:r>
        <w:rPr>
          <w:rFonts w:hint="cs"/>
          <w:rtl/>
        </w:rPr>
        <w:t>ח</w:t>
      </w:r>
    </w:p>
    <w:p w:rsidR="009011A6" w:rsidRDefault="009011A6" w:rsidP="00F146A6">
      <w:pPr>
        <w:pStyle w:val="a3"/>
        <w:rPr>
          <w:rtl/>
        </w:rPr>
      </w:pPr>
      <w:r>
        <w:rPr>
          <w:rFonts w:hint="cs"/>
          <w:rtl/>
        </w:rPr>
        <w:t>ונראה שכאן יש לנו מקור נוסף לדין "לבוד" בזמן, שיסד רבינו (</w:t>
      </w:r>
      <w:r w:rsidRPr="005228D7">
        <w:rPr>
          <w:rFonts w:hint="cs"/>
          <w:u w:val="single"/>
          <w:rtl/>
        </w:rPr>
        <w:t>ומן הגמרא).</w:t>
      </w:r>
      <w:r>
        <w:rPr>
          <w:rFonts w:hint="cs"/>
          <w:rtl/>
        </w:rPr>
        <w:t xml:space="preserve"> עי' ב"תורת מנחם" שבת בראשית תשכ"א (התועדות ב'): "ובנוגע להזמן שבין שמחת תורה ל"רעוא דרעוין" דשבת </w:t>
      </w:r>
      <w:r>
        <w:rPr>
          <w:rtl/>
        </w:rPr>
        <w:t>–</w:t>
      </w:r>
      <w:r>
        <w:rPr>
          <w:rFonts w:hint="cs"/>
          <w:rtl/>
        </w:rPr>
        <w:t xml:space="preserve"> אין זה נחשב הפסק, כפי שמצינו בענין "לבוד", שכאשר ישנה מחיצה משני הצדדים, אף שבאמצע אין מחיצה כלל, אמרינן "לבוד", והאויר שבנתיים בטל וכו', וכשם שהדברים אמורים בנוגע למקום, כן הוא גם בנוגע לזמן, שהרי זמן ומקום קשורים זה בזה, כיון שנבראו ביחד".</w:t>
      </w:r>
    </w:p>
    <w:p w:rsidR="009011A6" w:rsidRPr="000B32FE" w:rsidRDefault="009011A6" w:rsidP="00F146A6">
      <w:pPr>
        <w:pStyle w:val="a3"/>
        <w:rPr>
          <w:b/>
          <w:bCs/>
          <w:rtl/>
        </w:rPr>
      </w:pPr>
      <w:r w:rsidRPr="00370EA4">
        <w:rPr>
          <w:rFonts w:hint="cs"/>
          <w:rtl/>
        </w:rPr>
        <w:t>ו</w:t>
      </w:r>
      <w:r>
        <w:rPr>
          <w:rFonts w:hint="cs"/>
          <w:rtl/>
        </w:rPr>
        <w:t xml:space="preserve">כן </w:t>
      </w:r>
      <w:r w:rsidRPr="00370EA4">
        <w:rPr>
          <w:rFonts w:hint="cs"/>
          <w:rtl/>
        </w:rPr>
        <w:t xml:space="preserve">ב"מאמר ד"ה קומי אורי תשל"ג שי"ל בקונטרס ח"י אלול תשמ"ט, כתב רבינו בשולי הגיליון להערה 1, וזה לשון קדשו: "בתוך השלושה ימים דבתר שבתא ראה פסחים ק"ו סע"א, שו"ע אדמו"ר הזקן או"ח סי' רצ"ט ס"ח, ועוד וראה גם פע"ח שער ח"י (שער השבת) פ"א, ספר המצוות להצ"צ ח, א. </w:t>
      </w:r>
      <w:r w:rsidRPr="000B32FE">
        <w:rPr>
          <w:rFonts w:hint="cs"/>
          <w:rtl/>
        </w:rPr>
        <w:t xml:space="preserve">ולהעיר גם מהדין (שו"ע אדמו"ר הזקן או"ח סי' שמ"ה ס"ג, ובכ"מ) </w:t>
      </w:r>
      <w:r w:rsidRPr="000B32FE">
        <w:rPr>
          <w:rFonts w:hint="cs"/>
          <w:b/>
          <w:bCs/>
          <w:rtl/>
        </w:rPr>
        <w:t>שפחות משלושה</w:t>
      </w:r>
      <w:r w:rsidRPr="000B32FE">
        <w:rPr>
          <w:rFonts w:hint="cs"/>
          <w:rtl/>
        </w:rPr>
        <w:t xml:space="preserve"> (במקום) </w:t>
      </w:r>
      <w:r w:rsidRPr="000B32FE">
        <w:rPr>
          <w:rFonts w:hint="cs"/>
          <w:b/>
          <w:bCs/>
          <w:rtl/>
        </w:rPr>
        <w:t>כלבוד דמי".</w:t>
      </w:r>
    </w:p>
    <w:p w:rsidR="009011A6" w:rsidRPr="00370EA4" w:rsidRDefault="009011A6" w:rsidP="00F146A6">
      <w:pPr>
        <w:pStyle w:val="a3"/>
        <w:rPr>
          <w:rtl/>
        </w:rPr>
      </w:pPr>
      <w:r w:rsidRPr="00370EA4">
        <w:rPr>
          <w:rFonts w:hint="cs"/>
          <w:rtl/>
        </w:rPr>
        <w:t>ויסד לנו כאן</w:t>
      </w:r>
      <w:r>
        <w:rPr>
          <w:rFonts w:hint="cs"/>
          <w:rtl/>
        </w:rPr>
        <w:t>,</w:t>
      </w:r>
      <w:r w:rsidRPr="00370EA4">
        <w:rPr>
          <w:rFonts w:hint="cs"/>
          <w:rtl/>
        </w:rPr>
        <w:t xml:space="preserve"> </w:t>
      </w:r>
      <w:r>
        <w:rPr>
          <w:rFonts w:hint="cs"/>
          <w:rtl/>
        </w:rPr>
        <w:t>ש</w:t>
      </w:r>
      <w:r w:rsidRPr="00370EA4">
        <w:rPr>
          <w:rFonts w:hint="cs"/>
          <w:rtl/>
        </w:rPr>
        <w:t xml:space="preserve">כשם שב"מקום", בכל עניין אומרים שתוך שלושה הוא "לבוד" [ועיין בשו"ת חכם צבי סי' נ"ט שחידש שאין אומרים "תורת לבוד" אלא באוויר ולא </w:t>
      </w:r>
      <w:r w:rsidRPr="00370EA4">
        <w:rPr>
          <w:rFonts w:hint="cs"/>
          <w:rtl/>
        </w:rPr>
        <w:lastRenderedPageBreak/>
        <w:t>בדבר ממשי, וכבר השיגו עליו מסוגיות מפורשות בש"ס שבכל עניין הוא לבוד, ראה: שו"ת בית שלמה או"ח סי' ט"ו, שו"ת מהרי"א הלוי ח"א סי' כ"ב, ובאורך בשו"ת משנה שכיר סי' קע"ג, שדייק כן גם בדברי הר"ן ריש מס' סוכה], כך הוא גם ב"זמן"</w:t>
      </w:r>
      <w:r>
        <w:rPr>
          <w:rFonts w:hint="cs"/>
          <w:rtl/>
        </w:rPr>
        <w:t>, שיש בו הגדר של "לבוד"</w:t>
      </w:r>
      <w:r w:rsidRPr="00370EA4">
        <w:rPr>
          <w:rFonts w:hint="cs"/>
          <w:rtl/>
        </w:rPr>
        <w:t>.</w:t>
      </w:r>
    </w:p>
    <w:p w:rsidR="009011A6" w:rsidRPr="00370EA4" w:rsidRDefault="009011A6" w:rsidP="00F146A6">
      <w:pPr>
        <w:pStyle w:val="a3"/>
        <w:rPr>
          <w:rtl/>
        </w:rPr>
      </w:pPr>
      <w:r>
        <w:rPr>
          <w:rFonts w:hint="cs"/>
          <w:rtl/>
        </w:rPr>
        <w:t>ובביאור הדברים לכאורה יש לומר: "</w:t>
      </w:r>
      <w:r w:rsidRPr="00370EA4">
        <w:rPr>
          <w:rFonts w:hint="cs"/>
          <w:rtl/>
        </w:rPr>
        <w:t xml:space="preserve">הנה כל "ספר יצירה" מושתת כידוע, על "עולם שנה ונפש", וכבר ידענו, כי ה"זמן" הוא נברא, ממש כמו ה"עולם", כמו שכתב הרמב"ם במורה נבוכים (ח"ב פי"ג) "שהזמן עצמו גם כן מכלל הנבראים". וראה גם בפ"ל שם, וזוהי דעת הרס"ג, הרשב"א, הרמ"ע מפאנו וכו', שצויינו במכתב רבינו ("אגרות קודש" חלק ב') עיי"ש, ועיין גם בהרחבה ביאור בספר העיקרים מאמר כ' פי"ח, ועוד, ספר המידות להר"י מדובנא ז"ל, ועוד. ולא זו בלבד, שה"זמן" (שנה) </w:t>
      </w:r>
      <w:r w:rsidRPr="00370EA4">
        <w:rPr>
          <w:rFonts w:hint="cs"/>
          <w:u w:val="single"/>
          <w:rtl/>
        </w:rPr>
        <w:t>גם</w:t>
      </w:r>
      <w:r w:rsidRPr="00370EA4">
        <w:rPr>
          <w:rFonts w:hint="cs"/>
          <w:rtl/>
        </w:rPr>
        <w:t xml:space="preserve"> הוא נברא, אלא "</w:t>
      </w:r>
      <w:r w:rsidRPr="00370EA4">
        <w:rPr>
          <w:rFonts w:hint="cs"/>
          <w:b/>
          <w:bCs/>
          <w:rtl/>
        </w:rPr>
        <w:t xml:space="preserve">כי הזמן והמקום </w:t>
      </w:r>
      <w:r w:rsidRPr="0065228F">
        <w:rPr>
          <w:rFonts w:hint="cs"/>
          <w:b/>
          <w:bCs/>
          <w:u w:val="single"/>
          <w:rtl/>
        </w:rPr>
        <w:t>ענין אחד</w:t>
      </w:r>
      <w:r w:rsidRPr="0065228F">
        <w:rPr>
          <w:rFonts w:hint="cs"/>
          <w:u w:val="single"/>
          <w:rtl/>
        </w:rPr>
        <w:t>,</w:t>
      </w:r>
      <w:r w:rsidRPr="00370EA4">
        <w:rPr>
          <w:rFonts w:hint="cs"/>
          <w:rtl/>
        </w:rPr>
        <w:t xml:space="preserve"> כאשר ידוע למבינים" (מהר"ל בתפארת ישראל פכ"ו), "שהמקום והזמן </w:t>
      </w:r>
      <w:r w:rsidRPr="00370EA4">
        <w:rPr>
          <w:rFonts w:hint="cs"/>
          <w:b/>
          <w:bCs/>
          <w:rtl/>
        </w:rPr>
        <w:t>שניהם הם נבראים בבחינה אחת</w:t>
      </w:r>
      <w:r w:rsidRPr="00370EA4">
        <w:rPr>
          <w:rFonts w:hint="cs"/>
          <w:rtl/>
        </w:rPr>
        <w:t>" (לשון רבנו ב"לקוטי תורה" פר' ברכה ד"ה ממור שיר חנוכת, הראשון). וראה גם ב"מפענח צפונות" להגרמ"מ כשר ז"ל שהאריך בנושאים אלו.</w:t>
      </w:r>
    </w:p>
    <w:p w:rsidR="009011A6" w:rsidRPr="00370EA4" w:rsidRDefault="009011A6" w:rsidP="00F146A6">
      <w:pPr>
        <w:pStyle w:val="a3"/>
        <w:rPr>
          <w:rtl/>
        </w:rPr>
      </w:pPr>
      <w:r w:rsidRPr="00370EA4">
        <w:rPr>
          <w:rFonts w:hint="cs"/>
          <w:rtl/>
        </w:rPr>
        <w:t xml:space="preserve">ומכיוון שכן </w:t>
      </w:r>
      <w:r w:rsidRPr="00370EA4">
        <w:rPr>
          <w:rtl/>
        </w:rPr>
        <w:t>–</w:t>
      </w:r>
      <w:r w:rsidRPr="00370EA4">
        <w:rPr>
          <w:rFonts w:hint="cs"/>
          <w:rtl/>
        </w:rPr>
        <w:t xml:space="preserve"> שהזמן והמקום הם נבראים, ועניינם אחד </w:t>
      </w:r>
      <w:r w:rsidRPr="00370EA4">
        <w:rPr>
          <w:rtl/>
        </w:rPr>
        <w:t>–</w:t>
      </w:r>
      <w:r w:rsidRPr="00370EA4">
        <w:rPr>
          <w:rFonts w:hint="cs"/>
          <w:rtl/>
        </w:rPr>
        <w:t xml:space="preserve"> מובן ופשוט, שיש דמיון מוחלט ביניהם בכל העניינים, "כי הזמן והמקום </w:t>
      </w:r>
      <w:r w:rsidRPr="00370EA4">
        <w:rPr>
          <w:rFonts w:hint="cs"/>
          <w:b/>
          <w:bCs/>
          <w:rtl/>
        </w:rPr>
        <w:t>שייכים ומתייחסים זה לזה</w:t>
      </w:r>
      <w:r w:rsidRPr="00370EA4">
        <w:rPr>
          <w:rFonts w:hint="cs"/>
          <w:rtl/>
        </w:rPr>
        <w:t xml:space="preserve">" (מהר"ל, דרוש על התורה, ירושלים תשכ"ח, עמוד ל"ב). </w:t>
      </w:r>
      <w:r>
        <w:rPr>
          <w:rFonts w:hint="cs"/>
          <w:rtl/>
        </w:rPr>
        <w:t xml:space="preserve">ועי' ב"תניא" קדישא שער היחוד והאמונה פ"ז. </w:t>
      </w:r>
      <w:r w:rsidRPr="00370EA4">
        <w:rPr>
          <w:rFonts w:hint="cs"/>
          <w:rtl/>
        </w:rPr>
        <w:t xml:space="preserve">וכך כתב רבנו ה"צמח צדק" ב"אור התורה" פ' בלק (עמוד תתקמ"ח) שכל מה שיש בזה יש בזה, עיין שם, וכן הוא ב"חסד לאברהם" להרה"ק הראשון מסלונים נ"ע, בריש הספר: "עולם שנה נפש דומים, </w:t>
      </w:r>
      <w:r w:rsidRPr="00370EA4">
        <w:rPr>
          <w:rFonts w:hint="cs"/>
          <w:b/>
          <w:bCs/>
          <w:rtl/>
        </w:rPr>
        <w:t>ומה שיש בזה יש בזה</w:t>
      </w:r>
      <w:r w:rsidRPr="00370EA4">
        <w:rPr>
          <w:rFonts w:hint="cs"/>
          <w:rtl/>
        </w:rPr>
        <w:t>", ועיין שם דוגמאות לכך באריכות, וכבר יש עד"ז ב"אמרי בינה" לאדמו"ר האמצעי נ"ע (מא, ב), עי"ש.</w:t>
      </w:r>
    </w:p>
    <w:p w:rsidR="009011A6" w:rsidRPr="00370EA4" w:rsidRDefault="009011A6" w:rsidP="00F146A6">
      <w:pPr>
        <w:pStyle w:val="a3"/>
        <w:rPr>
          <w:rtl/>
        </w:rPr>
      </w:pPr>
      <w:r>
        <w:rPr>
          <w:rFonts w:hint="cs"/>
          <w:rtl/>
        </w:rPr>
        <w:t>[</w:t>
      </w:r>
      <w:r w:rsidRPr="00370EA4">
        <w:rPr>
          <w:rFonts w:hint="cs"/>
          <w:rtl/>
        </w:rPr>
        <w:t xml:space="preserve">ודוגמא מאלפת, שכל מה שיש בעולם יש בשנה ובנפש, כתב ב"משך חכמה" ריש פר' בראשית, </w:t>
      </w:r>
      <w:r>
        <w:rPr>
          <w:rFonts w:hint="cs"/>
          <w:rtl/>
        </w:rPr>
        <w:t xml:space="preserve">בקשר לשנה ונפש, </w:t>
      </w:r>
      <w:r w:rsidRPr="00370EA4">
        <w:rPr>
          <w:rFonts w:hint="cs"/>
          <w:rtl/>
        </w:rPr>
        <w:t>דרבי אליעזר שסובר "עולם מאמצעיתו נברא" (יומא נד, ב), לשיטתו הולך ש"הוולד נוצר מטיבורו" (סוטה מה, ב) ו"בתשרי נברא העולם", כי רבי אליעזר סובר שהמרכז הוא העיקר, ראה שם</w:t>
      </w:r>
      <w:r>
        <w:rPr>
          <w:rFonts w:hint="cs"/>
          <w:rtl/>
        </w:rPr>
        <w:t>]</w:t>
      </w:r>
      <w:r w:rsidRPr="00370EA4">
        <w:rPr>
          <w:rFonts w:hint="cs"/>
          <w:rtl/>
        </w:rPr>
        <w:t>.</w:t>
      </w:r>
    </w:p>
    <w:p w:rsidR="009011A6" w:rsidRPr="00370EA4" w:rsidRDefault="009011A6" w:rsidP="00F146A6">
      <w:pPr>
        <w:pStyle w:val="a3"/>
        <w:rPr>
          <w:rtl/>
        </w:rPr>
      </w:pPr>
      <w:r w:rsidRPr="00370EA4">
        <w:rPr>
          <w:rFonts w:hint="cs"/>
          <w:rtl/>
        </w:rPr>
        <w:t xml:space="preserve">ומעתה, אך פשוט הוא, שכמו שב"מקום" נאמרה תורת "לבוד", בוודאי כן הוא גם ב"זמן" לאמור: זו שבמחיצות או בקניינים, פחות משלושה טפחים לבוד הוא, אין זה הלכה מסויימת באותו עניין, אלא שרשו בעניין ומספר </w:t>
      </w:r>
      <w:r w:rsidRPr="00370EA4">
        <w:rPr>
          <w:rFonts w:hint="cs"/>
          <w:b/>
          <w:bCs/>
          <w:rtl/>
        </w:rPr>
        <w:t>שלושה</w:t>
      </w:r>
      <w:r w:rsidRPr="00370EA4">
        <w:rPr>
          <w:rFonts w:hint="cs"/>
          <w:rtl/>
        </w:rPr>
        <w:t>, וכידוע בכתבי מהר"ל "</w:t>
      </w:r>
      <w:r w:rsidRPr="00370EA4">
        <w:rPr>
          <w:rFonts w:hint="cs"/>
          <w:b/>
          <w:bCs/>
          <w:rtl/>
        </w:rPr>
        <w:t>כי מספר ג' מורה על החיבור והקישור</w:t>
      </w:r>
      <w:r w:rsidRPr="00370EA4">
        <w:rPr>
          <w:rFonts w:hint="cs"/>
          <w:rtl/>
        </w:rPr>
        <w:t>" (נצח ישראל, פ"ז, ועוד).</w:t>
      </w:r>
    </w:p>
    <w:p w:rsidR="009011A6" w:rsidRPr="00370EA4" w:rsidRDefault="009011A6" w:rsidP="00F146A6">
      <w:pPr>
        <w:pStyle w:val="a3"/>
        <w:rPr>
          <w:rtl/>
        </w:rPr>
      </w:pPr>
      <w:r w:rsidRPr="00370EA4">
        <w:rPr>
          <w:rFonts w:hint="cs"/>
          <w:rtl/>
        </w:rPr>
        <w:t xml:space="preserve">וראה גם מה שכתב </w:t>
      </w:r>
      <w:r w:rsidRPr="00370EA4">
        <w:rPr>
          <w:rFonts w:hint="cs"/>
          <w:b/>
          <w:bCs/>
          <w:rtl/>
        </w:rPr>
        <w:t>המהר"ם שיף</w:t>
      </w:r>
      <w:r w:rsidRPr="00370EA4">
        <w:rPr>
          <w:rFonts w:hint="cs"/>
          <w:rtl/>
        </w:rPr>
        <w:t xml:space="preserve"> ז"ל ב"דרושים נחמדים" בסוף מס' חולין: "ההפרש בין ישראל למלאכים, נודע שישראל יש להם שייכות וקירבה אל הקב"ה ממש, שהנשמה, דרך משל להבדיל, כעין ולד הנוצר ע"י חיבור זו"נ כו', לכן המלאכים </w:t>
      </w:r>
      <w:r w:rsidRPr="00370EA4">
        <w:rPr>
          <w:rFonts w:hint="cs"/>
          <w:rtl/>
        </w:rPr>
        <w:lastRenderedPageBreak/>
        <w:t xml:space="preserve">מזכירים השם אחר ג' תיבות קדוש קדוש קדוש (חולין צא, ב), להורות על ג' הבדלים, </w:t>
      </w:r>
      <w:r w:rsidRPr="00370EA4">
        <w:rPr>
          <w:rFonts w:hint="cs"/>
          <w:b/>
          <w:bCs/>
          <w:rtl/>
        </w:rPr>
        <w:t xml:space="preserve">ופחות מג' אין כאן הבדל גמור </w:t>
      </w:r>
      <w:r w:rsidRPr="00370EA4">
        <w:rPr>
          <w:b/>
          <w:bCs/>
          <w:rtl/>
        </w:rPr>
        <w:t>–</w:t>
      </w:r>
      <w:r w:rsidRPr="00370EA4">
        <w:rPr>
          <w:rFonts w:hint="cs"/>
          <w:b/>
          <w:bCs/>
          <w:rtl/>
        </w:rPr>
        <w:t xml:space="preserve"> סימן לדבר: פחות מג' כלבוד דמי, ובג' לא הוו כלבוד</w:t>
      </w:r>
      <w:r w:rsidRPr="00370EA4">
        <w:rPr>
          <w:rFonts w:hint="cs"/>
          <w:rtl/>
        </w:rPr>
        <w:t xml:space="preserve"> </w:t>
      </w:r>
      <w:r w:rsidRPr="00370EA4">
        <w:rPr>
          <w:rtl/>
        </w:rPr>
        <w:t>–</w:t>
      </w:r>
      <w:r w:rsidRPr="00370EA4">
        <w:rPr>
          <w:rFonts w:hint="cs"/>
          <w:rtl/>
        </w:rPr>
        <w:t xml:space="preserve"> אבל ישראל מזכירין אחר ב' תיבות, והוא פחות מג', ויש להם חיבור וצירוף אל האב".</w:t>
      </w:r>
    </w:p>
    <w:p w:rsidR="009011A6" w:rsidRPr="00370EA4" w:rsidRDefault="009011A6" w:rsidP="00F146A6">
      <w:pPr>
        <w:pStyle w:val="a3"/>
        <w:rPr>
          <w:rtl/>
        </w:rPr>
      </w:pPr>
      <w:r w:rsidRPr="00370EA4">
        <w:rPr>
          <w:rFonts w:hint="cs"/>
          <w:rtl/>
        </w:rPr>
        <w:t>הנה כי כן, שפתי מהר"ם שיף ברור מיללו, שדין הלבוד, סימן הוא שפחות משלושה, יש בהם חיבור וצירוף, ולא רק בדין דפנות ומחיצות.</w:t>
      </w:r>
    </w:p>
    <w:p w:rsidR="009011A6" w:rsidRPr="00370EA4" w:rsidRDefault="009011A6" w:rsidP="00F146A6">
      <w:pPr>
        <w:pStyle w:val="a3"/>
        <w:rPr>
          <w:rtl/>
        </w:rPr>
      </w:pPr>
      <w:r w:rsidRPr="00370EA4">
        <w:rPr>
          <w:rFonts w:hint="cs"/>
          <w:rtl/>
        </w:rPr>
        <w:t xml:space="preserve">וכבר כתב דבר זה עצמו, המהר"ל ז"ל, שהיה ממש סמוך וקרוב לדורו (שהמהר"ם שיף נולד כמה שנים לפני הסתלקות המהר"ל), בהקדמת ספרו "אור חדש", והובא גם בספר "נשמת אדם" להגאון המקובל רבי </w:t>
      </w:r>
      <w:r w:rsidRPr="00370EA4">
        <w:rPr>
          <w:rFonts w:hint="cs"/>
          <w:b/>
          <w:bCs/>
          <w:rtl/>
        </w:rPr>
        <w:t>אהרן שמואל מקרעמניץ</w:t>
      </w:r>
      <w:r w:rsidRPr="00370EA4">
        <w:rPr>
          <w:rFonts w:hint="cs"/>
          <w:rtl/>
        </w:rPr>
        <w:t xml:space="preserve"> ז"ל, וז"ל (בפ"א עמוד נ"ב): "ובספר 'אור חדש' מצאתי בזה רמז כבד, כי </w:t>
      </w:r>
      <w:r w:rsidRPr="00370EA4">
        <w:rPr>
          <w:rFonts w:hint="cs"/>
          <w:b/>
          <w:bCs/>
          <w:rtl/>
        </w:rPr>
        <w:t>נודע שפחות משלוש הוי כלבוד</w:t>
      </w:r>
      <w:r w:rsidRPr="00370EA4">
        <w:rPr>
          <w:rFonts w:hint="cs"/>
          <w:rtl/>
        </w:rPr>
        <w:t>, ועל כן ישראל שיש להם יותר חיבור ודיבוק עם השי"ת, על כן מזכירין פחות מג' תיבות, להורות חיבורם ודיבוקם עם השי"ת, מה שאין כן המלאכים, אין להם כל כך חיבור ודיבוק עם ה', מזכירים השם לאחר ג' תיבות, כי אינם כלבוד". גם בספר "ערכי הכינויים" להגה"ק בעל "סדר הדורות" ז"ל, בערך "לבוד", כתב כ</w:t>
      </w:r>
      <w:r>
        <w:rPr>
          <w:rFonts w:hint="cs"/>
          <w:rtl/>
        </w:rPr>
        <w:t>עין זה</w:t>
      </w:r>
      <w:r w:rsidRPr="00370EA4">
        <w:rPr>
          <w:rFonts w:hint="cs"/>
          <w:rtl/>
        </w:rPr>
        <w:t>, עיין שם</w:t>
      </w:r>
      <w:r>
        <w:rPr>
          <w:rFonts w:hint="cs"/>
          <w:rtl/>
        </w:rPr>
        <w:t>"</w:t>
      </w:r>
      <w:r w:rsidRPr="00370EA4">
        <w:rPr>
          <w:rFonts w:hint="cs"/>
          <w:rtl/>
        </w:rPr>
        <w:t>].</w:t>
      </w:r>
    </w:p>
    <w:p w:rsidR="009011A6" w:rsidRDefault="009011A6" w:rsidP="00F146A6">
      <w:pPr>
        <w:pStyle w:val="a3"/>
        <w:rPr>
          <w:rtl/>
        </w:rPr>
      </w:pPr>
      <w:r w:rsidRPr="00370EA4">
        <w:rPr>
          <w:rFonts w:hint="cs"/>
          <w:rtl/>
        </w:rPr>
        <w:t xml:space="preserve">אשר לפי יסוד זה, מבוארת </w:t>
      </w:r>
      <w:r>
        <w:rPr>
          <w:rFonts w:hint="cs"/>
          <w:rtl/>
        </w:rPr>
        <w:t xml:space="preserve">נמי </w:t>
      </w:r>
      <w:r w:rsidRPr="00370EA4">
        <w:rPr>
          <w:rFonts w:hint="cs"/>
          <w:rtl/>
        </w:rPr>
        <w:t>היטב תקנת משה רבינו, ולאחריה תקנת עזרא, שכל עוד הוא לומד תוך שלשה ימים הוי "לבוד", והוא כאילו לומד בכל יום.</w:t>
      </w:r>
    </w:p>
    <w:p w:rsidR="009011A6" w:rsidRPr="00370EA4" w:rsidRDefault="009011A6" w:rsidP="00F146A6">
      <w:pPr>
        <w:pStyle w:val="11"/>
        <w:bidi/>
        <w:rPr>
          <w:rtl/>
        </w:rPr>
      </w:pPr>
      <w:r>
        <w:rPr>
          <w:rFonts w:hint="cs"/>
          <w:rtl/>
        </w:rPr>
        <w:t>ט</w:t>
      </w:r>
    </w:p>
    <w:p w:rsidR="009011A6" w:rsidRDefault="009011A6" w:rsidP="00F146A6">
      <w:pPr>
        <w:pStyle w:val="a3"/>
        <w:rPr>
          <w:rtl/>
        </w:rPr>
      </w:pPr>
      <w:r>
        <w:rPr>
          <w:rFonts w:hint="cs"/>
          <w:rtl/>
        </w:rPr>
        <w:t>ואולי יש על פי הדברים האלה, טעם נוסף (כמו בכל הדברים שבקדושה) לתקנה הקדושה של לימוד הרמב"ם, שנקבעה בשני מסלולים, ג"פ ליום ופרק אחד ליום. שהטעם בגלוי קישר רבינו למה שכתב הרמב"ם ריש פי"ג מהל' תפילה: "המנהג הפשוט בכל ישראל שמשלימין את התורה בשנה אחת וכו' ויש מי שמשלים את התורה בשלש שנים ואינו מנהג פשוט", ועי' בכס"מ ו"רבינו מנוח" שם.</w:t>
      </w:r>
    </w:p>
    <w:p w:rsidR="009011A6" w:rsidRPr="00370EA4" w:rsidRDefault="009011A6" w:rsidP="00F146A6">
      <w:pPr>
        <w:pStyle w:val="a3"/>
      </w:pPr>
      <w:r>
        <w:rPr>
          <w:rFonts w:hint="cs"/>
          <w:rtl/>
        </w:rPr>
        <w:t>ולהנת' יש לומר עוד, שכאשר לומד פרק אחד ביום, בעצם הוא לומד ג' פרקים בשלשה ימים, ש"שלשה ימים" מתורת לבוד הוא כחטיבה אחת של "יום אחד".</w:t>
      </w:r>
    </w:p>
    <w:p w:rsidR="007907A8" w:rsidRDefault="000836F8" w:rsidP="000836F8">
      <w:pPr>
        <w:bidi/>
        <w:spacing w:after="240"/>
        <w:jc w:val="center"/>
        <w:rPr>
          <w:rFonts w:ascii="Nymphette" w:eastAsia="Times New Roman" w:hAnsi="Nymphette" w:cs="Nymphette"/>
          <w:sz w:val="44"/>
          <w:szCs w:val="44"/>
        </w:rPr>
      </w:pPr>
      <w:bookmarkStart w:id="103" w:name="_Toc26492275"/>
      <w:r w:rsidRPr="000836F8">
        <w:rPr>
          <w:rFonts w:ascii="Nymphette" w:eastAsia="Times New Roman" w:hAnsi="Nymphette" w:cs="Nymphette"/>
          <w:sz w:val="44"/>
          <w:szCs w:val="44"/>
        </w:rPr>
        <w:t>g</w:t>
      </w:r>
    </w:p>
    <w:p w:rsidR="007907A8" w:rsidRDefault="007907A8">
      <w:pPr>
        <w:rPr>
          <w:rFonts w:ascii="Nymphette" w:eastAsia="Times New Roman" w:hAnsi="Nymphette" w:cs="Nymphette"/>
          <w:sz w:val="44"/>
          <w:szCs w:val="44"/>
        </w:rPr>
      </w:pPr>
      <w:r>
        <w:rPr>
          <w:rFonts w:ascii="Nymphette" w:eastAsia="Times New Roman" w:hAnsi="Nymphette" w:cs="Nymphette"/>
          <w:sz w:val="44"/>
          <w:szCs w:val="44"/>
        </w:rPr>
        <w:br w:type="page"/>
      </w:r>
    </w:p>
    <w:p w:rsidR="00900523" w:rsidRPr="007306AD" w:rsidRDefault="00900523" w:rsidP="00900523">
      <w:pPr>
        <w:pStyle w:val="a0"/>
        <w:rPr>
          <w:rtl/>
        </w:rPr>
      </w:pPr>
      <w:bookmarkStart w:id="104" w:name="_Toc43963081"/>
      <w:r>
        <w:rPr>
          <w:rFonts w:hint="cs"/>
          <w:rtl/>
        </w:rPr>
        <w:lastRenderedPageBreak/>
        <w:t>בענין טומאת מת</w:t>
      </w:r>
      <w:bookmarkEnd w:id="104"/>
    </w:p>
    <w:p w:rsidR="00900523" w:rsidRPr="00532B26" w:rsidRDefault="00900523" w:rsidP="00F146A6">
      <w:pPr>
        <w:pStyle w:val="a"/>
        <w:rPr>
          <w:rtl/>
        </w:rPr>
      </w:pPr>
      <w:bookmarkStart w:id="105" w:name="_Toc43963082"/>
      <w:r w:rsidRPr="00532B26">
        <w:rPr>
          <w:rtl/>
        </w:rPr>
        <w:t>הרב אברהם יצחק ברוך גערליצקי</w:t>
      </w:r>
      <w:bookmarkEnd w:id="105"/>
    </w:p>
    <w:p w:rsidR="00900523" w:rsidRPr="007306AD" w:rsidRDefault="00900523" w:rsidP="00900523">
      <w:pPr>
        <w:pStyle w:val="a1"/>
        <w:rPr>
          <w:rtl/>
        </w:rPr>
      </w:pPr>
      <w:r w:rsidRPr="00532B26">
        <w:rPr>
          <w:rtl/>
        </w:rPr>
        <w:t>ר"מ בישיבה</w:t>
      </w:r>
    </w:p>
    <w:p w:rsidR="00900523" w:rsidRDefault="00900523" w:rsidP="00F146A6">
      <w:pPr>
        <w:pStyle w:val="a3"/>
        <w:rPr>
          <w:rtl/>
        </w:rPr>
      </w:pPr>
      <w:r w:rsidRPr="007306AD">
        <w:rPr>
          <w:rtl/>
        </w:rPr>
        <w:t xml:space="preserve">ברשימות (חוברת קכט) בביאור הסוגיא דשלשה דברי בורות וכו' </w:t>
      </w:r>
      <w:r>
        <w:rPr>
          <w:rFonts w:hint="cs"/>
          <w:rtl/>
        </w:rPr>
        <w:t>(</w:t>
      </w:r>
      <w:r w:rsidRPr="007306AD">
        <w:rPr>
          <w:rtl/>
        </w:rPr>
        <w:t xml:space="preserve">בסוף מס' נדה) מבאר שאלת אנשי אלכסנדריא בנוגע לבן השונמית מהו שיטמא ומענת רבי יהושא מת מטמא ואין חי מטמא, דבשייכות סילוק הנשמה לענין הטומאה י"ל בב' אופנים: א) אם </w:t>
      </w:r>
      <w:r>
        <w:rPr>
          <w:rFonts w:hint="cs"/>
          <w:rtl/>
        </w:rPr>
        <w:t xml:space="preserve">רגע </w:t>
      </w:r>
      <w:r w:rsidRPr="00426AD7">
        <w:rPr>
          <w:bCs/>
          <w:rtl/>
        </w:rPr>
        <w:t>סילוק הנשמה</w:t>
      </w:r>
      <w:r w:rsidRPr="007306AD">
        <w:rPr>
          <w:rtl/>
        </w:rPr>
        <w:t xml:space="preserve"> פועל הטומאה על כל משך הזמן שתהי' נשמרת שלדת המת, ב) או שסילוק הנשמה גורם מצב </w:t>
      </w:r>
      <w:r w:rsidRPr="00342F25">
        <w:rPr>
          <w:bCs/>
          <w:rtl/>
        </w:rPr>
        <w:t>גוף</w:t>
      </w:r>
      <w:r w:rsidRPr="007306AD">
        <w:rPr>
          <w:rtl/>
        </w:rPr>
        <w:t xml:space="preserve"> כזה שהוא מטמא, וא"כ בבן השונמית שנפסק מצב זה מאיזה סיבה שתהי' – שוב אינו מטמא, וע"ז ענה להם רבי יהושע דמת מטמא רק כשלא נתבלבלה צורתו, ובנדו"ד אין לך בלבול צורה של מת יותר מזה כשהוא חי עיי"ש</w:t>
      </w:r>
      <w:r>
        <w:rPr>
          <w:rFonts w:hint="cs"/>
          <w:rtl/>
        </w:rPr>
        <w:t>.</w:t>
      </w:r>
    </w:p>
    <w:p w:rsidR="00900523" w:rsidRDefault="00900523" w:rsidP="00F146A6">
      <w:pPr>
        <w:pStyle w:val="a3"/>
        <w:rPr>
          <w:rtl/>
        </w:rPr>
      </w:pPr>
      <w:r w:rsidRPr="007306AD">
        <w:rPr>
          <w:rtl/>
        </w:rPr>
        <w:t xml:space="preserve"> ואולי </w:t>
      </w:r>
      <w:r>
        <w:rPr>
          <w:rFonts w:hint="cs"/>
          <w:rtl/>
        </w:rPr>
        <w:t xml:space="preserve">יש לבאר בזה </w:t>
      </w:r>
      <w:r w:rsidRPr="007306AD">
        <w:rPr>
          <w:rtl/>
        </w:rPr>
        <w:t>עפ"י מ"ש בשו"ת אבני נזר יו"ד סי' תסו, שהביא שם ג' טעמים בטעם טומאת מת: א) כמ"ש הרמב"ן (חוקת יט, ב) משום דאדם מת בעטיו של נחש, ומבאר האבנ"ז כוונתו עפ"י מ"ש הרח"ו שג' טיפי מרה שזורק מלאך המות מטמאים הגוף, ואינה מוצאת הנשמה מנוח לכף רגלה ויוצאת ומכאן טומאת המת, (ובהערות בפי' הרמב"ן שם הביא בזה מ"ש הראקאני דסיבת הטומאה הוא מצד מלאך המות שהטיל בו זוהמא והמטמא בו צריך טהרה, וממשיך שם הרמב"ן דלכן צדיקים הנפטרים בנשיקה לא יטמאו מן הדין, והוא שאמרו צדיקים אינן מטמאין עיי"ש</w:t>
      </w:r>
      <w:r>
        <w:rPr>
          <w:rtl/>
        </w:rPr>
        <w:t xml:space="preserve"> וראה לקו"ש חי"ח ע' 234 הערה 55</w:t>
      </w:r>
      <w:r>
        <w:rPr>
          <w:rFonts w:hint="cs"/>
          <w:rtl/>
        </w:rPr>
        <w:t xml:space="preserve"> ובס' ציון לנפש צבי בענין זה בארוכה).</w:t>
      </w:r>
      <w:r w:rsidRPr="007306AD">
        <w:rPr>
          <w:rtl/>
        </w:rPr>
        <w:t xml:space="preserve"> </w:t>
      </w:r>
    </w:p>
    <w:p w:rsidR="00900523" w:rsidRPr="007306AD" w:rsidRDefault="00900523" w:rsidP="00F146A6">
      <w:pPr>
        <w:pStyle w:val="a3"/>
        <w:rPr>
          <w:rtl/>
        </w:rPr>
      </w:pPr>
      <w:r w:rsidRPr="007306AD">
        <w:rPr>
          <w:rtl/>
        </w:rPr>
        <w:t>ב) טעם המבואר בזוה"ק (פ' אמור עה"פ לנפש לא יטמא) ושרי' עלי' רוח מסאבא דהא תיאובתא דרוח מסאבא לגבי גופיהן דישראל בגין דאתרחק מינייהו רוח קדישא, ובמנא דקודשא אתיין לאיתחברא</w:t>
      </w:r>
      <w:r>
        <w:rPr>
          <w:rStyle w:val="FootnoteReference"/>
          <w:rFonts w:ascii="Courier" w:hAnsi="Courier"/>
          <w:sz w:val="32"/>
          <w:szCs w:val="32"/>
          <w:rtl/>
        </w:rPr>
        <w:footnoteReference w:id="65"/>
      </w:r>
      <w:r w:rsidRPr="007306AD">
        <w:rPr>
          <w:rtl/>
        </w:rPr>
        <w:t>. ג) טעמו של המהר"ל (בס' זכר צדיק</w:t>
      </w:r>
      <w:r>
        <w:rPr>
          <w:rFonts w:hint="cs"/>
          <w:rtl/>
        </w:rPr>
        <w:t xml:space="preserve"> ד,א</w:t>
      </w:r>
      <w:r w:rsidRPr="007306AD">
        <w:rPr>
          <w:rtl/>
        </w:rPr>
        <w:t xml:space="preserve">) מאחר שהנפש היוצא מן המת נבדל מעוה"ז הנוגע בו נטמא, דומיא דס"ת דגזרו עליו שיטמא, אף שהס"ת קודש, אך היא הנותנת שהנוגע בדבר שאינו שייך לו מגיע אליו בעצמותו </w:t>
      </w:r>
      <w:r w:rsidRPr="007306AD">
        <w:rPr>
          <w:rtl/>
        </w:rPr>
        <w:lastRenderedPageBreak/>
        <w:t>טומאה, וממשיך האבנ"ז דלכאורה אין דבריו מובנים דאה"נ שהנפש היוצא מן המת נבדל מעוה"ז, וכי בנפש הוא נוגע הרי הוא נוגע בהגוף? ומבאר כוונת המהר"ל דבזוה"ק פ' שלח איתא דלולי חטא עץ הדעת הי' הגוף עולה עם הנשמה לעולם העליון ומחמת החטא נשאר הגוף בעוה"ז, והחטא הוא מקרה ובעצם ראוי הגוף ג"כ לעלות לעולם העליון בשעה שמת, נמצא שבעצם גם הגוף שייך לעולם העליון</w:t>
      </w:r>
      <w:r>
        <w:rPr>
          <w:rFonts w:hint="cs"/>
          <w:rtl/>
        </w:rPr>
        <w:t>,</w:t>
      </w:r>
      <w:r w:rsidRPr="007306AD">
        <w:rPr>
          <w:rtl/>
        </w:rPr>
        <w:t xml:space="preserve"> ולכן הנוגע בו נטמא ומבאר בזה הא דאיתא בספרי זוטא פ' חוקת שם הובא בלקו"ש ח</w:t>
      </w:r>
      <w:r>
        <w:rPr>
          <w:rtl/>
        </w:rPr>
        <w:t>י"ח שם דמת עצמו אינו טמא עיי"ש</w:t>
      </w:r>
      <w:r>
        <w:rPr>
          <w:rFonts w:hint="cs"/>
          <w:rtl/>
        </w:rPr>
        <w:t xml:space="preserve"> </w:t>
      </w:r>
      <w:r w:rsidRPr="007306AD">
        <w:rPr>
          <w:rtl/>
        </w:rPr>
        <w:t>בארוכה ובמה שביאר חילוקים לפי טעמים אלו וכן בסי' תסח ותסט.</w:t>
      </w:r>
    </w:p>
    <w:p w:rsidR="00900523" w:rsidRPr="007306AD" w:rsidRDefault="00900523" w:rsidP="00F146A6">
      <w:pPr>
        <w:pStyle w:val="a3"/>
        <w:rPr>
          <w:rtl/>
        </w:rPr>
      </w:pPr>
      <w:r w:rsidRPr="007306AD">
        <w:rPr>
          <w:rtl/>
        </w:rPr>
        <w:t xml:space="preserve">והנה לפי טעם הא' י"ל דכאשר היתה מיתה </w:t>
      </w:r>
      <w:r w:rsidRPr="006A0754">
        <w:rPr>
          <w:bCs/>
          <w:rtl/>
        </w:rPr>
        <w:t>בגוף זה</w:t>
      </w:r>
      <w:r w:rsidRPr="007306AD">
        <w:rPr>
          <w:rFonts w:cs="Miriam"/>
          <w:rtl/>
        </w:rPr>
        <w:t xml:space="preserve"> </w:t>
      </w:r>
      <w:r w:rsidRPr="007306AD">
        <w:rPr>
          <w:rtl/>
        </w:rPr>
        <w:t>ומלאך המות זרק בו ג' טיפין וכו' מסתבר לומר שנשאר שם טומאה זו לעולם כיון שהגוף כבר נטמא לא נפקע ממנו הטומאה</w:t>
      </w:r>
      <w:r>
        <w:rPr>
          <w:rStyle w:val="FootnoteReference"/>
          <w:rFonts w:ascii="Courier" w:hAnsi="Courier"/>
          <w:rtl/>
        </w:rPr>
        <w:footnoteReference w:id="66"/>
      </w:r>
      <w:r w:rsidRPr="007306AD">
        <w:rPr>
          <w:rtl/>
        </w:rPr>
        <w:t>,</w:t>
      </w:r>
      <w:r>
        <w:rPr>
          <w:rFonts w:hint="cs"/>
          <w:rtl/>
        </w:rPr>
        <w:t xml:space="preserve"> </w:t>
      </w:r>
      <w:r w:rsidRPr="007306AD">
        <w:rPr>
          <w:rtl/>
        </w:rPr>
        <w:t>ולטעם הב' י"ל דכשניתן לו חיות חדש שוב אינו מטמא כיון דלא שייך לומר דאתרחק מינייהו רוח קדישא, כיון דעכשיו יש בו רוח קדישא ורק כל זמן שאין שם נפש דקדושה מטמא, ולפי טעם הג' לכאורה מסתבר לומר דאף דנפש של גוף זה שייך עכשיו לעולם העליון, מ"מ כשניתן אח"כ חיות חדשה בגוף זה, הנה מעכשיו גוף זה שייך לעוה"ז ולא שייך לעולם העליון ואינו מטמא, וע"ז ענה רבי יהושע דכיון דלפועל גוף זה חי, אין לך בלבול צורה יותר מזה ואין שם שום טומאה.</w:t>
      </w:r>
    </w:p>
    <w:p w:rsidR="00900523" w:rsidRPr="00900523" w:rsidRDefault="00900523" w:rsidP="00F146A6">
      <w:pPr>
        <w:pStyle w:val="11"/>
        <w:rPr>
          <w:rtl/>
        </w:rPr>
      </w:pPr>
      <w:bookmarkStart w:id="106" w:name="_Toc412591460"/>
      <w:r w:rsidRPr="00900523">
        <w:rPr>
          <w:rFonts w:hint="cs"/>
          <w:rtl/>
        </w:rPr>
        <w:t>נציב</w:t>
      </w:r>
      <w:r w:rsidRPr="00900523">
        <w:rPr>
          <w:rtl/>
        </w:rPr>
        <w:t xml:space="preserve"> </w:t>
      </w:r>
      <w:r w:rsidRPr="00900523">
        <w:rPr>
          <w:rFonts w:hint="cs"/>
          <w:rtl/>
        </w:rPr>
        <w:t>מלח</w:t>
      </w:r>
      <w:bookmarkEnd w:id="106"/>
    </w:p>
    <w:p w:rsidR="00900523" w:rsidRPr="007306AD" w:rsidRDefault="00900523" w:rsidP="00F146A6">
      <w:pPr>
        <w:pStyle w:val="a3"/>
        <w:rPr>
          <w:rtl/>
        </w:rPr>
      </w:pPr>
      <w:r w:rsidRPr="007306AD">
        <w:rPr>
          <w:rtl/>
        </w:rPr>
        <w:t>ב) בהרשימה שם מבאר מענת רבי יהושע דאשתו של לוט אינה מטמאה דמת מטמא ואין נציב מלח מטמא דכוונתו בזה: "כי מת – מה שהוא בגדר מיתה – מטמא והיינו חי ומדבר אבל נציב מלח – דומם צומח היינו שהנס הי' בהשינוי לסוג שאין שייך בו מיתה – במילא אינו מטמא".</w:t>
      </w:r>
    </w:p>
    <w:p w:rsidR="00900523" w:rsidRPr="007306AD" w:rsidRDefault="00900523" w:rsidP="00F146A6">
      <w:pPr>
        <w:pStyle w:val="a3"/>
        <w:rPr>
          <w:rtl/>
        </w:rPr>
      </w:pPr>
      <w:r w:rsidRPr="007306AD">
        <w:rPr>
          <w:rtl/>
        </w:rPr>
        <w:t xml:space="preserve">ויש להעיר במ"ש בצפע"נ מהדו"ת (יא, ג) וז"ל: דבודאי מת שנשרף דכבר חל עליו שם טומאה י"ל דמטמא לכו"ע וזה כמו הך דנדה דכ"ז ע"ב הנ"ל, רק כאן מיירי דנשרף אדם חי וזה ר"ל אפר שרופין ולא חל עליו עדיין שם מת כלל ולכן לרבנן טהור לגמרי וכו' ועי' נדה דף ע' ע"ב, גבי אשתו של לוט וכו' ור"ל ג"כ </w:t>
      </w:r>
      <w:r w:rsidRPr="00F00BA8">
        <w:rPr>
          <w:bCs/>
          <w:rtl/>
        </w:rPr>
        <w:t>דלא נהפכה ממת לצורה אחרת רק מחי</w:t>
      </w:r>
      <w:r w:rsidRPr="007306AD">
        <w:rPr>
          <w:rtl/>
        </w:rPr>
        <w:t>, ולכן לא חל עליה שם טומאה מעולם, אבל אם נשתנה ממת אז י"ל דעכ"פ לא גרע מרקב וכו' עכ"ל, ועיי"ש עוד בדף נו, ב, בזה, דמדבריו יוצא דכיון דממצב חי נשתנתה לנציב מלח לא חל בה טומאה מעולם, אבל אילו הי' שם מיתה מקודם ואח"כ נשתנתה לנציב מלח שוב אין הטומאה נפקעת, אבל בהרשימה משמע דעצם מציאותה לנציב מלח שאין שייך בו מיתה מפקיע הטומאה.</w:t>
      </w:r>
    </w:p>
    <w:p w:rsidR="00900523" w:rsidRPr="007306AD" w:rsidRDefault="00900523" w:rsidP="00F146A6">
      <w:pPr>
        <w:pStyle w:val="a3"/>
        <w:rPr>
          <w:rtl/>
        </w:rPr>
      </w:pPr>
      <w:r w:rsidRPr="007306AD">
        <w:rPr>
          <w:rtl/>
        </w:rPr>
        <w:t xml:space="preserve">וי"ל משום דבזה"ק פ' וירא קז, ב, מבואר דבתחילה </w:t>
      </w:r>
      <w:r w:rsidRPr="00F00BA8">
        <w:rPr>
          <w:bCs/>
          <w:rtl/>
        </w:rPr>
        <w:t xml:space="preserve">מתה </w:t>
      </w:r>
      <w:r w:rsidRPr="007306AD">
        <w:rPr>
          <w:rtl/>
        </w:rPr>
        <w:t xml:space="preserve">ע"י מלאך המשחית ואח"כ נהפכה לנציב מלח עיי"ש, וכ"כ בס' תרומת הדשן (פסקים סי' קב) שנסתפק </w:t>
      </w:r>
      <w:r w:rsidRPr="007306AD">
        <w:rPr>
          <w:rtl/>
        </w:rPr>
        <w:lastRenderedPageBreak/>
        <w:t xml:space="preserve">אם אשת אליהו הנביא יכולה להנשא לאיש אחר, ומביא הך דנדה דאשתו של לוט אינה מטמאה דמת מטמא ואין נציב מלח מטמא כו' אע"ג שודאי אשתו של לוט </w:t>
      </w:r>
      <w:r w:rsidRPr="00F00BA8">
        <w:rPr>
          <w:bCs/>
          <w:rtl/>
        </w:rPr>
        <w:t>מתה,</w:t>
      </w:r>
      <w:r w:rsidRPr="007306AD">
        <w:rPr>
          <w:rFonts w:cs="Miriam"/>
          <w:rtl/>
        </w:rPr>
        <w:t xml:space="preserve"> </w:t>
      </w:r>
      <w:r w:rsidRPr="00F00BA8">
        <w:rPr>
          <w:bCs/>
          <w:rtl/>
        </w:rPr>
        <w:t>אלא שנהפכה לגוף אחר</w:t>
      </w:r>
      <w:r w:rsidRPr="007306AD">
        <w:rPr>
          <w:rtl/>
        </w:rPr>
        <w:t xml:space="preserve"> וכו' אעפ"כ אמרו שאינה מטמאה, ה"נ י"ל באשתו של אליהו דכיון שנשתנה למלאך וכו' אין זה אשת רעהו עיי"ש, הרי דגם הוא סב"ל שמקודם מתה ומ"מ אינה מטמאה, וראה לקו"ש שם הערה 44.</w:t>
      </w:r>
    </w:p>
    <w:p w:rsidR="00900523" w:rsidRPr="007306AD" w:rsidRDefault="00900523" w:rsidP="00F146A6">
      <w:pPr>
        <w:pStyle w:val="a3"/>
        <w:rPr>
          <w:rtl/>
        </w:rPr>
      </w:pPr>
      <w:r w:rsidRPr="007306AD">
        <w:rPr>
          <w:rtl/>
        </w:rPr>
        <w:t>וראה פרדס יוסף פ' וירא שם דשקו"ט בזה והביא המגן אברהם סי' רטז סק"ד, וחק יעקב ומקור חיים סי' תסז ס"ק ד' לגבי חמץ שנשתנה לדבש אם מותר, ובמגן האלף שם מביא ראי' שהשינוי מפקיע האיסור מאשתו של לוט שאינה מטמאה עיי"ש, ולפי הנ"ל הרי זה תלוי דאי נימא כהצפע"נ שלא חל בה טומאה מעולם דמעיקרא נעשה לנציב מלח ליכא ראי' משם, משא"כ אי נימא שמתה קודם.</w:t>
      </w:r>
    </w:p>
    <w:p w:rsidR="00900523" w:rsidRPr="007306AD" w:rsidRDefault="00900523" w:rsidP="00F146A6">
      <w:pPr>
        <w:pStyle w:val="a3"/>
        <w:rPr>
          <w:rtl/>
        </w:rPr>
      </w:pPr>
      <w:r w:rsidRPr="007306AD">
        <w:rPr>
          <w:rtl/>
        </w:rPr>
        <w:t>ג) במ"ש שם בנוגע להנס דנציב מלח שיש לפרשו בב' אופנים או דצ"ל עשיית הנס כל משך זמן היותו או דברגע הא' נהפך לגמרי ונעשה בטבע מלח עיי"ש, ומבאר דזה תלוי בבירור הדבר מה קשה יותר השנות דבר קל כמה פעמים או עשיית דבר קשה פעם אחת עיי"ש.</w:t>
      </w:r>
    </w:p>
    <w:p w:rsidR="00900523" w:rsidRPr="007306AD" w:rsidRDefault="00900523" w:rsidP="00F146A6">
      <w:pPr>
        <w:pStyle w:val="a3"/>
        <w:rPr>
          <w:rtl/>
        </w:rPr>
      </w:pPr>
      <w:r w:rsidRPr="007306AD">
        <w:rPr>
          <w:rtl/>
        </w:rPr>
        <w:t xml:space="preserve">הנה לכאורה יש לקשר זה גם עם המבואר בכ"מ, השאלה אם </w:t>
      </w:r>
      <w:r w:rsidRPr="00356803">
        <w:rPr>
          <w:bCs/>
          <w:rtl/>
        </w:rPr>
        <w:t>ריבוי כמות מכריע איכות</w:t>
      </w:r>
      <w:r w:rsidRPr="007306AD">
        <w:rPr>
          <w:rtl/>
        </w:rPr>
        <w:t xml:space="preserve"> או שהאיכות מכריע ריבוי כמות, וכדהאריך הגר"י ענגל בס' לקח טוב כלל טו בענין זה והביא מכמה מקומות בש"ס עיי"ש, ועי' לקו"ש חי"א פ' בשלח (ג) בענין זה והביא שם הדין (שו"ע אדה"ז סי' שכח סט"ז) דחולה שיש בו סכנה וצריך בשר שוחטין לו ואין אומרין לו נאכילנו נבילה שהיא איסור לאו ואל נחלל שבת שהוא איסור סקילה .</w:t>
      </w:r>
      <w:r w:rsidRPr="007306AD">
        <w:rPr>
          <w:rFonts w:ascii="Cambria" w:hAnsi="Cambria" w:cs="Cambria" w:hint="cs"/>
          <w:rtl/>
        </w:rPr>
        <w:t> </w:t>
      </w:r>
      <w:r w:rsidRPr="007306AD">
        <w:rPr>
          <w:rtl/>
        </w:rPr>
        <w:t xml:space="preserve">. </w:t>
      </w:r>
      <w:r w:rsidRPr="007306AD">
        <w:rPr>
          <w:rFonts w:hint="cs"/>
          <w:rtl/>
        </w:rPr>
        <w:t>שבנבילה</w:t>
      </w:r>
      <w:r w:rsidRPr="007306AD">
        <w:rPr>
          <w:rtl/>
        </w:rPr>
        <w:t xml:space="preserve"> </w:t>
      </w:r>
      <w:r w:rsidRPr="007306AD">
        <w:rPr>
          <w:rFonts w:hint="cs"/>
          <w:rtl/>
        </w:rPr>
        <w:t>עובר</w:t>
      </w:r>
      <w:r w:rsidRPr="007306AD">
        <w:rPr>
          <w:rtl/>
        </w:rPr>
        <w:t xml:space="preserve"> </w:t>
      </w:r>
      <w:r w:rsidRPr="007306AD">
        <w:rPr>
          <w:rFonts w:hint="cs"/>
          <w:rtl/>
        </w:rPr>
        <w:t>על</w:t>
      </w:r>
      <w:r w:rsidRPr="007306AD">
        <w:rPr>
          <w:rtl/>
        </w:rPr>
        <w:t xml:space="preserve"> </w:t>
      </w:r>
      <w:r w:rsidRPr="007306AD">
        <w:rPr>
          <w:rFonts w:hint="cs"/>
          <w:rtl/>
        </w:rPr>
        <w:t>כל</w:t>
      </w:r>
      <w:r w:rsidRPr="007306AD">
        <w:rPr>
          <w:rtl/>
        </w:rPr>
        <w:t xml:space="preserve"> </w:t>
      </w:r>
      <w:r w:rsidRPr="007306AD">
        <w:rPr>
          <w:rFonts w:hint="cs"/>
          <w:rtl/>
        </w:rPr>
        <w:t>כזית</w:t>
      </w:r>
      <w:r w:rsidRPr="007306AD">
        <w:rPr>
          <w:rtl/>
        </w:rPr>
        <w:t xml:space="preserve"> </w:t>
      </w:r>
      <w:r w:rsidRPr="007306AD">
        <w:rPr>
          <w:rFonts w:hint="cs"/>
          <w:rtl/>
        </w:rPr>
        <w:t>וכזית</w:t>
      </w:r>
      <w:r w:rsidRPr="007306AD">
        <w:rPr>
          <w:rtl/>
        </w:rPr>
        <w:t xml:space="preserve"> .</w:t>
      </w:r>
      <w:r w:rsidRPr="007306AD">
        <w:rPr>
          <w:rFonts w:ascii="Cambria" w:hAnsi="Cambria" w:cs="Cambria" w:hint="cs"/>
          <w:rtl/>
        </w:rPr>
        <w:t> </w:t>
      </w:r>
      <w:r w:rsidRPr="007306AD">
        <w:rPr>
          <w:rtl/>
        </w:rPr>
        <w:t xml:space="preserve">. </w:t>
      </w:r>
      <w:r w:rsidRPr="007306AD">
        <w:rPr>
          <w:rFonts w:hint="cs"/>
          <w:rtl/>
        </w:rPr>
        <w:t>משא</w:t>
      </w:r>
      <w:r w:rsidRPr="007306AD">
        <w:rPr>
          <w:rtl/>
        </w:rPr>
        <w:t>"</w:t>
      </w:r>
      <w:r w:rsidRPr="007306AD">
        <w:rPr>
          <w:rFonts w:hint="cs"/>
          <w:rtl/>
        </w:rPr>
        <w:t>כ</w:t>
      </w:r>
      <w:r w:rsidRPr="007306AD">
        <w:rPr>
          <w:rtl/>
        </w:rPr>
        <w:t xml:space="preserve"> </w:t>
      </w:r>
      <w:r w:rsidRPr="007306AD">
        <w:rPr>
          <w:rFonts w:hint="cs"/>
          <w:rtl/>
        </w:rPr>
        <w:t>בשחיטה</w:t>
      </w:r>
      <w:r w:rsidRPr="007306AD">
        <w:rPr>
          <w:rtl/>
        </w:rPr>
        <w:t xml:space="preserve"> </w:t>
      </w:r>
      <w:r w:rsidRPr="007306AD">
        <w:rPr>
          <w:rFonts w:hint="cs"/>
          <w:rtl/>
        </w:rPr>
        <w:t>אינו</w:t>
      </w:r>
      <w:r w:rsidRPr="007306AD">
        <w:rPr>
          <w:rtl/>
        </w:rPr>
        <w:t xml:space="preserve"> </w:t>
      </w:r>
      <w:r w:rsidRPr="007306AD">
        <w:rPr>
          <w:rFonts w:hint="cs"/>
          <w:rtl/>
        </w:rPr>
        <w:t>עושה</w:t>
      </w:r>
      <w:r w:rsidRPr="007306AD">
        <w:rPr>
          <w:rtl/>
        </w:rPr>
        <w:t xml:space="preserve"> </w:t>
      </w:r>
      <w:r w:rsidRPr="007306AD">
        <w:rPr>
          <w:rFonts w:hint="cs"/>
          <w:rtl/>
        </w:rPr>
        <w:t>אלא</w:t>
      </w:r>
      <w:r w:rsidRPr="007306AD">
        <w:rPr>
          <w:rtl/>
        </w:rPr>
        <w:t xml:space="preserve"> </w:t>
      </w:r>
      <w:r w:rsidRPr="007306AD">
        <w:rPr>
          <w:rFonts w:hint="cs"/>
          <w:rtl/>
        </w:rPr>
        <w:t>איסור</w:t>
      </w:r>
      <w:r w:rsidRPr="007306AD">
        <w:rPr>
          <w:rtl/>
        </w:rPr>
        <w:t xml:space="preserve"> </w:t>
      </w:r>
      <w:r w:rsidRPr="007306AD">
        <w:rPr>
          <w:rFonts w:hint="cs"/>
          <w:rtl/>
        </w:rPr>
        <w:t>אחד</w:t>
      </w:r>
      <w:r w:rsidRPr="007306AD">
        <w:rPr>
          <w:rtl/>
        </w:rPr>
        <w:t xml:space="preserve"> </w:t>
      </w:r>
      <w:r w:rsidRPr="007306AD">
        <w:rPr>
          <w:rFonts w:hint="cs"/>
          <w:rtl/>
        </w:rPr>
        <w:t>אעפ</w:t>
      </w:r>
      <w:r w:rsidRPr="007306AD">
        <w:rPr>
          <w:rtl/>
        </w:rPr>
        <w:t>"</w:t>
      </w:r>
      <w:r w:rsidRPr="007306AD">
        <w:rPr>
          <w:rFonts w:hint="cs"/>
          <w:rtl/>
        </w:rPr>
        <w:t>י</w:t>
      </w:r>
      <w:r w:rsidRPr="007306AD">
        <w:rPr>
          <w:rtl/>
        </w:rPr>
        <w:t xml:space="preserve"> </w:t>
      </w:r>
      <w:r w:rsidRPr="007306AD">
        <w:rPr>
          <w:rFonts w:hint="cs"/>
          <w:rtl/>
        </w:rPr>
        <w:t>שהוא</w:t>
      </w:r>
      <w:r w:rsidRPr="007306AD">
        <w:rPr>
          <w:rtl/>
        </w:rPr>
        <w:t xml:space="preserve"> </w:t>
      </w:r>
      <w:r w:rsidRPr="007306AD">
        <w:rPr>
          <w:rFonts w:hint="cs"/>
          <w:rtl/>
        </w:rPr>
        <w:t>חמור</w:t>
      </w:r>
      <w:r w:rsidRPr="007306AD">
        <w:rPr>
          <w:rtl/>
        </w:rPr>
        <w:t xml:space="preserve">, </w:t>
      </w:r>
      <w:r w:rsidRPr="007306AD">
        <w:rPr>
          <w:rFonts w:hint="cs"/>
          <w:rtl/>
        </w:rPr>
        <w:t>וראה</w:t>
      </w:r>
      <w:r w:rsidRPr="007306AD">
        <w:rPr>
          <w:rtl/>
        </w:rPr>
        <w:t xml:space="preserve"> </w:t>
      </w:r>
      <w:r w:rsidRPr="007306AD">
        <w:rPr>
          <w:rFonts w:hint="cs"/>
          <w:rtl/>
        </w:rPr>
        <w:t>גם</w:t>
      </w:r>
      <w:r w:rsidRPr="007306AD">
        <w:rPr>
          <w:rtl/>
        </w:rPr>
        <w:t xml:space="preserve"> </w:t>
      </w:r>
      <w:r w:rsidRPr="007306AD">
        <w:rPr>
          <w:rFonts w:hint="cs"/>
          <w:rtl/>
        </w:rPr>
        <w:t>חי</w:t>
      </w:r>
      <w:r w:rsidRPr="007306AD">
        <w:rPr>
          <w:rtl/>
        </w:rPr>
        <w:t>"</w:t>
      </w:r>
      <w:r w:rsidRPr="007306AD">
        <w:rPr>
          <w:rFonts w:hint="cs"/>
          <w:rtl/>
        </w:rPr>
        <w:t>ב</w:t>
      </w:r>
      <w:r w:rsidRPr="007306AD">
        <w:rPr>
          <w:rtl/>
        </w:rPr>
        <w:t xml:space="preserve"> </w:t>
      </w:r>
      <w:r w:rsidRPr="007306AD">
        <w:rPr>
          <w:rFonts w:hint="cs"/>
          <w:rtl/>
        </w:rPr>
        <w:t>ע</w:t>
      </w:r>
      <w:r w:rsidRPr="007306AD">
        <w:rPr>
          <w:rtl/>
        </w:rPr>
        <w:t xml:space="preserve">' 126 </w:t>
      </w:r>
      <w:r w:rsidRPr="007306AD">
        <w:rPr>
          <w:rFonts w:hint="cs"/>
          <w:rtl/>
        </w:rPr>
        <w:t>וחט</w:t>
      </w:r>
      <w:r w:rsidRPr="007306AD">
        <w:rPr>
          <w:rtl/>
        </w:rPr>
        <w:t>"</w:t>
      </w:r>
      <w:r w:rsidRPr="007306AD">
        <w:rPr>
          <w:rFonts w:hint="cs"/>
          <w:rtl/>
        </w:rPr>
        <w:t>ו</w:t>
      </w:r>
      <w:r w:rsidRPr="007306AD">
        <w:rPr>
          <w:rtl/>
        </w:rPr>
        <w:t xml:space="preserve"> </w:t>
      </w:r>
      <w:r w:rsidRPr="007306AD">
        <w:rPr>
          <w:rFonts w:hint="cs"/>
          <w:rtl/>
        </w:rPr>
        <w:t>ע</w:t>
      </w:r>
      <w:r w:rsidRPr="007306AD">
        <w:rPr>
          <w:rtl/>
        </w:rPr>
        <w:t xml:space="preserve">' 487 </w:t>
      </w:r>
      <w:r w:rsidRPr="007306AD">
        <w:rPr>
          <w:rFonts w:hint="cs"/>
          <w:rtl/>
        </w:rPr>
        <w:t>וחכ</w:t>
      </w:r>
      <w:r w:rsidRPr="007306AD">
        <w:rPr>
          <w:rtl/>
        </w:rPr>
        <w:t>"</w:t>
      </w:r>
      <w:r w:rsidRPr="007306AD">
        <w:rPr>
          <w:rFonts w:hint="cs"/>
          <w:rtl/>
        </w:rPr>
        <w:t>ד</w:t>
      </w:r>
      <w:r w:rsidRPr="007306AD">
        <w:rPr>
          <w:rtl/>
        </w:rPr>
        <w:t xml:space="preserve"> ע' 95 ועוד בכ"מ.</w:t>
      </w:r>
    </w:p>
    <w:p w:rsidR="00900523" w:rsidRPr="007306AD" w:rsidRDefault="00900523" w:rsidP="00F146A6">
      <w:pPr>
        <w:pStyle w:val="a3"/>
        <w:rPr>
          <w:rtl/>
        </w:rPr>
      </w:pPr>
      <w:r w:rsidRPr="007306AD">
        <w:rPr>
          <w:rtl/>
        </w:rPr>
        <w:t xml:space="preserve">ועד"ז אפ"ל הכא לפי הכלל דלא עביד הקב"ה ניסא למגנא, דאם ריבוי כמות חמירא ומכריע האיכות צ"ל שהנס הי' כאופן הב' שנתהפכה לגמרי בפעם אחת ולא שצ"ל המשך עשיית הנס בכל רגע, אבל אם נימא דאיכות מכריע ריבוי כמות י"ל כאופן </w:t>
      </w:r>
      <w:r>
        <w:rPr>
          <w:rtl/>
        </w:rPr>
        <w:t>הא' דטוב יותר שימשך הנס בכל רגע</w:t>
      </w:r>
      <w:r>
        <w:rPr>
          <w:rFonts w:hint="cs"/>
          <w:rtl/>
        </w:rPr>
        <w:t>.</w:t>
      </w:r>
      <w:r w:rsidRPr="007306AD">
        <w:rPr>
          <w:rtl/>
        </w:rPr>
        <w:t xml:space="preserve"> </w:t>
      </w:r>
    </w:p>
    <w:p w:rsidR="00900523" w:rsidRPr="007306AD" w:rsidRDefault="00900523" w:rsidP="00F146A6">
      <w:pPr>
        <w:pStyle w:val="a3"/>
        <w:rPr>
          <w:rtl/>
        </w:rPr>
      </w:pPr>
      <w:r>
        <w:rPr>
          <w:rFonts w:hint="cs"/>
          <w:rtl/>
        </w:rPr>
        <w:t xml:space="preserve">ד) שם </w:t>
      </w:r>
      <w:r w:rsidRPr="007306AD">
        <w:rPr>
          <w:rtl/>
        </w:rPr>
        <w:t>בביאור הסוגיא (נדה ע, ב) ד"שלשה דברי בורות, אשתו של לוט וכו'" מביא הרבי הקושיא שהובאה בשם ראשונים מפני מה לא שאלו לבן הצרפתית דקדם לבן השונמית עיי"ש, ובלקו"ש חי"ח (פ' חוקת ב') הערה 20 הובא משו"ת הרדב"ז (ב' אלפים רג) דמזה יש להביא ראי' כדעת האומרים דבן הצרפתית לא מת וכן הביא הרד"ק (מלכים א' יז, יז) בשם יש מי שאומר עיי"ש, וכן הובא ממו"נ ח"א פמ"ב, ובמפרשי המו"נ שקו"ט בכוונת הרמב"ם עיי"ש, (ויש להוסיף גם בשו"ת חת"ס יו"ד סי' שלח דשקו"ט בדעת הרמב"ם במו"נ ומסיק דלדעת הרמב"ם בן הצרפתית מת משא"כ בן השונמית אפשר דלא מת ולדעת אנדלוסין הוא בהיפך עיי"ש).</w:t>
      </w:r>
    </w:p>
    <w:p w:rsidR="00900523" w:rsidRPr="007306AD" w:rsidRDefault="00900523" w:rsidP="00F146A6">
      <w:pPr>
        <w:pStyle w:val="a3"/>
        <w:rPr>
          <w:rtl/>
        </w:rPr>
      </w:pPr>
      <w:r w:rsidRPr="007306AD">
        <w:rPr>
          <w:rtl/>
        </w:rPr>
        <w:lastRenderedPageBreak/>
        <w:t>ויש להוסיף בענין זה, דבקושיית התוס' (ב"מ קיד, ב) בד"ה אמר ליה דהאיך החיה אליהו בנה של האלמנה הא הי' כהן ואסור לו לטמאות, הנה בשטמ"ק שם תירץ בשם רבנו פרץ דלא מת ממש אלא נתעלף והיינו דכתיב אשר לא נותרה בו נשמה עיי"ש, ועי' גם בהעמק שאלה (קסז אות יז) שכ"כ מדיליה, ומביא גם הראי' מה ששאלו מבן השונמית דוקא ולא מבן הצרפתית, וכן משמע בדברים רבה פ' האזינו (פ"י אות ג) דחשיב אלישע החי' את המת ולא חשיב אליהו, אבל בבראשית רבה פע"ז חשיב גם אליהו וכן הוא בפסחים סח, א, עתידין צדיקים שיחיו את המתים כו' בשן זה אלישע גלעד זה אליהו כו', ומסיק שמדרשים חלוקים הם, (ויש להעיר גם דלפי אותה הדיעה דבן הצרפתית לא מת ממש אפשר לבאר למה רק בבן הצרפתית כתוב תשוב נא נפש הילד ולא כתוב כן אצל בן השונמית וכדדייק בהרשימה כיון דסב"ל שלא מת ממש), וראה פרקי דר"א פל"ג שכתב בהדיא דחלה ומת ובהגהות רד"ל שם (אות ד) האריך בזה וכתב דנראה דאנשי אלכסנדריא היו חושבים דלא מת ממש ולכן לא שאלו מבן הצרפתית, וזהו גם הטעם דכשענה להם מת מטמא ואין חי מטמא לא הביא להם ראי' מאליהו שהי' כהן דבשלמא למה נטמא לו מקודם א"ש משום פקוח נפש כמו שכתבו התוס' בב"מ שם, אבל אי נימא דגם אח"כ מטמא איך נגע בו אח"כ כדכתיב ויקח אליהו את הילד וגו' ומוכח דשוב אינו מטמא, אלא דכיון לפי שיטתם לא מת ליכא מזה שום ראי' עיי"ש.</w:t>
      </w:r>
    </w:p>
    <w:p w:rsidR="00900523" w:rsidRPr="007306AD" w:rsidRDefault="00900523" w:rsidP="00F146A6">
      <w:pPr>
        <w:pStyle w:val="a3"/>
        <w:rPr>
          <w:rtl/>
        </w:rPr>
      </w:pPr>
      <w:r w:rsidRPr="007306AD">
        <w:rPr>
          <w:rtl/>
        </w:rPr>
        <w:t>ועי' גם סנהדרין קיג, א, ביקש אליהו רחמים למסור לו מפתח של תחיית המתים וכו' ובמדבר רבה (נשא פי"ד, א) שאליהו מעיד שכבר החייתי את המת בנה של הצרפתית ועוד. והרבי בהרשימה לא נחית לשקו"ט זה כיון דבפשטות הוא כדמסיק הרדב"ז דנתברר בכ"מ בתלמוד ובמדרשות שאליהו החיה את המת.</w:t>
      </w:r>
    </w:p>
    <w:p w:rsidR="00900523" w:rsidRPr="007306AD" w:rsidRDefault="00900523" w:rsidP="00F146A6">
      <w:pPr>
        <w:pStyle w:val="11"/>
        <w:rPr>
          <w:rtl/>
        </w:rPr>
      </w:pPr>
      <w:bookmarkStart w:id="107" w:name="_Toc411326470"/>
      <w:r w:rsidRPr="007306AD">
        <w:rPr>
          <w:rFonts w:hint="cs"/>
          <w:rtl/>
        </w:rPr>
        <w:t>הנס</w:t>
      </w:r>
      <w:r w:rsidRPr="007306AD">
        <w:rPr>
          <w:rtl/>
        </w:rPr>
        <w:t xml:space="preserve"> </w:t>
      </w:r>
      <w:r w:rsidRPr="007306AD">
        <w:rPr>
          <w:rFonts w:hint="cs"/>
          <w:rtl/>
        </w:rPr>
        <w:t>דמכת</w:t>
      </w:r>
      <w:r w:rsidRPr="007306AD">
        <w:rPr>
          <w:rtl/>
        </w:rPr>
        <w:t xml:space="preserve"> </w:t>
      </w:r>
      <w:r w:rsidRPr="007306AD">
        <w:rPr>
          <w:rFonts w:hint="cs"/>
          <w:rtl/>
        </w:rPr>
        <w:t>דם</w:t>
      </w:r>
      <w:bookmarkEnd w:id="107"/>
    </w:p>
    <w:p w:rsidR="00900523" w:rsidRPr="007306AD" w:rsidRDefault="00900523" w:rsidP="00F146A6">
      <w:pPr>
        <w:pStyle w:val="a3"/>
        <w:rPr>
          <w:rtl/>
        </w:rPr>
      </w:pPr>
      <w:r>
        <w:rPr>
          <w:rFonts w:hint="cs"/>
          <w:rtl/>
        </w:rPr>
        <w:t>ה</w:t>
      </w:r>
      <w:r w:rsidRPr="007306AD">
        <w:rPr>
          <w:rtl/>
        </w:rPr>
        <w:t xml:space="preserve">) במש"ש דבאופן הנס דמכת דם אפשר לבאר בב' אופנים: א) שהנס נמשך בכל רגע כי נשאר מציאותו מים, ב) דברגע אחד נהפכו המים לים עיי"ש. – יש להעיר גם ממ"ש בלקו"ש חכ"ו פ' וארא (ב) ע' 51 שבכללות מצינו ב' אופנים בנס כנ"ל, ולאופן הא' שלא נשתנה מהות הדבר, מביא דוגמא ממכת דם וסב"ל בפשיטות שהי' צריך נס בכל רגע לעשותו לדם, ומביא ראי' לזה שלא נאמר בהכתוב ע"ד החזרת המים לדם למים כמ"ש בצפרדע, שהי' פעולה ונס פרטי שהדם יחזור למים עיי"ש, וכדמוכח גם מהא דגיגית מלאה מים ישראל שותה מים והמצרי דם (ראה בההערות שם) וכן הוא בלקו"ש ח"ה ע' </w:t>
      </w:r>
      <w:r w:rsidRPr="007306AD">
        <w:rPr>
          <w:rFonts w:ascii="Rod" w:hAnsi="Rod"/>
          <w:rtl/>
        </w:rPr>
        <w:t>176</w:t>
      </w:r>
      <w:r w:rsidRPr="007306AD">
        <w:rPr>
          <w:rtl/>
        </w:rPr>
        <w:t xml:space="preserve"> וראה גם חל"א וארא ג', וראה בס' פרדס יוסף (וארא ז, כא) שחקר ג"כ באופן הנס דדם כנ"ל אם כאופן הא' או כאופן הב' ומביא ראי' כאופן הא' ממ"ש והדגה אשר ביאור מתו דלכאורה פשיטא כיון שנעשה דם פשיטא דמתו, משא"כ לאופן הא' ניחא דכיון דבעצם הי' מים לכן הי' צריך לנס מיוחד שהדגים ימותו, ומקשה דלכאורה מצד דלא עביד הקב"ה ניסא למגנא הי' צ"ל יותר כאופן הא', (משא"כ </w:t>
      </w:r>
      <w:r w:rsidRPr="007306AD">
        <w:rPr>
          <w:rtl/>
        </w:rPr>
        <w:lastRenderedPageBreak/>
        <w:t xml:space="preserve">בהרשימה נסתפק בזה) ומבאר דאם הי' כאופן הב' נמצא דבכדי שאצל ישראל יהי' זה </w:t>
      </w:r>
      <w:r w:rsidRPr="00426AD7">
        <w:rPr>
          <w:rFonts w:hint="cs"/>
          <w:bCs/>
          <w:rtl/>
        </w:rPr>
        <w:t>מים</w:t>
      </w:r>
      <w:r>
        <w:rPr>
          <w:rFonts w:hint="cs"/>
          <w:rtl/>
        </w:rPr>
        <w:t xml:space="preserve"> </w:t>
      </w:r>
      <w:r w:rsidRPr="007306AD">
        <w:rPr>
          <w:rtl/>
        </w:rPr>
        <w:t>צריכים לזה נס מיוחד, ואז לא היו ישראל יכולים ליהנות ממנו משום דאין נהנין ממעשה נסים, משא"כ כשהנס הי' ביד מצרים הרי זה מותר לישראל עיי"ש</w:t>
      </w:r>
      <w:r>
        <w:rPr>
          <w:rFonts w:hint="cs"/>
          <w:rtl/>
        </w:rPr>
        <w:t>.</w:t>
      </w:r>
    </w:p>
    <w:p w:rsidR="00900523" w:rsidRPr="000836F8" w:rsidRDefault="00900523" w:rsidP="00900523">
      <w:pPr>
        <w:bidi/>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AD6297" w:rsidRDefault="00AD6297" w:rsidP="00AD6297">
      <w:pPr>
        <w:pStyle w:val="a0"/>
        <w:bidi w:val="0"/>
        <w:rPr>
          <w:rtl/>
        </w:rPr>
      </w:pPr>
      <w:bookmarkStart w:id="108" w:name="_Toc43963083"/>
      <w:r>
        <w:rPr>
          <w:rFonts w:hint="cs"/>
          <w:rtl/>
        </w:rPr>
        <w:t>בפיך ובלבבך לעשותו -  מחשבה דיבור ומעשה</w:t>
      </w:r>
      <w:bookmarkEnd w:id="108"/>
    </w:p>
    <w:p w:rsidR="00AD6297" w:rsidRDefault="00AD6297" w:rsidP="00F146A6">
      <w:pPr>
        <w:pStyle w:val="a"/>
        <w:rPr>
          <w:rtl/>
        </w:rPr>
      </w:pPr>
      <w:bookmarkStart w:id="109" w:name="_Toc43963084"/>
      <w:r>
        <w:rPr>
          <w:rFonts w:hint="cs"/>
          <w:rtl/>
        </w:rPr>
        <w:t>הרב משה מרקוביץ</w:t>
      </w:r>
      <w:bookmarkEnd w:id="109"/>
    </w:p>
    <w:p w:rsidR="00AD6297" w:rsidRDefault="00AD6297" w:rsidP="00AD6297">
      <w:pPr>
        <w:pStyle w:val="a1"/>
        <w:rPr>
          <w:rtl/>
        </w:rPr>
      </w:pPr>
      <w:r>
        <w:rPr>
          <w:rFonts w:hint="cs"/>
          <w:rtl/>
        </w:rPr>
        <w:t>ברוקלין, נ.י.</w:t>
      </w:r>
    </w:p>
    <w:p w:rsidR="00AD6297" w:rsidRPr="00AD6297" w:rsidRDefault="00AD6297" w:rsidP="00F146A6">
      <w:pPr>
        <w:pStyle w:val="a3"/>
        <w:rPr>
          <w:rtl/>
        </w:rPr>
      </w:pPr>
      <w:r w:rsidRPr="00AD6297">
        <w:rPr>
          <w:rFonts w:hint="cs"/>
          <w:rtl/>
        </w:rPr>
        <w:t>בלקוטי שיחות חלק כו ע' 321 איתא בפשטות שג' הפרטים בפסוק "בפיך ובלבבך לעשותו", הם כנגד ג' הלבושים דמחשבה דיבור ומעשה. בפיך דיבור, בלבבך מחשבה, לעשותו מעשה. וכ"ה בד"ה כי קרוב תרפ"א (סה"מ תרפ"א ע' שכג) ובכ"מ.</w:t>
      </w:r>
    </w:p>
    <w:p w:rsidR="00AD6297" w:rsidRPr="00AD6297" w:rsidRDefault="00AD6297" w:rsidP="00F146A6">
      <w:pPr>
        <w:pStyle w:val="a3"/>
        <w:rPr>
          <w:rtl/>
        </w:rPr>
      </w:pPr>
      <w:r w:rsidRPr="00AD6297">
        <w:rPr>
          <w:rFonts w:hint="cs"/>
          <w:rtl/>
        </w:rPr>
        <w:t>והעירני ח"א שבעצם הדבר מפורש בשל"ה (הלכות תשובה, רלב, ב) בשם ספר מרפא לנפש, שג' הדברים שבפסוק זה קאי על מחשבה דיבור ומעשה.  שם מדבר על ג' בחינות בתשובה, וידוי בפה, חרטת הלב, והמעשה לא רק עזיבת החטא אלא גם מעשים היפך העבירות. וזהו לפי הפירוש שהכתוב "כי קרוב אליך הדבר" קאי על מצות התשובה.</w:t>
      </w:r>
    </w:p>
    <w:p w:rsidR="00AD6297" w:rsidRDefault="00AD6297" w:rsidP="00F146A6">
      <w:pPr>
        <w:pStyle w:val="a3"/>
        <w:rPr>
          <w:rtl/>
        </w:rPr>
      </w:pPr>
      <w:r w:rsidRPr="00AD6297">
        <w:rPr>
          <w:rFonts w:hint="cs"/>
          <w:rtl/>
        </w:rPr>
        <w:t>ולא באתי אלא להעיר.</w:t>
      </w:r>
    </w:p>
    <w:p w:rsidR="00F80C08" w:rsidRDefault="00F80C08" w:rsidP="00F80C08">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2A5F4C" w:rsidRPr="002A5F4C" w:rsidRDefault="002A5F4C" w:rsidP="002A5F4C">
      <w:pPr>
        <w:pStyle w:val="a0"/>
        <w:rPr>
          <w:rFonts w:ascii="Times New Roman" w:hAnsi="Times New Roman" w:cs="Times New Roman"/>
          <w:sz w:val="24"/>
          <w:szCs w:val="24"/>
        </w:rPr>
      </w:pPr>
      <w:bookmarkStart w:id="110" w:name="_Toc43963085"/>
      <w:r w:rsidRPr="002A5F4C">
        <w:rPr>
          <w:rtl/>
        </w:rPr>
        <w:t>"אל יאמר אדם אי אפשי" לפי שיטת הרמב"ם, רש"י, וחסידות</w:t>
      </w:r>
      <w:bookmarkEnd w:id="110"/>
    </w:p>
    <w:p w:rsidR="002A5F4C" w:rsidRPr="002A5F4C" w:rsidRDefault="002A5F4C" w:rsidP="00F146A6">
      <w:pPr>
        <w:pStyle w:val="a"/>
        <w:rPr>
          <w:rtl/>
        </w:rPr>
      </w:pPr>
      <w:bookmarkStart w:id="111" w:name="_Toc41543745"/>
      <w:bookmarkStart w:id="112" w:name="_Toc43963086"/>
      <w:r w:rsidRPr="002A5F4C">
        <w:rPr>
          <w:rFonts w:hint="cs"/>
          <w:rtl/>
        </w:rPr>
        <w:t>הרב לוי לברטוב</w:t>
      </w:r>
      <w:bookmarkEnd w:id="111"/>
      <w:bookmarkEnd w:id="112"/>
    </w:p>
    <w:p w:rsidR="002A5F4C" w:rsidRPr="002A5F4C" w:rsidRDefault="002A5F4C" w:rsidP="002A5F4C">
      <w:pPr>
        <w:spacing w:after="120" w:line="240" w:lineRule="auto"/>
        <w:rPr>
          <w:rFonts w:ascii="AAd_Livorna4" w:eastAsia="Calibri" w:hAnsi="AAd_Livorna4" w:cs="AAd_Livorna4"/>
          <w:sz w:val="23"/>
          <w:szCs w:val="23"/>
        </w:rPr>
      </w:pPr>
      <w:r w:rsidRPr="002A5F4C">
        <w:rPr>
          <w:rFonts w:ascii="AAd_Livorna4" w:eastAsia="Calibri" w:hAnsi="AAd_Livorna4" w:cs="AAd_Livorna4"/>
          <w:sz w:val="23"/>
          <w:szCs w:val="23"/>
          <w:rtl/>
        </w:rPr>
        <w:t>'כולל מנחם' שע"י מזכירות כ"ק אדמו"ר</w:t>
      </w:r>
    </w:p>
    <w:p w:rsidR="002A5F4C" w:rsidRPr="002A5F4C" w:rsidRDefault="002A5F4C" w:rsidP="00F146A6">
      <w:pPr>
        <w:pStyle w:val="a3"/>
        <w:rPr>
          <w:rFonts w:ascii="Times New Roman" w:hAnsi="Times New Roman" w:cs="Times New Roman"/>
        </w:rPr>
      </w:pPr>
      <w:r w:rsidRPr="002A5F4C">
        <w:rPr>
          <w:rtl/>
        </w:rPr>
        <w:t>על הכתוב בס"פ קדושים, וִהְיִ</w:t>
      </w:r>
      <w:r w:rsidRPr="002A5F4C">
        <w:rPr>
          <w:rFonts w:ascii="Times New Roman" w:hAnsi="Times New Roman" w:cs="Times New Roman" w:hint="cs"/>
          <w:rtl/>
        </w:rPr>
        <w:t>֤</w:t>
      </w:r>
      <w:r w:rsidRPr="002A5F4C">
        <w:rPr>
          <w:rFonts w:hint="cs"/>
          <w:rtl/>
        </w:rPr>
        <w:t>יתֶם</w:t>
      </w:r>
      <w:r w:rsidRPr="002A5F4C">
        <w:rPr>
          <w:rtl/>
        </w:rPr>
        <w:t xml:space="preserve"> </w:t>
      </w:r>
      <w:r w:rsidRPr="002A5F4C">
        <w:rPr>
          <w:rFonts w:hint="cs"/>
          <w:rtl/>
        </w:rPr>
        <w:t>לִי</w:t>
      </w:r>
      <w:r w:rsidRPr="002A5F4C">
        <w:rPr>
          <w:rFonts w:ascii="Times New Roman" w:hAnsi="Times New Roman" w:cs="Times New Roman" w:hint="cs"/>
          <w:rtl/>
        </w:rPr>
        <w:t>֙</w:t>
      </w:r>
      <w:r w:rsidRPr="002A5F4C">
        <w:rPr>
          <w:rtl/>
        </w:rPr>
        <w:t xml:space="preserve"> </w:t>
      </w:r>
      <w:r w:rsidRPr="002A5F4C">
        <w:rPr>
          <w:rFonts w:hint="cs"/>
          <w:rtl/>
        </w:rPr>
        <w:t>קְדֹשִׁ</w:t>
      </w:r>
      <w:r w:rsidRPr="002A5F4C">
        <w:rPr>
          <w:rFonts w:ascii="Times New Roman" w:hAnsi="Times New Roman" w:cs="Times New Roman" w:hint="cs"/>
          <w:rtl/>
        </w:rPr>
        <w:t>֔</w:t>
      </w:r>
      <w:r w:rsidRPr="002A5F4C">
        <w:rPr>
          <w:rFonts w:hint="cs"/>
          <w:rtl/>
        </w:rPr>
        <w:t>ים</w:t>
      </w:r>
      <w:r w:rsidRPr="002A5F4C">
        <w:rPr>
          <w:rtl/>
        </w:rPr>
        <w:t xml:space="preserve"> </w:t>
      </w:r>
      <w:r w:rsidRPr="002A5F4C">
        <w:rPr>
          <w:rFonts w:hint="cs"/>
          <w:rtl/>
        </w:rPr>
        <w:t>כִּ</w:t>
      </w:r>
      <w:r w:rsidRPr="002A5F4C">
        <w:rPr>
          <w:rFonts w:ascii="Times New Roman" w:hAnsi="Times New Roman" w:cs="Times New Roman" w:hint="cs"/>
          <w:rtl/>
        </w:rPr>
        <w:t>֥</w:t>
      </w:r>
      <w:r w:rsidRPr="002A5F4C">
        <w:rPr>
          <w:rFonts w:hint="cs"/>
          <w:rtl/>
        </w:rPr>
        <w:t>י</w:t>
      </w:r>
      <w:r w:rsidRPr="002A5F4C">
        <w:rPr>
          <w:rtl/>
        </w:rPr>
        <w:t xml:space="preserve"> </w:t>
      </w:r>
      <w:r w:rsidRPr="002A5F4C">
        <w:rPr>
          <w:rFonts w:hint="cs"/>
          <w:rtl/>
        </w:rPr>
        <w:t>קָד</w:t>
      </w:r>
      <w:r w:rsidRPr="002A5F4C">
        <w:rPr>
          <w:rFonts w:ascii="Times New Roman" w:hAnsi="Times New Roman" w:cs="Times New Roman" w:hint="cs"/>
          <w:rtl/>
        </w:rPr>
        <w:t>֖</w:t>
      </w:r>
      <w:r w:rsidRPr="002A5F4C">
        <w:rPr>
          <w:rFonts w:hint="cs"/>
          <w:rtl/>
        </w:rPr>
        <w:t>וֹשׁ</w:t>
      </w:r>
      <w:r w:rsidRPr="002A5F4C">
        <w:rPr>
          <w:rtl/>
        </w:rPr>
        <w:t xml:space="preserve"> </w:t>
      </w:r>
      <w:r w:rsidRPr="002A5F4C">
        <w:rPr>
          <w:rFonts w:hint="cs"/>
          <w:rtl/>
        </w:rPr>
        <w:t>אֲנִ</w:t>
      </w:r>
      <w:r w:rsidRPr="002A5F4C">
        <w:rPr>
          <w:rFonts w:ascii="Times New Roman" w:hAnsi="Times New Roman" w:cs="Times New Roman" w:hint="cs"/>
          <w:rtl/>
        </w:rPr>
        <w:t>֣</w:t>
      </w:r>
      <w:r w:rsidRPr="002A5F4C">
        <w:rPr>
          <w:rFonts w:hint="cs"/>
          <w:rtl/>
        </w:rPr>
        <w:t>י</w:t>
      </w:r>
      <w:r w:rsidRPr="002A5F4C">
        <w:rPr>
          <w:rtl/>
        </w:rPr>
        <w:t xml:space="preserve"> </w:t>
      </w:r>
      <w:r w:rsidRPr="002A5F4C">
        <w:rPr>
          <w:rFonts w:hint="cs"/>
          <w:rtl/>
        </w:rPr>
        <w:t>ה</w:t>
      </w:r>
      <w:r w:rsidRPr="002A5F4C">
        <w:rPr>
          <w:rtl/>
        </w:rPr>
        <w:t xml:space="preserve">' </w:t>
      </w:r>
      <w:r w:rsidRPr="002A5F4C">
        <w:rPr>
          <w:rFonts w:hint="cs"/>
          <w:rtl/>
        </w:rPr>
        <w:t>וָאַבְדִּ</w:t>
      </w:r>
      <w:r w:rsidRPr="002A5F4C">
        <w:rPr>
          <w:rFonts w:ascii="Times New Roman" w:hAnsi="Times New Roman" w:cs="Times New Roman" w:hint="cs"/>
          <w:rtl/>
        </w:rPr>
        <w:t>֥</w:t>
      </w:r>
      <w:r w:rsidRPr="002A5F4C">
        <w:rPr>
          <w:rFonts w:hint="cs"/>
          <w:rtl/>
        </w:rPr>
        <w:t>ל</w:t>
      </w:r>
      <w:r w:rsidRPr="002A5F4C">
        <w:rPr>
          <w:rtl/>
        </w:rPr>
        <w:t xml:space="preserve"> </w:t>
      </w:r>
      <w:r w:rsidRPr="002A5F4C">
        <w:rPr>
          <w:rFonts w:hint="cs"/>
          <w:rtl/>
        </w:rPr>
        <w:t>אֶתְכֶ</w:t>
      </w:r>
      <w:r w:rsidRPr="002A5F4C">
        <w:rPr>
          <w:rFonts w:ascii="Times New Roman" w:hAnsi="Times New Roman" w:cs="Times New Roman" w:hint="cs"/>
          <w:rtl/>
        </w:rPr>
        <w:t>֛</w:t>
      </w:r>
      <w:r w:rsidRPr="002A5F4C">
        <w:rPr>
          <w:rFonts w:hint="cs"/>
          <w:rtl/>
        </w:rPr>
        <w:t>ם</w:t>
      </w:r>
      <w:r w:rsidRPr="002A5F4C">
        <w:rPr>
          <w:rtl/>
        </w:rPr>
        <w:t xml:space="preserve"> </w:t>
      </w:r>
      <w:r w:rsidRPr="002A5F4C">
        <w:rPr>
          <w:rFonts w:hint="cs"/>
          <w:rtl/>
        </w:rPr>
        <w:t>מִן־הָֽעַמִּ</w:t>
      </w:r>
      <w:r w:rsidRPr="002A5F4C">
        <w:rPr>
          <w:rFonts w:ascii="Times New Roman" w:hAnsi="Times New Roman" w:cs="Times New Roman" w:hint="cs"/>
          <w:rtl/>
        </w:rPr>
        <w:t>֖</w:t>
      </w:r>
      <w:r w:rsidRPr="002A5F4C">
        <w:rPr>
          <w:rFonts w:hint="cs"/>
          <w:rtl/>
        </w:rPr>
        <w:t>ים</w:t>
      </w:r>
      <w:r w:rsidRPr="002A5F4C">
        <w:rPr>
          <w:rtl/>
        </w:rPr>
        <w:t xml:space="preserve"> </w:t>
      </w:r>
      <w:r w:rsidRPr="002A5F4C">
        <w:rPr>
          <w:rFonts w:hint="cs"/>
          <w:rtl/>
        </w:rPr>
        <w:t>לִהְי</w:t>
      </w:r>
      <w:r w:rsidRPr="002A5F4C">
        <w:rPr>
          <w:rFonts w:ascii="Times New Roman" w:hAnsi="Times New Roman" w:cs="Times New Roman" w:hint="cs"/>
          <w:rtl/>
        </w:rPr>
        <w:t>֥</w:t>
      </w:r>
      <w:r w:rsidRPr="002A5F4C">
        <w:rPr>
          <w:rFonts w:hint="cs"/>
          <w:rtl/>
        </w:rPr>
        <w:t>וֹת</w:t>
      </w:r>
      <w:r w:rsidRPr="002A5F4C">
        <w:rPr>
          <w:rtl/>
        </w:rPr>
        <w:t xml:space="preserve"> </w:t>
      </w:r>
      <w:r w:rsidRPr="002A5F4C">
        <w:rPr>
          <w:rFonts w:hint="cs"/>
          <w:rtl/>
        </w:rPr>
        <w:t>לִֽי</w:t>
      </w:r>
      <w:r w:rsidRPr="002A5F4C">
        <w:rPr>
          <w:rtl/>
        </w:rPr>
        <w:t xml:space="preserve">, </w:t>
      </w:r>
      <w:r w:rsidRPr="002A5F4C">
        <w:rPr>
          <w:rFonts w:hint="cs"/>
          <w:rtl/>
        </w:rPr>
        <w:t>כתוב</w:t>
      </w:r>
      <w:r w:rsidRPr="002A5F4C">
        <w:rPr>
          <w:rtl/>
        </w:rPr>
        <w:t xml:space="preserve"> </w:t>
      </w:r>
      <w:r w:rsidRPr="002A5F4C">
        <w:rPr>
          <w:rFonts w:hint="cs"/>
          <w:rtl/>
        </w:rPr>
        <w:t>בספרא</w:t>
      </w:r>
      <w:r w:rsidRPr="002A5F4C">
        <w:rPr>
          <w:rtl/>
        </w:rPr>
        <w:t>:</w:t>
      </w:r>
    </w:p>
    <w:p w:rsidR="002A5F4C" w:rsidRPr="002A5F4C" w:rsidRDefault="002A5F4C" w:rsidP="00F146A6">
      <w:pPr>
        <w:pStyle w:val="a3"/>
        <w:rPr>
          <w:rFonts w:ascii="Times New Roman" w:hAnsi="Times New Roman" w:cs="Times New Roman"/>
          <w:rtl/>
        </w:rPr>
      </w:pPr>
      <w:r w:rsidRPr="002A5F4C">
        <w:rPr>
          <w:b/>
          <w:bCs/>
          <w:rtl/>
        </w:rPr>
        <w:t xml:space="preserve">ואבדל אתכם וגו'. </w:t>
      </w:r>
      <w:r w:rsidRPr="002A5F4C">
        <w:rPr>
          <w:rtl/>
        </w:rPr>
        <w:t>ר' אלעזר בן עזריה אומר מנין שלא יאמר אדם "אי אפשי ללבוש שעטנז. אי אפשי לאכול בשר חזיר. אי אפשי לבוא על הערוה" אבל "אפשי ומה אעשה ואבי שבשמים גזר עלי כך"? תלמוד לומר "ואבדיל אתכם מן העמים להיות לי"- נמצא פורש מן העבירה ומקבל עליו עול מלכות שמים.</w:t>
      </w:r>
    </w:p>
    <w:p w:rsidR="002A5F4C" w:rsidRPr="002A5F4C" w:rsidRDefault="002A5F4C" w:rsidP="00F146A6">
      <w:pPr>
        <w:pStyle w:val="a3"/>
        <w:rPr>
          <w:rFonts w:ascii="Times New Roman" w:hAnsi="Times New Roman" w:cs="Times New Roman"/>
        </w:rPr>
      </w:pPr>
      <w:r w:rsidRPr="002A5F4C">
        <w:rPr>
          <w:rtl/>
        </w:rPr>
        <w:t xml:space="preserve">בגליון הקודם שאלנו שרש"י מעתיק דרשה זו כמעט מילה במילה, אבל בשינוי א' </w:t>
      </w:r>
      <w:r w:rsidRPr="002A5F4C">
        <w:rPr>
          <w:rtl/>
        </w:rPr>
        <w:lastRenderedPageBreak/>
        <w:t xml:space="preserve">גדול: הוא </w:t>
      </w:r>
      <w:r w:rsidRPr="002A5F4C">
        <w:rPr>
          <w:b/>
          <w:bCs/>
          <w:rtl/>
        </w:rPr>
        <w:t xml:space="preserve">משמיט </w:t>
      </w:r>
      <w:r w:rsidRPr="002A5F4C">
        <w:rPr>
          <w:rtl/>
        </w:rPr>
        <w:t>הדוגמא של עריות. ולכאורה צריך ביאור היטיב, שהרי פסוק זה באה בהמשך לכל פרשת עריות, ולמה רש"י משמיטו?</w:t>
      </w:r>
    </w:p>
    <w:p w:rsidR="002A5F4C" w:rsidRPr="002A5F4C" w:rsidRDefault="002A5F4C" w:rsidP="00F146A6">
      <w:pPr>
        <w:pStyle w:val="a3"/>
        <w:rPr>
          <w:rFonts w:ascii="Times New Roman" w:hAnsi="Times New Roman" w:cs="Times New Roman"/>
        </w:rPr>
      </w:pPr>
      <w:r w:rsidRPr="002A5F4C">
        <w:rPr>
          <w:rtl/>
        </w:rPr>
        <w:t>וז"ל רש"י: רבי אלעזר בן עזריה אומר מנין שלא יאמר אדם נפשי קצה בבשר חזיר, אי אפשי ללבוש כלאים, אבל יאמר אפשי, ומה אעשה ואבי שבשמים גזר עלי, תלמוד לומר ואבדיל אתכם מן העמים להיות לי, שתהא הבדלתכם מהם לשמי, פורש מן העבירה ומקבל עליו עול מלכות שמים:</w:t>
      </w:r>
    </w:p>
    <w:p w:rsidR="002A5F4C" w:rsidRPr="002A5F4C" w:rsidRDefault="002A5F4C" w:rsidP="00F146A6">
      <w:pPr>
        <w:pStyle w:val="a3"/>
        <w:rPr>
          <w:rFonts w:ascii="Times New Roman" w:hAnsi="Times New Roman" w:cs="Times New Roman"/>
        </w:rPr>
      </w:pPr>
      <w:r w:rsidRPr="002A5F4C">
        <w:rPr>
          <w:rtl/>
        </w:rPr>
        <w:t>בגליון הקודם כתבנו כמה סברות בזה, אבל לכאורה יש בזה עומק גדול וחילוק גם בין בהדרושים, וכדלהלן.</w:t>
      </w:r>
    </w:p>
    <w:p w:rsidR="002A5F4C" w:rsidRPr="002A5F4C" w:rsidRDefault="002A5F4C" w:rsidP="00F146A6">
      <w:pPr>
        <w:pStyle w:val="11"/>
        <w:bidi/>
        <w:rPr>
          <w:rFonts w:ascii="Times New Roman" w:hAnsi="Times New Roman" w:cs="Times New Roman"/>
        </w:rPr>
      </w:pPr>
      <w:r w:rsidRPr="002A5F4C">
        <w:rPr>
          <w:rtl/>
        </w:rPr>
        <w:t>ב.</w:t>
      </w:r>
    </w:p>
    <w:p w:rsidR="002A5F4C" w:rsidRPr="002A5F4C" w:rsidRDefault="002A5F4C" w:rsidP="00F146A6">
      <w:pPr>
        <w:pStyle w:val="11"/>
        <w:bidi/>
        <w:rPr>
          <w:rFonts w:ascii="Times New Roman" w:hAnsi="Times New Roman" w:cs="Times New Roman"/>
          <w:rtl/>
        </w:rPr>
      </w:pPr>
      <w:r w:rsidRPr="002A5F4C">
        <w:rPr>
          <w:rtl/>
        </w:rPr>
        <w:t>חוקים ומשפטים—או מחמדתן ואין מחמדתן</w:t>
      </w:r>
      <w:r w:rsidRPr="002A5F4C">
        <w:rPr>
          <w:rFonts w:ascii="Cambria" w:hAnsi="Cambria" w:cs="Cambria" w:hint="cs"/>
          <w:rtl/>
        </w:rPr>
        <w:t> </w:t>
      </w:r>
    </w:p>
    <w:p w:rsidR="002A5F4C" w:rsidRPr="002A5F4C" w:rsidRDefault="002A5F4C" w:rsidP="00F146A6">
      <w:pPr>
        <w:pStyle w:val="a3"/>
        <w:rPr>
          <w:rFonts w:ascii="Times New Roman" w:hAnsi="Times New Roman" w:cs="Times New Roman"/>
          <w:rtl/>
        </w:rPr>
      </w:pPr>
      <w:r w:rsidRPr="002A5F4C">
        <w:rPr>
          <w:rtl/>
        </w:rPr>
        <w:t>הנה ידוע ביאור הרמב"ם שכוונת הדרשה ש"יאמר אדם אפשי" הוא רק למצוות השמעיות (היינו חוקים), "שלולי התורה לא היו רעות כלל", אבל בנוגע למצוות השכליות (היינו משפטים), "אין ספק שהנפש השואפת לאיזו מהן ומשתוקקת לו שהיא נפש בעלת מגרעת, ושהנפש הנעלה לא תתאווה לאחת מן הרעות הללו כלל ולא תצטער בהמנעה מהם." ומבאר בזה למה הספרא מביא רק דוגמאות אלו: "והתבונן חכמתם עליהם השלום ובמה המשילו לפי שלא אמר לא יאמר אדם אי אפשי להרוג את הנפש אי אפשי לגנוב אי אפשי לכזב אלא אפשי ומה אעשה, אלא הזכיר ענינים שכולם שמעיות בשר בחלב ולבישת שעטנז ועריות, ומצות אלו וכיוצא בהן הן שקורא שתן ה' "חוקותי", ואמרו חוקים שחקקתי לך ואין לך רשות להרהר בהן ואומות העולם משיבין עליהן והשטן מקטרג עליהן כגון פרה אדומה ושעיר המשתלח וכו'".</w:t>
      </w:r>
    </w:p>
    <w:p w:rsidR="002A5F4C" w:rsidRPr="002A5F4C" w:rsidRDefault="002A5F4C" w:rsidP="00F146A6">
      <w:pPr>
        <w:pStyle w:val="a3"/>
        <w:rPr>
          <w:rFonts w:ascii="Times New Roman" w:hAnsi="Times New Roman" w:cs="Times New Roman"/>
        </w:rPr>
      </w:pPr>
      <w:r w:rsidRPr="002A5F4C">
        <w:rPr>
          <w:rtl/>
        </w:rPr>
        <w:t>ובחסידות מובא הדרשה מספרא עם ביאורו של הרמב"ם באריכות בהדרושים על מצוות ייעוד ופדיון אמה עברי' של (אדה"ז) אדמו"ר האמצעי והצ"צ:</w:t>
      </w:r>
      <w:r w:rsidRPr="002A5F4C">
        <w:rPr>
          <w:rFonts w:ascii="Cambria" w:hAnsi="Cambria" w:cs="Cambria" w:hint="cs"/>
          <w:rtl/>
        </w:rPr>
        <w:t> </w:t>
      </w:r>
    </w:p>
    <w:p w:rsidR="002A5F4C" w:rsidRPr="002A5F4C" w:rsidRDefault="002A5F4C" w:rsidP="00F146A6">
      <w:pPr>
        <w:pStyle w:val="a3"/>
        <w:rPr>
          <w:rFonts w:ascii="Times New Roman" w:hAnsi="Times New Roman" w:cs="Times New Roman"/>
        </w:rPr>
      </w:pPr>
      <w:r w:rsidRPr="002A5F4C">
        <w:rPr>
          <w:rtl/>
        </w:rPr>
        <w:t>בדרך מצוותיך הסגנון הוא ממש כמו הרמב"ם, "באותו רע שאלמלא התורה לא היו רעות כלל כבשר בחלב ושעטנז כו' אל יאמר אי אפשי...אבל במצות שהן רעות גם מצד השכל צריך למאוס בהם לזכך נפשו."</w:t>
      </w:r>
      <w:r w:rsidRPr="002A5F4C">
        <w:rPr>
          <w:rFonts w:ascii="Cambria" w:hAnsi="Cambria" w:cs="Cambria" w:hint="cs"/>
          <w:rtl/>
        </w:rPr>
        <w:t> </w:t>
      </w:r>
    </w:p>
    <w:p w:rsidR="002A5F4C" w:rsidRPr="002A5F4C" w:rsidRDefault="002A5F4C" w:rsidP="00F146A6">
      <w:pPr>
        <w:pStyle w:val="a3"/>
        <w:rPr>
          <w:rFonts w:ascii="Times New Roman" w:hAnsi="Times New Roman" w:cs="Times New Roman"/>
        </w:rPr>
      </w:pPr>
      <w:r w:rsidRPr="002A5F4C">
        <w:rPr>
          <w:rtl/>
        </w:rPr>
        <w:t>אדהא"צ בתו"ח שמות מצטט מהרמב"ם—אבל באופן שונה: הוא מחלק בין דברים "שאין הטבעיות מחמדתו כמו אכילת חלב וחזיר"—שבהם "לא יאמר אי אפשי כו' שהוא מואס ברע אלא יסור מהם בעקשות לבד מצד שצוה ה' [לסור מהם] ולא מצד רצון נפשו", ובין דברים "</w:t>
      </w:r>
      <w:r w:rsidRPr="002A5F4C">
        <w:rPr>
          <w:sz w:val="21"/>
          <w:szCs w:val="21"/>
          <w:shd w:val="clear" w:color="auto" w:fill="FFFFFF"/>
          <w:rtl/>
        </w:rPr>
        <w:t>שבטבע נפש רוח הבהמה בחמדת עוה"ז גזל ועריות וכדומה"</w:t>
      </w:r>
      <w:r w:rsidRPr="002A5F4C">
        <w:rPr>
          <w:rtl/>
        </w:rPr>
        <w:t xml:space="preserve"> שצדיק גמור מואס בהם "כדי שיהי' אהבתו לה' ברה וזכה מגסות הנוגה שלא יחשיך כשיהי' לו ג"כ האהבה לגזל כו'".</w:t>
      </w:r>
      <w:r w:rsidRPr="002A5F4C">
        <w:rPr>
          <w:rFonts w:ascii="Cambria" w:hAnsi="Cambria" w:cs="Cambria" w:hint="cs"/>
          <w:rtl/>
        </w:rPr>
        <w:t> </w:t>
      </w:r>
    </w:p>
    <w:p w:rsidR="002A5F4C" w:rsidRPr="002A5F4C" w:rsidRDefault="002A5F4C" w:rsidP="00F146A6">
      <w:pPr>
        <w:pStyle w:val="a3"/>
        <w:rPr>
          <w:rFonts w:ascii="Times New Roman" w:hAnsi="Times New Roman" w:cs="Times New Roman"/>
        </w:rPr>
      </w:pPr>
      <w:r w:rsidRPr="002A5F4C">
        <w:rPr>
          <w:rtl/>
        </w:rPr>
        <w:lastRenderedPageBreak/>
        <w:t xml:space="preserve">וזהו לא רק חילוק בלשון, אלא בתוכן: הרמב"ם מביא "עריות" כדוגמא למצוות השמעיות </w:t>
      </w:r>
      <w:r w:rsidRPr="002A5F4C">
        <w:rPr>
          <w:b/>
          <w:bCs/>
          <w:rtl/>
        </w:rPr>
        <w:t>שיש</w:t>
      </w:r>
      <w:r w:rsidRPr="002A5F4C">
        <w:rPr>
          <w:rtl/>
        </w:rPr>
        <w:t xml:space="preserve"> להתאוות אליהם, וכן מובא בהספרא בפירוש, "מניין שלא יאמר אדם...אי אפשי </w:t>
      </w:r>
      <w:r w:rsidRPr="002A5F4C">
        <w:rPr>
          <w:b/>
          <w:bCs/>
          <w:rtl/>
        </w:rPr>
        <w:t>בערווה</w:t>
      </w:r>
      <w:r w:rsidRPr="002A5F4C">
        <w:rPr>
          <w:rtl/>
        </w:rPr>
        <w:t>" כנ"ל—אבל בתו"ח מבואר להיפך ממש, שגם בנוגע לעריות "צ"ל מואס ברע"! וכן הוא באוה"ת ויקהל.</w:t>
      </w:r>
    </w:p>
    <w:p w:rsidR="002A5F4C" w:rsidRPr="002A5F4C" w:rsidRDefault="002A5F4C" w:rsidP="00F146A6">
      <w:pPr>
        <w:pStyle w:val="a3"/>
        <w:rPr>
          <w:rFonts w:ascii="Times New Roman" w:hAnsi="Times New Roman" w:cs="Times New Roman"/>
        </w:rPr>
      </w:pPr>
      <w:r w:rsidRPr="002A5F4C">
        <w:rPr>
          <w:rtl/>
        </w:rPr>
        <w:t>[ובאוה"ת מפשטים נראה שיש כעין צירוף של ב' האופנים: "....גזירות וחוקות בלבד, מה שאין כן בל"ת כניאוף וגזילה וגניבה צ"ל מואס ברע וכמ"ש הרמב"ם בח' פרקים פ"ו יעו"ש שמאריך בזה בטוב טעם".</w:t>
      </w:r>
    </w:p>
    <w:p w:rsidR="002A5F4C" w:rsidRPr="002A5F4C" w:rsidRDefault="002A5F4C" w:rsidP="00F146A6">
      <w:pPr>
        <w:pStyle w:val="a3"/>
        <w:rPr>
          <w:rFonts w:ascii="Times New Roman" w:hAnsi="Times New Roman" w:cs="Times New Roman"/>
        </w:rPr>
      </w:pPr>
      <w:r w:rsidRPr="002A5F4C">
        <w:rPr>
          <w:rtl/>
        </w:rPr>
        <w:t>ויש גם אופן שלישי שאינו תלוי בחוק ומשפט או שמא יכשל, אלא באופן שקבלוה בתחלה: "יש מצות אשר בנ"י קבלו אותם בבחי' חביבות כמו מצות מילה ושבת וכו', ויש מצות אשר הם בבחי' עול כענין מארז"ל אל יאמר אדם אי אפשי בבשר חזיר אלא אפשי אבל אבי שבשמים גזר עלי, ועי"ז דייקא ובו תדבקון". ויל"ע בזה.]</w:t>
      </w:r>
    </w:p>
    <w:p w:rsidR="002A5F4C" w:rsidRPr="002A5F4C" w:rsidRDefault="002A5F4C" w:rsidP="00F146A6">
      <w:pPr>
        <w:pStyle w:val="a3"/>
        <w:rPr>
          <w:rFonts w:ascii="Times New Roman" w:hAnsi="Times New Roman" w:cs="Times New Roman"/>
        </w:rPr>
      </w:pPr>
      <w:r w:rsidRPr="002A5F4C">
        <w:rPr>
          <w:rtl/>
        </w:rPr>
        <w:t>וי"ל שעד"ז הוא מחלוקת רמב"ם [והספרא] ורש"י:</w:t>
      </w:r>
    </w:p>
    <w:p w:rsidR="002A5F4C" w:rsidRPr="002A5F4C" w:rsidRDefault="002A5F4C" w:rsidP="00F146A6">
      <w:pPr>
        <w:pStyle w:val="a3"/>
        <w:rPr>
          <w:rFonts w:ascii="Times New Roman" w:hAnsi="Times New Roman" w:cs="Times New Roman"/>
        </w:rPr>
      </w:pPr>
      <w:r w:rsidRPr="002A5F4C">
        <w:rPr>
          <w:rtl/>
        </w:rPr>
        <w:t>לדעת הרמב"ם, אדם השלם צריך למאוס בעבירות השכליות, משפטים, ויאמר אפשי רק בנוגע לחוקים—כולל עריות. אבל לרש"י החילוק הוא בין אלו שהנפש מחמדתן, שבהם לא יאמר אי אפשי, ובין אלו שאין הנפש מחמדתן, ויאמר אפשי.</w:t>
      </w:r>
    </w:p>
    <w:p w:rsidR="002A5F4C" w:rsidRPr="002A5F4C" w:rsidRDefault="002A5F4C" w:rsidP="00F146A6">
      <w:pPr>
        <w:pStyle w:val="11"/>
        <w:bidi/>
        <w:rPr>
          <w:rFonts w:ascii="Times New Roman" w:hAnsi="Times New Roman" w:cs="Times New Roman"/>
        </w:rPr>
      </w:pPr>
      <w:r w:rsidRPr="002A5F4C">
        <w:rPr>
          <w:rtl/>
        </w:rPr>
        <w:t>ג.</w:t>
      </w:r>
      <w:r w:rsidRPr="002A5F4C">
        <w:rPr>
          <w:rFonts w:ascii="Cambria" w:hAnsi="Cambria" w:cs="Cambria" w:hint="cs"/>
          <w:rtl/>
        </w:rPr>
        <w:t> </w:t>
      </w:r>
    </w:p>
    <w:p w:rsidR="002A5F4C" w:rsidRPr="002A5F4C" w:rsidRDefault="002A5F4C" w:rsidP="00F146A6">
      <w:pPr>
        <w:pStyle w:val="11"/>
        <w:bidi/>
        <w:rPr>
          <w:rFonts w:ascii="Times New Roman" w:hAnsi="Times New Roman" w:cs="Times New Roman"/>
          <w:rtl/>
        </w:rPr>
      </w:pPr>
      <w:r w:rsidRPr="002A5F4C">
        <w:rPr>
          <w:rtl/>
        </w:rPr>
        <w:t>בין הרמב"ם, ורש"י</w:t>
      </w:r>
    </w:p>
    <w:p w:rsidR="002A5F4C" w:rsidRPr="002A5F4C" w:rsidRDefault="002A5F4C" w:rsidP="00F146A6">
      <w:pPr>
        <w:pStyle w:val="a3"/>
        <w:rPr>
          <w:rFonts w:ascii="Times New Roman" w:hAnsi="Times New Roman" w:cs="Times New Roman"/>
          <w:rtl/>
        </w:rPr>
      </w:pPr>
      <w:r w:rsidRPr="002A5F4C">
        <w:rPr>
          <w:rtl/>
        </w:rPr>
        <w:t>והנה זה גופא צלה"ב—למה הרמב"ם מחלק בין חוקים ומפשטים, ורש"י מחלק בין אלו שהנפש מחמדתן ואלו שאין הנפש מחמדתן?</w:t>
      </w:r>
    </w:p>
    <w:p w:rsidR="002A5F4C" w:rsidRPr="002A5F4C" w:rsidRDefault="002A5F4C" w:rsidP="00F146A6">
      <w:pPr>
        <w:pStyle w:val="a3"/>
        <w:rPr>
          <w:rFonts w:ascii="Times New Roman" w:hAnsi="Times New Roman" w:cs="Times New Roman"/>
          <w:rtl/>
        </w:rPr>
      </w:pPr>
      <w:r w:rsidRPr="002A5F4C">
        <w:rPr>
          <w:rFonts w:ascii="Cambria" w:hAnsi="Cambria" w:cs="Cambria" w:hint="cs"/>
          <w:rtl/>
        </w:rPr>
        <w:t> </w:t>
      </w:r>
      <w:r w:rsidRPr="002A5F4C">
        <w:rPr>
          <w:rtl/>
        </w:rPr>
        <w:t>ויובן בהקדים:</w:t>
      </w:r>
      <w:r w:rsidRPr="002A5F4C">
        <w:rPr>
          <w:rFonts w:ascii="Cambria" w:hAnsi="Cambria" w:cs="Cambria" w:hint="cs"/>
          <w:rtl/>
        </w:rPr>
        <w:t> </w:t>
      </w:r>
    </w:p>
    <w:p w:rsidR="002A5F4C" w:rsidRPr="002A5F4C" w:rsidRDefault="002A5F4C" w:rsidP="00F146A6">
      <w:pPr>
        <w:pStyle w:val="a3"/>
        <w:rPr>
          <w:rFonts w:ascii="Times New Roman" w:hAnsi="Times New Roman" w:cs="Times New Roman"/>
          <w:rtl/>
        </w:rPr>
      </w:pPr>
      <w:r w:rsidRPr="002A5F4C">
        <w:rPr>
          <w:rtl/>
        </w:rPr>
        <w:t xml:space="preserve">עיקר חידוש המדרש (לפי כללות הבנת הרמב"ם) הוא, שאינו רק מדגיש עניין הקב"ע (אבי שבשמים גזר עלי) אלא </w:t>
      </w:r>
      <w:r w:rsidRPr="002A5F4C">
        <w:rPr>
          <w:b/>
          <w:bCs/>
          <w:rtl/>
        </w:rPr>
        <w:t>שלא</w:t>
      </w:r>
      <w:r w:rsidRPr="002A5F4C">
        <w:rPr>
          <w:rtl/>
        </w:rPr>
        <w:t xml:space="preserve"> יפרוש מעבירות מצד מיאוסו\בחירתו ("</w:t>
      </w:r>
      <w:r w:rsidRPr="002A5F4C">
        <w:rPr>
          <w:b/>
          <w:bCs/>
          <w:rtl/>
        </w:rPr>
        <w:t>לא יאמר</w:t>
      </w:r>
      <w:r w:rsidRPr="002A5F4C">
        <w:rPr>
          <w:rtl/>
        </w:rPr>
        <w:t xml:space="preserve"> אי אפשי"), ויתירה מזו, "שצריך האדם להשאיר את עצמו חושק להן, ולא ישים המונעו מהם אלא התורה" (</w:t>
      </w:r>
      <w:r w:rsidRPr="002A5F4C">
        <w:rPr>
          <w:b/>
          <w:bCs/>
          <w:rtl/>
        </w:rPr>
        <w:t>יאמר</w:t>
      </w:r>
      <w:r w:rsidRPr="002A5F4C">
        <w:rPr>
          <w:rtl/>
        </w:rPr>
        <w:t xml:space="preserve"> אפשי), כמבואר בשמונה פרקים שם.</w:t>
      </w:r>
      <w:r w:rsidRPr="002A5F4C">
        <w:rPr>
          <w:rFonts w:ascii="Cambria" w:hAnsi="Cambria" w:cs="Cambria" w:hint="cs"/>
          <w:rtl/>
        </w:rPr>
        <w:t> </w:t>
      </w:r>
    </w:p>
    <w:p w:rsidR="002A5F4C" w:rsidRPr="002A5F4C" w:rsidRDefault="002A5F4C" w:rsidP="00F146A6">
      <w:pPr>
        <w:pStyle w:val="a3"/>
        <w:rPr>
          <w:rFonts w:ascii="Times New Roman" w:hAnsi="Times New Roman" w:cs="Times New Roman"/>
        </w:rPr>
      </w:pPr>
      <w:r w:rsidRPr="002A5F4C">
        <w:rPr>
          <w:rtl/>
        </w:rPr>
        <w:t>ולכאורה, "למה יאמר אפשי, הלא יותר טוב שימאס ברע וישנאנו מאחר שהוא תועבת ה'"?—ה"ז מצד מעלת כפיית היצר (בלשון הרמב"ם) וקבלת עול (בלשון החסידות) כשיש לו רצון לדבר ואעפ"כ מונע עצמו ממנו, "שהכובש את יצרו מהם יותר גדול ושכרו יותר עצום" (כמבואר ברמב"ם והדרושים). ולכן 1) לא יפרוש מהם מצד מיאוסו, אלא מצד גזירתו ית' (אל יאמר אי אפשי). ויתירה מזו 2) ישאיר את עצמו חושק להן (יאמר אפשי), שעי"ז הכפיי' הוא גדול עוד יותר.</w:t>
      </w:r>
      <w:r w:rsidRPr="002A5F4C">
        <w:rPr>
          <w:rFonts w:ascii="Cambria" w:hAnsi="Cambria" w:cs="Cambria" w:hint="cs"/>
          <w:rtl/>
        </w:rPr>
        <w:t> </w:t>
      </w:r>
    </w:p>
    <w:p w:rsidR="002A5F4C" w:rsidRPr="002A5F4C" w:rsidRDefault="002A5F4C" w:rsidP="00F146A6">
      <w:pPr>
        <w:pStyle w:val="a3"/>
        <w:rPr>
          <w:rFonts w:ascii="Times New Roman" w:hAnsi="Times New Roman" w:cs="Times New Roman"/>
        </w:rPr>
      </w:pPr>
      <w:r w:rsidRPr="002A5F4C">
        <w:rPr>
          <w:rtl/>
        </w:rPr>
        <w:t xml:space="preserve">מצד גודל החידוש שבדבר, מצינו כמה הגבלות בזה: הרמב"ם מבאר שזה אינו נכון </w:t>
      </w:r>
      <w:r w:rsidRPr="002A5F4C">
        <w:rPr>
          <w:rtl/>
        </w:rPr>
        <w:lastRenderedPageBreak/>
        <w:t xml:space="preserve">לגבי עבירות שהם שכליות (משפטים) שבהם </w:t>
      </w:r>
      <w:r w:rsidRPr="002A5F4C">
        <w:rPr>
          <w:b/>
          <w:bCs/>
          <w:rtl/>
        </w:rPr>
        <w:t>צריך</w:t>
      </w:r>
      <w:r w:rsidRPr="002A5F4C">
        <w:rPr>
          <w:rtl/>
        </w:rPr>
        <w:t xml:space="preserve"> אדם למאוס, ובודאי שלא יניח עצמו להתאוות עליהם. והרב המגיד מבאר שאינו נכון לגבי בעל תשובה—שהוא צריך למאוס בכל מיני רעה, מפני החשש שאולי יחזור לסורו.</w:t>
      </w:r>
      <w:r w:rsidRPr="002A5F4C">
        <w:rPr>
          <w:rFonts w:ascii="Cambria" w:hAnsi="Cambria" w:cs="Cambria" w:hint="cs"/>
          <w:rtl/>
        </w:rPr>
        <w:t> </w:t>
      </w:r>
    </w:p>
    <w:p w:rsidR="002A5F4C" w:rsidRPr="002A5F4C" w:rsidRDefault="002A5F4C" w:rsidP="00F146A6">
      <w:pPr>
        <w:pStyle w:val="a3"/>
        <w:rPr>
          <w:rFonts w:ascii="Times New Roman" w:hAnsi="Times New Roman" w:cs="Times New Roman"/>
        </w:rPr>
      </w:pPr>
      <w:r w:rsidRPr="002A5F4C">
        <w:rPr>
          <w:rtl/>
        </w:rPr>
        <w:t>בשיחת ש"פ נצבים תשמ"ב, הרבי מבאר באופן אחר לגמרי:</w:t>
      </w:r>
    </w:p>
    <w:p w:rsidR="002A5F4C" w:rsidRPr="002A5F4C" w:rsidRDefault="002A5F4C" w:rsidP="00F146A6">
      <w:pPr>
        <w:pStyle w:val="a3"/>
        <w:rPr>
          <w:rFonts w:ascii="Times New Roman" w:hAnsi="Times New Roman" w:cs="Times New Roman"/>
          <w:rtl/>
        </w:rPr>
      </w:pPr>
      <w:r w:rsidRPr="002A5F4C">
        <w:rPr>
          <w:rtl/>
        </w:rPr>
        <w:t xml:space="preserve">זה שצריך אדם לומר אפשי הוא (לא מפני </w:t>
      </w:r>
      <w:r w:rsidRPr="002A5F4C">
        <w:rPr>
          <w:b/>
          <w:bCs/>
          <w:rtl/>
        </w:rPr>
        <w:t>מעלת</w:t>
      </w:r>
      <w:r w:rsidRPr="002A5F4C">
        <w:rPr>
          <w:rtl/>
        </w:rPr>
        <w:t xml:space="preserve"> הקבלת עול, אלא) מפני שפרישה מעבירה מצד מיאוסו עצמו </w:t>
      </w:r>
      <w:r w:rsidRPr="002A5F4C">
        <w:rPr>
          <w:b/>
          <w:bCs/>
          <w:rtl/>
        </w:rPr>
        <w:t xml:space="preserve">אינו מועיל, </w:t>
      </w:r>
      <w:r w:rsidRPr="002A5F4C">
        <w:rPr>
          <w:rtl/>
        </w:rPr>
        <w:t>שהרי באדם רגיל, "אינו יכול לסמוך על מה שאינו רוצה "אי אפשי" בדברים הרעים, להיותם רק רע מצד השכל...מכיון שבפנימיות ובהעלם נשאר לו עדיין איזה רצון לזה", וסוכ"ס לא יצליח בדרך זה, "והעצה היחידה להיות בטוח שלא יעשה אותם היא רק מצד זה שאבי שבשמים גזר עלי קבלת עול"..."וכמו שמבאר כ"ק מו"ח אדמו"ר בכו"כ מאמרים...שגם המצוות דמשפטים (כמו גזל, גניבה, אונאה, כיבוד אב ואם וכו') עם היותם מחוייבות מצד השכל, צריך לקיימם בדרך קבלת עול כמו המצוות דחוקים—"חוקה חקקתי גזירה גזרתי"".</w:t>
      </w:r>
    </w:p>
    <w:p w:rsidR="002A5F4C" w:rsidRPr="002A5F4C" w:rsidRDefault="002A5F4C" w:rsidP="00F146A6">
      <w:pPr>
        <w:pStyle w:val="a3"/>
        <w:rPr>
          <w:rFonts w:ascii="Times New Roman" w:hAnsi="Times New Roman" w:cs="Times New Roman"/>
        </w:rPr>
      </w:pPr>
      <w:r w:rsidRPr="002A5F4C">
        <w:rPr>
          <w:rFonts w:ascii="Cambria" w:hAnsi="Cambria" w:cs="Cambria" w:hint="cs"/>
          <w:rtl/>
        </w:rPr>
        <w:t> </w:t>
      </w:r>
      <w:r w:rsidRPr="002A5F4C">
        <w:rPr>
          <w:rFonts w:hint="cs"/>
          <w:rtl/>
        </w:rPr>
        <w:t>ועפ</w:t>
      </w:r>
      <w:r w:rsidRPr="002A5F4C">
        <w:rPr>
          <w:rtl/>
        </w:rPr>
        <w:t>"</w:t>
      </w:r>
      <w:r w:rsidRPr="002A5F4C">
        <w:rPr>
          <w:rFonts w:hint="cs"/>
          <w:rtl/>
        </w:rPr>
        <w:t>ז</w:t>
      </w:r>
      <w:r w:rsidRPr="002A5F4C">
        <w:rPr>
          <w:rtl/>
        </w:rPr>
        <w:t xml:space="preserve">, </w:t>
      </w:r>
      <w:r w:rsidRPr="002A5F4C">
        <w:rPr>
          <w:rFonts w:hint="cs"/>
          <w:rtl/>
        </w:rPr>
        <w:t>המסר</w:t>
      </w:r>
      <w:r w:rsidRPr="002A5F4C">
        <w:rPr>
          <w:rtl/>
        </w:rPr>
        <w:t xml:space="preserve"> </w:t>
      </w:r>
      <w:r w:rsidRPr="002A5F4C">
        <w:rPr>
          <w:rFonts w:hint="cs"/>
          <w:rtl/>
        </w:rPr>
        <w:t>הוא</w:t>
      </w:r>
      <w:r w:rsidRPr="002A5F4C">
        <w:rPr>
          <w:rtl/>
        </w:rPr>
        <w:t xml:space="preserve"> 1) </w:t>
      </w:r>
      <w:r w:rsidRPr="002A5F4C">
        <w:rPr>
          <w:rFonts w:hint="cs"/>
          <w:rtl/>
        </w:rPr>
        <w:t>בכל</w:t>
      </w:r>
      <w:r w:rsidRPr="002A5F4C">
        <w:rPr>
          <w:rtl/>
        </w:rPr>
        <w:t xml:space="preserve"> </w:t>
      </w:r>
      <w:r w:rsidRPr="002A5F4C">
        <w:rPr>
          <w:rFonts w:hint="cs"/>
          <w:rtl/>
        </w:rPr>
        <w:t>המצוות</w:t>
      </w:r>
      <w:r w:rsidRPr="002A5F4C">
        <w:rPr>
          <w:rtl/>
        </w:rPr>
        <w:t xml:space="preserve">, </w:t>
      </w:r>
      <w:r w:rsidRPr="002A5F4C">
        <w:rPr>
          <w:rFonts w:hint="cs"/>
          <w:rtl/>
        </w:rPr>
        <w:t>מבלי</w:t>
      </w:r>
      <w:r w:rsidRPr="002A5F4C">
        <w:rPr>
          <w:rtl/>
        </w:rPr>
        <w:t xml:space="preserve"> </w:t>
      </w:r>
      <w:r w:rsidRPr="002A5F4C">
        <w:rPr>
          <w:rFonts w:hint="cs"/>
          <w:rtl/>
        </w:rPr>
        <w:t>חילוק</w:t>
      </w:r>
      <w:r w:rsidRPr="002A5F4C">
        <w:rPr>
          <w:rtl/>
        </w:rPr>
        <w:t xml:space="preserve"> </w:t>
      </w:r>
      <w:r w:rsidRPr="002A5F4C">
        <w:rPr>
          <w:rFonts w:hint="cs"/>
          <w:rtl/>
        </w:rPr>
        <w:t>בין</w:t>
      </w:r>
      <w:r w:rsidRPr="002A5F4C">
        <w:rPr>
          <w:rtl/>
        </w:rPr>
        <w:t xml:space="preserve"> </w:t>
      </w:r>
      <w:r w:rsidRPr="002A5F4C">
        <w:rPr>
          <w:rFonts w:hint="cs"/>
          <w:rtl/>
        </w:rPr>
        <w:t>משפטים</w:t>
      </w:r>
      <w:r w:rsidRPr="002A5F4C">
        <w:rPr>
          <w:rtl/>
        </w:rPr>
        <w:t xml:space="preserve"> </w:t>
      </w:r>
      <w:r w:rsidRPr="002A5F4C">
        <w:rPr>
          <w:rFonts w:hint="cs"/>
          <w:rtl/>
        </w:rPr>
        <w:t>וחוקים</w:t>
      </w:r>
      <w:r w:rsidRPr="002A5F4C">
        <w:rPr>
          <w:rtl/>
        </w:rPr>
        <w:t xml:space="preserve">, </w:t>
      </w:r>
      <w:r w:rsidRPr="002A5F4C">
        <w:rPr>
          <w:rFonts w:hint="cs"/>
          <w:rtl/>
        </w:rPr>
        <w:t>שהרי</w:t>
      </w:r>
      <w:r w:rsidRPr="002A5F4C">
        <w:rPr>
          <w:rtl/>
        </w:rPr>
        <w:t xml:space="preserve"> </w:t>
      </w:r>
      <w:r w:rsidRPr="002A5F4C">
        <w:rPr>
          <w:rFonts w:hint="cs"/>
          <w:rtl/>
        </w:rPr>
        <w:t>מיאוסו</w:t>
      </w:r>
      <w:r w:rsidRPr="002A5F4C">
        <w:rPr>
          <w:rtl/>
        </w:rPr>
        <w:t xml:space="preserve"> </w:t>
      </w:r>
      <w:r w:rsidRPr="002A5F4C">
        <w:rPr>
          <w:b/>
          <w:bCs/>
          <w:rtl/>
        </w:rPr>
        <w:t>בכולם</w:t>
      </w:r>
      <w:r w:rsidRPr="002A5F4C">
        <w:rPr>
          <w:rtl/>
        </w:rPr>
        <w:t xml:space="preserve"> אינו אמיתי. 2) מדובר באדם פחות מדריגה.</w:t>
      </w:r>
      <w:r w:rsidRPr="002A5F4C">
        <w:rPr>
          <w:rFonts w:ascii="Cambria" w:hAnsi="Cambria" w:cs="Cambria" w:hint="cs"/>
          <w:rtl/>
        </w:rPr>
        <w:t> </w:t>
      </w:r>
    </w:p>
    <w:p w:rsidR="002A5F4C" w:rsidRPr="002A5F4C" w:rsidRDefault="002A5F4C" w:rsidP="00F146A6">
      <w:pPr>
        <w:pStyle w:val="a3"/>
        <w:rPr>
          <w:rFonts w:ascii="Times New Roman" w:hAnsi="Times New Roman" w:cs="Times New Roman"/>
        </w:rPr>
      </w:pPr>
      <w:r w:rsidRPr="002A5F4C">
        <w:rPr>
          <w:rtl/>
        </w:rPr>
        <w:t xml:space="preserve">ומבואר בהשיחה שם שזה אינו סתירה לדברי הרמב"ם והמגיד, מפני שהם מדברים באדם בדרגא עליונה יותר: באדם </w:t>
      </w:r>
      <w:r w:rsidRPr="002A5F4C">
        <w:rPr>
          <w:b/>
          <w:bCs/>
          <w:rtl/>
        </w:rPr>
        <w:t>שיכול</w:t>
      </w:r>
      <w:r w:rsidRPr="002A5F4C">
        <w:rPr>
          <w:rtl/>
        </w:rPr>
        <w:t xml:space="preserve"> למאוס ברע באמת, </w:t>
      </w:r>
      <w:r w:rsidRPr="002A5F4C">
        <w:rPr>
          <w:b/>
          <w:bCs/>
          <w:rtl/>
        </w:rPr>
        <w:t xml:space="preserve">ואליו </w:t>
      </w:r>
      <w:r w:rsidRPr="002A5F4C">
        <w:rPr>
          <w:rtl/>
        </w:rPr>
        <w:t>חידוש הברייתא הוא שיבחור בקבלת עול מצד מעלתו..."אין סתירה לזה ממ"ש בלקו"ת...בשם המגיד נ"ע, דבע"ת….צ"ל כל מוני רע ואיסורים מאוסים אצלו ושיאמר "</w:t>
      </w:r>
      <w:r w:rsidRPr="002A5F4C">
        <w:rPr>
          <w:b/>
          <w:bCs/>
          <w:rtl/>
        </w:rPr>
        <w:t>אי אפשי"</w:t>
      </w:r>
      <w:r w:rsidRPr="002A5F4C">
        <w:rPr>
          <w:rtl/>
        </w:rPr>
        <w:t xml:space="preserve">—כי </w:t>
      </w:r>
      <w:r w:rsidRPr="002A5F4C">
        <w:rPr>
          <w:b/>
          <w:bCs/>
          <w:rtl/>
        </w:rPr>
        <w:t>פשוט</w:t>
      </w:r>
      <w:r w:rsidRPr="002A5F4C">
        <w:rPr>
          <w:rtl/>
        </w:rPr>
        <w:t xml:space="preserve">… [שיש] כו"כ דרגות. ובלקו"ת שם מדבר בדרגא נעלית...שאז שייך ש"כל מגני רע ואיסורים (יהיו) </w:t>
      </w:r>
      <w:r w:rsidRPr="002A5F4C">
        <w:rPr>
          <w:b/>
          <w:bCs/>
          <w:rtl/>
        </w:rPr>
        <w:t>מאוסים</w:t>
      </w:r>
      <w:r w:rsidRPr="002A5F4C">
        <w:rPr>
          <w:rtl/>
        </w:rPr>
        <w:t xml:space="preserve"> אצלו ושיאמר אי אפשי </w:t>
      </w:r>
      <w:r w:rsidRPr="002A5F4C">
        <w:rPr>
          <w:b/>
          <w:bCs/>
          <w:rtl/>
        </w:rPr>
        <w:t>באמת</w:t>
      </w:r>
      <w:r w:rsidRPr="002A5F4C">
        <w:rPr>
          <w:rtl/>
        </w:rPr>
        <w:t>" וכן מבואר שם לגבי הרמב"ם, עיי"ש.</w:t>
      </w:r>
    </w:p>
    <w:p w:rsidR="002A5F4C" w:rsidRPr="002A5F4C" w:rsidRDefault="002A5F4C" w:rsidP="00F146A6">
      <w:pPr>
        <w:pStyle w:val="a3"/>
        <w:rPr>
          <w:rFonts w:ascii="Times New Roman" w:hAnsi="Times New Roman" w:cs="Times New Roman"/>
        </w:rPr>
      </w:pPr>
      <w:r w:rsidRPr="002A5F4C">
        <w:rPr>
          <w:rtl/>
        </w:rPr>
        <w:t>(אבל, כנ"ל, במסר זה של המדרש, יש כמה הגבלות: 1) רק בחוקים 2) רק צדיקים, ולא בעלי תשובה— שאף שנמצא בדרגא עליונה שיכול למאוס ברע, עדיין יש לחשוש שיחזור לסורו.</w:t>
      </w:r>
    </w:p>
    <w:p w:rsidR="002A5F4C" w:rsidRPr="002A5F4C" w:rsidRDefault="002A5F4C" w:rsidP="00F146A6">
      <w:pPr>
        <w:pStyle w:val="a3"/>
        <w:rPr>
          <w:rFonts w:ascii="Times New Roman" w:hAnsi="Times New Roman" w:cs="Times New Roman"/>
        </w:rPr>
      </w:pPr>
      <w:r w:rsidRPr="002A5F4C">
        <w:rPr>
          <w:rtl/>
        </w:rPr>
        <w:t>ולפי ביאור כ"ק יובן קושיא גדולה: אם נאמר שהוראה זו נכונה רק לגבי צדיק, או רק במצוות מסוימות, איך רש"י מביאו כ"כ בפשיטות מבלי לבאר כל הגבלה בדבר! אבל לפי דברי רבינו ניחא: יש מסר לאדם רגיל, ובו אין כל הגבלות, ו</w:t>
      </w:r>
      <w:r w:rsidRPr="002A5F4C">
        <w:rPr>
          <w:b/>
          <w:bCs/>
          <w:rtl/>
        </w:rPr>
        <w:t xml:space="preserve">בנוסף </w:t>
      </w:r>
      <w:r w:rsidRPr="002A5F4C">
        <w:rPr>
          <w:rtl/>
        </w:rPr>
        <w:t>לזה יש מסר עמוק יותר לבן אדם נעלה, ובו יש כמה תנאים כנ"ל.)</w:t>
      </w:r>
    </w:p>
    <w:p w:rsidR="002A5F4C" w:rsidRPr="002A5F4C" w:rsidRDefault="002A5F4C" w:rsidP="00F146A6">
      <w:pPr>
        <w:pStyle w:val="a3"/>
        <w:rPr>
          <w:rFonts w:ascii="Times New Roman" w:hAnsi="Times New Roman" w:cs="Times New Roman"/>
        </w:rPr>
      </w:pPr>
      <w:r w:rsidRPr="002A5F4C">
        <w:rPr>
          <w:rtl/>
        </w:rPr>
        <w:t xml:space="preserve">ובש"פ משפטים תשכ"ה הרבי מקשר כללות שיטה זו עם שיטת רש"י עה"ת (ביינה של תורה): שלפי שיטת הרמב"ם יש לקיים את המשפטים (גם) מצד השכל, אבל מצד פשוטו של מקרא—ובתחילת העבודה—צריכים לקיים כל המצוות רק מצד </w:t>
      </w:r>
      <w:r w:rsidRPr="002A5F4C">
        <w:rPr>
          <w:rtl/>
        </w:rPr>
        <w:lastRenderedPageBreak/>
        <w:t>ציווי הקב"ה, "אף אלו מסיני". (וכמו שכ"ק מבאר באריכות במקום אחר שאפילו השבע מצוות בני נח צריכים לקיימם מפני ציווי הקב"ה, דאל"כ ילכו בדרך עקלתון וסופם לעבור עליהם.)</w:t>
      </w:r>
    </w:p>
    <w:p w:rsidR="002A5F4C" w:rsidRPr="002A5F4C" w:rsidRDefault="002A5F4C" w:rsidP="00F146A6">
      <w:pPr>
        <w:pStyle w:val="a3"/>
        <w:rPr>
          <w:rFonts w:ascii="Times New Roman" w:hAnsi="Times New Roman" w:cs="Times New Roman"/>
        </w:rPr>
      </w:pPr>
      <w:r w:rsidRPr="002A5F4C">
        <w:rPr>
          <w:rtl/>
        </w:rPr>
        <w:t>ונ"ל שזהו ההבנה ברש"י זו ע"פ פשוטו של מקרא—שיש לקיים המצוות מצד גזירתו ית' מפני שרק עי"ז יכול להיות בטוח שיימנע מהם.</w:t>
      </w:r>
      <w:r w:rsidRPr="002A5F4C">
        <w:rPr>
          <w:rFonts w:ascii="Cambria" w:hAnsi="Cambria" w:cs="Cambria" w:hint="cs"/>
          <w:rtl/>
        </w:rPr>
        <w:t> </w:t>
      </w:r>
    </w:p>
    <w:p w:rsidR="002A5F4C" w:rsidRPr="002A5F4C" w:rsidRDefault="002A5F4C" w:rsidP="00F146A6">
      <w:pPr>
        <w:pStyle w:val="a3"/>
        <w:rPr>
          <w:rFonts w:ascii="Times New Roman" w:hAnsi="Times New Roman" w:cs="Times New Roman"/>
        </w:rPr>
      </w:pPr>
      <w:r w:rsidRPr="002A5F4C">
        <w:rPr>
          <w:rtl/>
        </w:rPr>
        <w:t xml:space="preserve">ועפ"ז יומתק אריכות לשון רש"י (שמעתיק כל הספרא, כולל סיומו) "(מניין שלא יאמר אדם וכו' אבל יאמר וכו' ת"ל ואבדיל אתכם וכו' שתהא הבדלתכם מהם לשמי) </w:t>
      </w:r>
      <w:r w:rsidRPr="002A5F4C">
        <w:rPr>
          <w:b/>
          <w:bCs/>
          <w:rtl/>
        </w:rPr>
        <w:t>פורש מן העברה ומקבל עליו עול מלכות שמים</w:t>
      </w:r>
      <w:r w:rsidRPr="002A5F4C">
        <w:rPr>
          <w:rtl/>
        </w:rPr>
        <w:t xml:space="preserve">" דלכאורה הוא מיותר לגמרי—אלא שי"ל שבזה מבאר: למה באמת צ"ל הבדלתכם מהם </w:t>
      </w:r>
      <w:r w:rsidRPr="002A5F4C">
        <w:rPr>
          <w:b/>
          <w:bCs/>
          <w:rtl/>
        </w:rPr>
        <w:t>לשמי</w:t>
      </w:r>
      <w:r w:rsidRPr="002A5F4C">
        <w:rPr>
          <w:rtl/>
        </w:rPr>
        <w:t>? מפני ש</w:t>
      </w:r>
      <w:r w:rsidRPr="002A5F4C">
        <w:rPr>
          <w:b/>
          <w:bCs/>
          <w:rtl/>
        </w:rPr>
        <w:t>רק</w:t>
      </w:r>
      <w:r w:rsidRPr="002A5F4C">
        <w:rPr>
          <w:rtl/>
        </w:rPr>
        <w:t xml:space="preserve"> ע"י קבלת מלכות שמים יצליח לפרוש מהעבירה.</w:t>
      </w:r>
      <w:r w:rsidRPr="002A5F4C">
        <w:rPr>
          <w:rFonts w:ascii="Cambria" w:hAnsi="Cambria" w:cs="Cambria" w:hint="cs"/>
          <w:rtl/>
        </w:rPr>
        <w:t>  </w:t>
      </w:r>
    </w:p>
    <w:p w:rsidR="002A5F4C" w:rsidRPr="002A5F4C" w:rsidRDefault="002A5F4C" w:rsidP="00F146A6">
      <w:pPr>
        <w:pStyle w:val="11"/>
        <w:bidi/>
        <w:rPr>
          <w:rFonts w:ascii="Times New Roman" w:hAnsi="Times New Roman" w:cs="Times New Roman"/>
        </w:rPr>
      </w:pPr>
      <w:r w:rsidRPr="002A5F4C">
        <w:rPr>
          <w:rFonts w:ascii="Cambria" w:hAnsi="Cambria" w:cs="Cambria" w:hint="cs"/>
          <w:rtl/>
        </w:rPr>
        <w:t> </w:t>
      </w:r>
      <w:r w:rsidRPr="002A5F4C">
        <w:rPr>
          <w:rtl/>
        </w:rPr>
        <w:t>ד.</w:t>
      </w:r>
    </w:p>
    <w:p w:rsidR="002A5F4C" w:rsidRPr="002A5F4C" w:rsidRDefault="002A5F4C" w:rsidP="00F146A6">
      <w:pPr>
        <w:pStyle w:val="a3"/>
        <w:rPr>
          <w:rFonts w:ascii="Times New Roman" w:hAnsi="Times New Roman" w:cs="Times New Roman"/>
        </w:rPr>
      </w:pPr>
      <w:r w:rsidRPr="002A5F4C">
        <w:rPr>
          <w:rtl/>
        </w:rPr>
        <w:t>ואולי י"ל שלכן רש"י מביא רק דוגמאות אלו (חזיר וכלאים) ומשמיט עריות, היינו שמחלק בין מצוות שבני אדם מחמדתן לאלו שאין בני אדם מחמדתן:</w:t>
      </w:r>
      <w:r w:rsidRPr="002A5F4C">
        <w:rPr>
          <w:rFonts w:ascii="Cambria" w:hAnsi="Cambria" w:cs="Cambria" w:hint="cs"/>
          <w:rtl/>
        </w:rPr>
        <w:t> </w:t>
      </w:r>
    </w:p>
    <w:p w:rsidR="002A5F4C" w:rsidRPr="002A5F4C" w:rsidRDefault="002A5F4C" w:rsidP="00F146A6">
      <w:pPr>
        <w:pStyle w:val="a3"/>
        <w:rPr>
          <w:rFonts w:ascii="Times New Roman" w:hAnsi="Times New Roman" w:cs="Times New Roman"/>
        </w:rPr>
      </w:pPr>
      <w:r w:rsidRPr="002A5F4C">
        <w:rPr>
          <w:rtl/>
        </w:rPr>
        <w:t>לפי ביאור כ"ק, עדיין אינו מובן כ"כ הדגשת הברייתא ש"יאמר אדם אפשי": דהנה זה שאנחנו מצווים להאדם ש"אל יאמר אי אפשי", ש</w:t>
      </w:r>
      <w:r w:rsidRPr="002A5F4C">
        <w:rPr>
          <w:b/>
          <w:bCs/>
          <w:rtl/>
        </w:rPr>
        <w:t>לא</w:t>
      </w:r>
      <w:r w:rsidRPr="002A5F4C">
        <w:rPr>
          <w:rtl/>
        </w:rPr>
        <w:t xml:space="preserve"> יפרוש מעבירה מצד מיאוסו—ניחא, שהרי כנ"ל, דרך זה לא יצליח מפני שאינו מואס באמת. אבל זה שמצווים לו לומר "אפשי"—קשה קצת. ולכאורה, לגבי פרט זה עכ"פ, דברי המגיד (שבעל תשובה לא יתאווה לעבירה שלא יפול בהם) קיימים.</w:t>
      </w:r>
    </w:p>
    <w:p w:rsidR="002A5F4C" w:rsidRPr="002A5F4C" w:rsidRDefault="002A5F4C" w:rsidP="00F146A6">
      <w:pPr>
        <w:pStyle w:val="a3"/>
        <w:rPr>
          <w:rFonts w:ascii="Times New Roman" w:hAnsi="Times New Roman" w:cs="Times New Roman"/>
        </w:rPr>
      </w:pPr>
      <w:r w:rsidRPr="002A5F4C">
        <w:rPr>
          <w:rtl/>
        </w:rPr>
        <w:t xml:space="preserve">ולכן רש"י מביא רק כמה דוגמאות של דברים שאין בהם תאוו'—ומשמיט עריות שמובא בספרא ורמב"ם: </w:t>
      </w:r>
      <w:r w:rsidRPr="002A5F4C">
        <w:rPr>
          <w:b/>
          <w:bCs/>
          <w:rtl/>
        </w:rPr>
        <w:t>בכללות</w:t>
      </w:r>
      <w:r w:rsidRPr="002A5F4C">
        <w:rPr>
          <w:rtl/>
        </w:rPr>
        <w:t xml:space="preserve">, דרשה זו נכונה לגבי כל המצוות, וכביאור השיחה שם (ועפ"ז יומתק למה רש"י אינו מבאר </w:t>
      </w:r>
      <w:r w:rsidRPr="002A5F4C">
        <w:rPr>
          <w:b/>
          <w:bCs/>
          <w:rtl/>
        </w:rPr>
        <w:t>בפירוש</w:t>
      </w:r>
      <w:r w:rsidRPr="002A5F4C">
        <w:rPr>
          <w:rtl/>
        </w:rPr>
        <w:t xml:space="preserve"> שיש הגבלות בהוראה זו, ושהוא רק בנוגע לעבירות בסוג מסויים—מפני שאכן, בכללות אין בזה שום הגבלה). אבל </w:t>
      </w:r>
      <w:r w:rsidRPr="002A5F4C">
        <w:rPr>
          <w:b/>
          <w:bCs/>
          <w:rtl/>
        </w:rPr>
        <w:t>בפרטיות</w:t>
      </w:r>
      <w:r w:rsidRPr="002A5F4C">
        <w:rPr>
          <w:rtl/>
        </w:rPr>
        <w:t xml:space="preserve"> יותר, הציווי ש"יאמר אדם אפשי", ויאמר ש</w:t>
      </w:r>
      <w:r w:rsidRPr="002A5F4C">
        <w:rPr>
          <w:b/>
          <w:bCs/>
          <w:rtl/>
        </w:rPr>
        <w:t>ניחא לי' בעבירה</w:t>
      </w:r>
      <w:r w:rsidRPr="002A5F4C">
        <w:rPr>
          <w:rtl/>
        </w:rPr>
        <w:t>, הוא בנוגע לדברים אלו שאין הנפש מחמדתן כלל—כמו חזיר וכלאים—ואין חשש שיפול בהם (לכל אדם, אף בעל תשובה).</w:t>
      </w:r>
      <w:r w:rsidRPr="002A5F4C">
        <w:rPr>
          <w:rFonts w:ascii="Cambria" w:hAnsi="Cambria" w:cs="Cambria" w:hint="cs"/>
          <w:rtl/>
        </w:rPr>
        <w:t> </w:t>
      </w:r>
    </w:p>
    <w:p w:rsidR="002A5F4C" w:rsidRPr="002A5F4C" w:rsidRDefault="002A5F4C" w:rsidP="00F146A6">
      <w:pPr>
        <w:pStyle w:val="11"/>
        <w:bidi/>
        <w:rPr>
          <w:rFonts w:ascii="Times New Roman" w:hAnsi="Times New Roman" w:cs="Times New Roman"/>
        </w:rPr>
      </w:pPr>
      <w:r w:rsidRPr="002A5F4C">
        <w:rPr>
          <w:rtl/>
        </w:rPr>
        <w:t>ה.</w:t>
      </w:r>
      <w:r w:rsidRPr="002A5F4C">
        <w:rPr>
          <w:rFonts w:ascii="Cambria" w:hAnsi="Cambria" w:cs="Cambria" w:hint="cs"/>
          <w:rtl/>
        </w:rPr>
        <w:t> </w:t>
      </w:r>
    </w:p>
    <w:p w:rsidR="002A5F4C" w:rsidRPr="002A5F4C" w:rsidRDefault="002A5F4C" w:rsidP="00F146A6">
      <w:pPr>
        <w:pStyle w:val="11"/>
        <w:bidi/>
        <w:rPr>
          <w:rFonts w:ascii="Times New Roman" w:hAnsi="Times New Roman" w:cs="Times New Roman"/>
          <w:rtl/>
        </w:rPr>
      </w:pPr>
      <w:r w:rsidRPr="002A5F4C">
        <w:rPr>
          <w:rtl/>
        </w:rPr>
        <w:t>בין שיטת הרמב"ם ושיטת חסידות</w:t>
      </w:r>
    </w:p>
    <w:p w:rsidR="002A5F4C" w:rsidRPr="002A5F4C" w:rsidRDefault="002A5F4C" w:rsidP="00F146A6">
      <w:pPr>
        <w:pStyle w:val="a3"/>
        <w:rPr>
          <w:rFonts w:ascii="Times New Roman" w:hAnsi="Times New Roman" w:cs="Times New Roman"/>
          <w:rtl/>
        </w:rPr>
      </w:pPr>
      <w:r w:rsidRPr="002A5F4C">
        <w:rPr>
          <w:rtl/>
        </w:rPr>
        <w:t>כל זה—בנוגע להחילוק בין רש"י ורמב"ם. אבל מהו הביאור בזה שהרמב"ם מחלק בין חוקים ומשפטים, ובחסידות מחלק (גם) בין אלו שהנפש מחמדתן ואלו שאין הנפש מחמדתן?</w:t>
      </w:r>
    </w:p>
    <w:p w:rsidR="002A5F4C" w:rsidRPr="002A5F4C" w:rsidRDefault="002A5F4C" w:rsidP="00F146A6">
      <w:pPr>
        <w:pStyle w:val="a3"/>
        <w:bidi w:val="0"/>
        <w:rPr>
          <w:rtl/>
        </w:rPr>
      </w:pPr>
    </w:p>
    <w:p w:rsidR="002A5F4C" w:rsidRPr="002A5F4C" w:rsidRDefault="002A5F4C" w:rsidP="00F146A6">
      <w:pPr>
        <w:pStyle w:val="a3"/>
        <w:rPr>
          <w:rFonts w:ascii="Times New Roman" w:hAnsi="Times New Roman" w:cs="Times New Roman"/>
        </w:rPr>
      </w:pPr>
      <w:r w:rsidRPr="002A5F4C">
        <w:rPr>
          <w:rtl/>
        </w:rPr>
        <w:lastRenderedPageBreak/>
        <w:t xml:space="preserve">כנ"ל בארוכה, הרמב"ם מבאר שאף שיש מעלה בכפיית היצר, אדם השלם </w:t>
      </w:r>
      <w:r w:rsidRPr="002A5F4C">
        <w:rPr>
          <w:b/>
          <w:bCs/>
          <w:rtl/>
        </w:rPr>
        <w:t>אינו יכול</w:t>
      </w:r>
      <w:r w:rsidRPr="002A5F4C">
        <w:rPr>
          <w:rtl/>
        </w:rPr>
        <w:t xml:space="preserve"> לומר "אפשי" בנוגע למשפטים, מפני שהם דבר המאוס, ולכן צריך לומר בהם אי אפשי. לאידך, מבואר בלקו"ש חל"ב (עי' 174) שלפי שיטת הרמב"ם, זה שהאדם צריך לומר "אפשי" בחוקים הוא לא רק מצד מעלת הקב"ע, אלא גם מפני ש</w:t>
      </w:r>
      <w:r w:rsidRPr="002A5F4C">
        <w:rPr>
          <w:b/>
          <w:bCs/>
          <w:rtl/>
        </w:rPr>
        <w:t>אינו יכול</w:t>
      </w:r>
      <w:r w:rsidRPr="002A5F4C">
        <w:rPr>
          <w:rtl/>
        </w:rPr>
        <w:t xml:space="preserve"> </w:t>
      </w:r>
      <w:r w:rsidRPr="002A5F4C">
        <w:rPr>
          <w:b/>
          <w:bCs/>
          <w:rtl/>
        </w:rPr>
        <w:t>למאוס באמת</w:t>
      </w:r>
      <w:r w:rsidRPr="002A5F4C">
        <w:rPr>
          <w:rtl/>
        </w:rPr>
        <w:t xml:space="preserve"> בעבירות של חוקים, מפני שאין בהם טעם כלל—ואין טעם אמיתי למאוס בהם (דאף שהרמב"ם סובר שיש טעם לחוקים למעלה, פה מדובר בחלקם של החוקים שאין בהם טעם כלל אפילו למעלה, וכמו פרטי החוקים, עיי"ש בהשיחה.) וא"כ, כמו ש</w:t>
      </w:r>
      <w:r w:rsidRPr="002A5F4C">
        <w:rPr>
          <w:b/>
          <w:bCs/>
          <w:rtl/>
        </w:rPr>
        <w:t>צריך</w:t>
      </w:r>
      <w:r w:rsidRPr="002A5F4C">
        <w:rPr>
          <w:rtl/>
        </w:rPr>
        <w:t xml:space="preserve"> לומר אי אפשי בעבירות של משפטים, שהרי הם דברים מאוסים, כן </w:t>
      </w:r>
      <w:r w:rsidRPr="002A5F4C">
        <w:rPr>
          <w:b/>
          <w:bCs/>
          <w:rtl/>
        </w:rPr>
        <w:t>צריך</w:t>
      </w:r>
      <w:r w:rsidRPr="002A5F4C">
        <w:rPr>
          <w:rtl/>
        </w:rPr>
        <w:t xml:space="preserve"> לומר "אפשי" בנוגע לחוקים, מפני שאין בהם (טעם) ומיאוס.</w:t>
      </w:r>
      <w:r w:rsidRPr="002A5F4C">
        <w:rPr>
          <w:rFonts w:ascii="Cambria" w:hAnsi="Cambria" w:cs="Cambria" w:hint="cs"/>
          <w:rtl/>
        </w:rPr>
        <w:t> </w:t>
      </w:r>
    </w:p>
    <w:p w:rsidR="002A5F4C" w:rsidRPr="002A5F4C" w:rsidRDefault="002A5F4C" w:rsidP="00F146A6">
      <w:pPr>
        <w:pStyle w:val="a3"/>
        <w:rPr>
          <w:rFonts w:ascii="Times New Roman" w:hAnsi="Times New Roman" w:cs="Times New Roman"/>
        </w:rPr>
      </w:pPr>
      <w:r w:rsidRPr="002A5F4C">
        <w:rPr>
          <w:rtl/>
        </w:rPr>
        <w:t xml:space="preserve">אבל לפי שיטת החסידות, הרי כל דבר רע הוא מג' קליפות הטמאות. ולכן שייך למאוס </w:t>
      </w:r>
      <w:r w:rsidRPr="002A5F4C">
        <w:rPr>
          <w:b/>
          <w:bCs/>
          <w:rtl/>
        </w:rPr>
        <w:t>בכל</w:t>
      </w:r>
      <w:r w:rsidRPr="002A5F4C">
        <w:rPr>
          <w:rtl/>
        </w:rPr>
        <w:t xml:space="preserve"> דבר עבירה, מבלי כל חילוק בין חוקים ומשפטים, וכמ"ש בתניא פ"י [בנוגע לצדיק גמור] "למאוס מאד בתענוגי עוה"ז...מפני היותם נמשכים ונשפעים מהקליפה וס"א וכל מה שהוא מהס"א הצדיק גמור הוא שונאו בתכלית השנאה", ולכן שייך לומר "אי אפשי" בחוקים בדיוק כמו במשפטים.</w:t>
      </w:r>
      <w:r w:rsidRPr="002A5F4C">
        <w:rPr>
          <w:rFonts w:ascii="Cambria" w:hAnsi="Cambria" w:cs="Cambria" w:hint="cs"/>
          <w:rtl/>
        </w:rPr>
        <w:t> </w:t>
      </w:r>
    </w:p>
    <w:p w:rsidR="002A5F4C" w:rsidRPr="002A5F4C" w:rsidRDefault="002A5F4C" w:rsidP="00F146A6">
      <w:pPr>
        <w:pStyle w:val="a3"/>
        <w:rPr>
          <w:rFonts w:ascii="Times New Roman" w:hAnsi="Times New Roman" w:cs="Times New Roman"/>
        </w:rPr>
      </w:pPr>
      <w:r w:rsidRPr="002A5F4C">
        <w:rPr>
          <w:rtl/>
        </w:rPr>
        <w:t xml:space="preserve">וזה שמבואר </w:t>
      </w:r>
      <w:r w:rsidRPr="002A5F4C">
        <w:rPr>
          <w:b/>
          <w:bCs/>
          <w:rtl/>
        </w:rPr>
        <w:t>שיש</w:t>
      </w:r>
      <w:r w:rsidRPr="002A5F4C">
        <w:rPr>
          <w:rtl/>
        </w:rPr>
        <w:t xml:space="preserve"> חילוק בין העבירות הוא רק מצד </w:t>
      </w:r>
      <w:r w:rsidRPr="002A5F4C">
        <w:rPr>
          <w:b/>
          <w:bCs/>
          <w:rtl/>
        </w:rPr>
        <w:t>עבודת</w:t>
      </w:r>
      <w:r w:rsidRPr="002A5F4C">
        <w:rPr>
          <w:rtl/>
        </w:rPr>
        <w:t xml:space="preserve"> </w:t>
      </w:r>
      <w:r w:rsidRPr="002A5F4C">
        <w:rPr>
          <w:b/>
          <w:bCs/>
          <w:rtl/>
        </w:rPr>
        <w:t>האדם</w:t>
      </w:r>
      <w:r w:rsidRPr="002A5F4C">
        <w:rPr>
          <w:rtl/>
        </w:rPr>
        <w:t>: בחוקים או דברים שאין נפש של אדם מחמדתן, יכול להניח את עצמו להתאוות להם—ולכן יאמר "אפשי" מצד מעלת הקב"ע. אבל לא כן הוא במשפטים (לפי הדרך מצוותיך), או בעבירות שהנפש מחמדתן (לפי התו"ח):</w:t>
      </w:r>
      <w:r w:rsidRPr="002A5F4C">
        <w:rPr>
          <w:rFonts w:ascii="Cambria" w:hAnsi="Cambria" w:cs="Cambria" w:hint="cs"/>
          <w:rtl/>
        </w:rPr>
        <w:t> </w:t>
      </w:r>
    </w:p>
    <w:p w:rsidR="002A5F4C" w:rsidRPr="002A5F4C" w:rsidRDefault="002A5F4C" w:rsidP="00F146A6">
      <w:pPr>
        <w:pStyle w:val="a3"/>
        <w:rPr>
          <w:rFonts w:ascii="Times New Roman" w:hAnsi="Times New Roman" w:cs="Times New Roman"/>
        </w:rPr>
      </w:pPr>
      <w:r w:rsidRPr="002A5F4C">
        <w:rPr>
          <w:rtl/>
        </w:rPr>
        <w:t xml:space="preserve">לפי הדרך מצוותיך, אינו יכול לומר אפשי במשפטים, ד"במצות שהן רעות גם מצד השכל, צריך למאוס בהם </w:t>
      </w:r>
      <w:r w:rsidRPr="002A5F4C">
        <w:rPr>
          <w:b/>
          <w:bCs/>
          <w:rtl/>
        </w:rPr>
        <w:t>לזכך נפשו</w:t>
      </w:r>
      <w:r w:rsidRPr="002A5F4C">
        <w:rPr>
          <w:rtl/>
        </w:rPr>
        <w:t>", היינו לפעול על עצמו לקיימם גם מצד עבודה פנימית (וכמו שמפרש בדרך מצוותיך המבואר, ועי' בש"פ משפטים תשכ"ה ובכ"מ בתורת כ"ק).</w:t>
      </w:r>
      <w:r w:rsidRPr="002A5F4C">
        <w:rPr>
          <w:rFonts w:ascii="Cambria" w:hAnsi="Cambria" w:cs="Cambria" w:hint="cs"/>
          <w:rtl/>
        </w:rPr>
        <w:t> </w:t>
      </w:r>
    </w:p>
    <w:p w:rsidR="002A5F4C" w:rsidRPr="002A5F4C" w:rsidRDefault="002A5F4C" w:rsidP="00F146A6">
      <w:pPr>
        <w:pStyle w:val="a3"/>
        <w:rPr>
          <w:rFonts w:ascii="Times New Roman" w:hAnsi="Times New Roman" w:cs="Times New Roman"/>
        </w:rPr>
      </w:pPr>
      <w:r w:rsidRPr="002A5F4C">
        <w:rPr>
          <w:rtl/>
        </w:rPr>
        <w:t>ולפי התו"ח אינו יכול לומר אפשי בעבירות שהנפש מחמדתן—"כדי שיהי' אהבתו לה' ברה וזכה מגסות הנוגה שלא יחשיך כשיהי' לו ג"כ האהבה לגזל כו' וד"ל".</w:t>
      </w:r>
      <w:r w:rsidRPr="002A5F4C">
        <w:rPr>
          <w:rFonts w:ascii="Cambria" w:hAnsi="Cambria" w:cs="Cambria" w:hint="cs"/>
          <w:rtl/>
        </w:rPr>
        <w:t> </w:t>
      </w:r>
    </w:p>
    <w:p w:rsidR="002A5F4C" w:rsidRPr="002A5F4C" w:rsidRDefault="002A5F4C" w:rsidP="00F146A6">
      <w:pPr>
        <w:pStyle w:val="a3"/>
        <w:rPr>
          <w:rFonts w:ascii="Times New Roman" w:hAnsi="Times New Roman" w:cs="Times New Roman"/>
        </w:rPr>
      </w:pPr>
      <w:r w:rsidRPr="002A5F4C">
        <w:rPr>
          <w:rtl/>
        </w:rPr>
        <w:t xml:space="preserve">[ויתירה מזו: בש"פ משפטים תשכ"ט הרבי מבאר שחסידות </w:t>
      </w:r>
      <w:r w:rsidRPr="002A5F4C">
        <w:rPr>
          <w:b/>
          <w:bCs/>
          <w:rtl/>
        </w:rPr>
        <w:t xml:space="preserve">אינו מחלקת כלל בין חוקים ומשפטים </w:t>
      </w:r>
      <w:r w:rsidRPr="002A5F4C">
        <w:rPr>
          <w:rtl/>
        </w:rPr>
        <w:t>בנוגע לאי אפשי, שהרי זה שהצדיק יכול לומר אפשי הוא מפני שכל דבר רע מופרך אצלו לגמרי—ואין בזה חילוק בין חוקים ומשפטים. ואכ"מ]</w:t>
      </w:r>
      <w:r w:rsidRPr="002A5F4C">
        <w:rPr>
          <w:rFonts w:ascii="Cambria" w:hAnsi="Cambria" w:cs="Cambria" w:hint="cs"/>
          <w:rtl/>
        </w:rPr>
        <w:t>  </w:t>
      </w:r>
    </w:p>
    <w:p w:rsidR="002A5F4C" w:rsidRPr="002A5F4C" w:rsidRDefault="002A5F4C" w:rsidP="00F146A6">
      <w:pPr>
        <w:pStyle w:val="a3"/>
        <w:rPr>
          <w:rFonts w:ascii="Times New Roman" w:hAnsi="Times New Roman" w:cs="Times New Roman"/>
        </w:rPr>
      </w:pPr>
      <w:r w:rsidRPr="002A5F4C">
        <w:rPr>
          <w:rtl/>
        </w:rPr>
        <w:t>לסיכום קצת:</w:t>
      </w:r>
    </w:p>
    <w:p w:rsidR="002A5F4C" w:rsidRPr="002A5F4C" w:rsidRDefault="002A5F4C" w:rsidP="00F146A6">
      <w:pPr>
        <w:pStyle w:val="a3"/>
        <w:rPr>
          <w:rFonts w:ascii="Times New Roman" w:hAnsi="Times New Roman" w:cs="Times New Roman"/>
          <w:rtl/>
        </w:rPr>
      </w:pPr>
      <w:r w:rsidRPr="002A5F4C">
        <w:rPr>
          <w:rtl/>
        </w:rPr>
        <w:t>לפי הביאור בנצבים תשמ"ב (ואולי זהו שיטת רש"י): אל יאמר אדם אי אפשי אלא אפשי ומה אעשה—</w:t>
      </w:r>
      <w:r w:rsidRPr="002A5F4C">
        <w:rPr>
          <w:b/>
          <w:bCs/>
          <w:rtl/>
        </w:rPr>
        <w:t>מפני שדרך זה לא יועיל, ואינו יכול למאוס</w:t>
      </w:r>
      <w:r w:rsidRPr="002A5F4C">
        <w:rPr>
          <w:rtl/>
        </w:rPr>
        <w:t xml:space="preserve"> </w:t>
      </w:r>
      <w:r w:rsidRPr="002A5F4C">
        <w:rPr>
          <w:b/>
          <w:bCs/>
          <w:rtl/>
        </w:rPr>
        <w:t>באמת ורק עי"ז יקיים המצוות בפועל.</w:t>
      </w:r>
    </w:p>
    <w:p w:rsidR="002A5F4C" w:rsidRPr="002A5F4C" w:rsidRDefault="002A5F4C" w:rsidP="00F146A6">
      <w:pPr>
        <w:pStyle w:val="a3"/>
        <w:rPr>
          <w:rFonts w:ascii="Times New Roman" w:hAnsi="Times New Roman" w:cs="Times New Roman"/>
          <w:rtl/>
        </w:rPr>
      </w:pPr>
      <w:r w:rsidRPr="002A5F4C">
        <w:rPr>
          <w:rtl/>
        </w:rPr>
        <w:t xml:space="preserve">לפי הרמב"ם: אל יאמר אדם אי אפשי אלא אפשי ומה אעשה—מפני מעלת כפיית </w:t>
      </w:r>
      <w:r w:rsidRPr="002A5F4C">
        <w:rPr>
          <w:rtl/>
        </w:rPr>
        <w:lastRenderedPageBreak/>
        <w:t>היצר וקב"ע, ובפרט שאין טעם בחוקים אלו, וא"א למאוס בהם באמת. אבל במשפטים נהפוך הוא—צריך למאוס בהם.</w:t>
      </w:r>
    </w:p>
    <w:p w:rsidR="002A5F4C" w:rsidRPr="007907A8" w:rsidRDefault="002A5F4C" w:rsidP="007907A8">
      <w:pPr>
        <w:pStyle w:val="a3"/>
        <w:rPr>
          <w:rFonts w:ascii="Cambria" w:hAnsi="Cambria" w:cs="Cambria"/>
          <w:rtl/>
        </w:rPr>
      </w:pPr>
      <w:r w:rsidRPr="002A5F4C">
        <w:rPr>
          <w:rtl/>
        </w:rPr>
        <w:t xml:space="preserve">לפי חסידות—אל יאמר אדם אי אפשי אלא אפשי ומה אעשה—מפני מעלת הקב"ע. אבל לא כשצריך לזכך נפשו, היינו משפטים (לפי הביאור בדרך מצוותיך), או כשיכול למשוך הרע בנפשו, בדברים שנפש של אדם מחמדתן (לפי התו"ח). </w:t>
      </w:r>
      <w:r w:rsidRPr="002A5F4C">
        <w:rPr>
          <w:rFonts w:ascii="Cambria" w:hAnsi="Cambria" w:cs="Cambria" w:hint="cs"/>
          <w:rtl/>
        </w:rPr>
        <w:t>   </w:t>
      </w:r>
    </w:p>
    <w:p w:rsidR="002A5F4C" w:rsidRDefault="002A5F4C" w:rsidP="002A5F4C">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211CAD" w:rsidRPr="00504269" w:rsidRDefault="00211CAD" w:rsidP="00211CAD">
      <w:pPr>
        <w:pStyle w:val="a0"/>
        <w:rPr>
          <w:rFonts w:ascii="Arial" w:hAnsi="Arial" w:cs="Arial"/>
          <w:color w:val="222222"/>
          <w:sz w:val="24"/>
          <w:szCs w:val="24"/>
        </w:rPr>
      </w:pPr>
      <w:bookmarkStart w:id="113" w:name="_Toc43963087"/>
      <w:r w:rsidRPr="00504269">
        <w:rPr>
          <w:rtl/>
        </w:rPr>
        <w:t>לשיטתייהו דבתר מקבל אזלינן - הווה מכריע</w:t>
      </w:r>
      <w:bookmarkEnd w:id="113"/>
    </w:p>
    <w:p w:rsidR="00211CAD" w:rsidRDefault="00211CAD" w:rsidP="00F146A6">
      <w:pPr>
        <w:pStyle w:val="a"/>
        <w:rPr>
          <w:rtl/>
        </w:rPr>
      </w:pPr>
      <w:bookmarkStart w:id="114" w:name="_Toc43963088"/>
      <w:r w:rsidRPr="00211CAD">
        <w:rPr>
          <w:rtl/>
        </w:rPr>
        <w:t>הת</w:t>
      </w:r>
      <w:r w:rsidRPr="00211CAD">
        <w:rPr>
          <w:rFonts w:hint="cs"/>
          <w:rtl/>
        </w:rPr>
        <w:t>'</w:t>
      </w:r>
      <w:r w:rsidRPr="00211CAD">
        <w:rPr>
          <w:rtl/>
        </w:rPr>
        <w:t xml:space="preserve"> דב בעריש רוטנברג</w:t>
      </w:r>
      <w:bookmarkEnd w:id="114"/>
    </w:p>
    <w:p w:rsidR="00211CAD" w:rsidRPr="00504269" w:rsidRDefault="00211CAD" w:rsidP="00211CAD">
      <w:pPr>
        <w:pStyle w:val="a1"/>
        <w:rPr>
          <w:rFonts w:ascii="Arial" w:hAnsi="Arial" w:cs="Arial"/>
          <w:color w:val="222222"/>
        </w:rPr>
      </w:pPr>
      <w:r>
        <w:rPr>
          <w:rFonts w:hint="cs"/>
          <w:rtl/>
        </w:rPr>
        <w:t>תלמיד שע"י הציון הק'</w:t>
      </w:r>
    </w:p>
    <w:p w:rsidR="00211CAD" w:rsidRPr="00211CAD" w:rsidRDefault="00211CAD" w:rsidP="00F146A6">
      <w:pPr>
        <w:pStyle w:val="a3"/>
      </w:pPr>
      <w:r w:rsidRPr="00211CAD">
        <w:rPr>
          <w:rtl/>
        </w:rPr>
        <w:t>א. בשו"ת נודע ביהודה מהדו"ק אה"ע סימן ע"ו הקשה הגאון יצחק הלוי הורביץ על יסודו של הנודע ביהודה (שם סימן ע"ה) שכאשר יהודי שולח שליח לדבר עבירה אזי (אפילו בעבירות הבודדות שבהן 'יש שליח לדבר עבירה', זהו רק שהמשלח חייב כאילו הוא עשה את המעשה, אבל)</w:t>
      </w:r>
      <w:r w:rsidRPr="00211CAD">
        <w:rPr>
          <w:b/>
          <w:bCs/>
          <w:rtl/>
        </w:rPr>
        <w:t xml:space="preserve"> המעשה עצמו </w:t>
      </w:r>
      <w:r w:rsidRPr="00211CAD">
        <w:rPr>
          <w:rtl/>
        </w:rPr>
        <w:t>בטל - מלבד במקרים בהם השליחות היתה לפעול דבר ממשי בעולם שלא ניתן לבטלו (לדוגמא: השולח לטבוח שור דהרי שור שחוט לפניך. משא"כ כששולח שליח לגרש אשה באופן אסור אזי הגט בטל).</w:t>
      </w:r>
    </w:p>
    <w:p w:rsidR="00211CAD" w:rsidRPr="00211CAD" w:rsidRDefault="00211CAD" w:rsidP="00F146A6">
      <w:pPr>
        <w:pStyle w:val="a3"/>
        <w:rPr>
          <w:rtl/>
        </w:rPr>
      </w:pPr>
      <w:r w:rsidRPr="00211CAD">
        <w:rPr>
          <w:rtl/>
        </w:rPr>
        <w:t>והקשה הגאון הנ"ל (בין היתר): "קשה הרי מתניתין מפורשת האומר תן שחרור זה לעבדי לא יחזור, וקיימא לן כרב יהודה דאמר המשחרר עבדו עובר בעשה ואם כן אמאי יהיה משוחרר הא אין שליח לדבר עבירה" - אלא על כרחך דהא ד'שליח לדבר עבירה' משמעותו רק האם המשלח או השליח חייב, אבל המעשה עצמו קיים ולכן השולח לשחרר עבדו כנעני דהוה עבירה לא יכול לחזור בו מהשחרור?</w:t>
      </w:r>
    </w:p>
    <w:p w:rsidR="00211CAD" w:rsidRPr="00211CAD" w:rsidRDefault="00211CAD" w:rsidP="00F146A6">
      <w:pPr>
        <w:pStyle w:val="a3"/>
        <w:rPr>
          <w:rtl/>
        </w:rPr>
      </w:pPr>
      <w:r w:rsidRPr="00211CAD">
        <w:rPr>
          <w:rtl/>
        </w:rPr>
        <w:t xml:space="preserve">ובתגובה לכך כותב הנודע ביהודה (בסימן ע"ז): "ומה שהביא מתן זה לעבדי . . וכי שליח המשחרר הוא זה והלא אינו אלא שליח של העבד להיות זוכה לו שלא בפניו וזכיה מטעם שליחות. ואם יאמר שיוכיח מדברי רבי מאיר שאומר יחזור ומשמע שאם אינו חוזר שפיר נותן השליח השטר שחרור ליד העבד" - כלומר, לפי הדיעה שהאדון לא יכול לחזור בו מהשחרור הרי זה נחשב שהשליח הוא שלוחו של העבד (כי הוא זוכה לו וזכיה מטעם שליחות) ואין כאן בכלל שליחות לדבר עבירה. ואפילו לדיעת רבי מאיר (במשנה שם) שהאדון כן יכול לחזור ולפי זה לכאורה השליח הוא שלוחו של האדון (כי אם היה שלוחו של העבד מצד זכיה, איך יכול האדון לחזור בו אחרי שהלה זכה כבר לעבד?), מכל מקום אין קושיא על הנודע ביהודה - "אי בעית אמינא </w:t>
      </w:r>
      <w:r w:rsidRPr="00211CAD">
        <w:rPr>
          <w:b/>
          <w:bCs/>
          <w:rtl/>
        </w:rPr>
        <w:t xml:space="preserve">ומנין ליה שרבי מאיר אינו סובר כר' ישמעאל דלעולם בהם תעבודו רשות </w:t>
      </w:r>
      <w:r w:rsidRPr="00211CAD">
        <w:rPr>
          <w:rtl/>
        </w:rPr>
        <w:t xml:space="preserve">ועוד וכי לא </w:t>
      </w:r>
      <w:r w:rsidRPr="00211CAD">
        <w:rPr>
          <w:rtl/>
        </w:rPr>
        <w:lastRenderedPageBreak/>
        <w:t>משכחת במשחררו לצורך מצוה שאין בו איסור כלל".</w:t>
      </w:r>
    </w:p>
    <w:p w:rsidR="00211CAD" w:rsidRPr="00211CAD" w:rsidRDefault="00211CAD" w:rsidP="00F146A6">
      <w:pPr>
        <w:pStyle w:val="a3"/>
        <w:rPr>
          <w:rtl/>
        </w:rPr>
      </w:pPr>
      <w:r w:rsidRPr="00211CAD">
        <w:rPr>
          <w:rtl/>
        </w:rPr>
        <w:t>והנה הנודע ביהודה כתב זאת בלשון ספק, דאולי יש להעמיד שלדעת רבי מאיר מותר לאדם לשחרר את עבדו הכנעני, אך לא הכריח שאכן כך הדבר.</w:t>
      </w:r>
    </w:p>
    <w:p w:rsidR="00211CAD" w:rsidRPr="00211CAD" w:rsidRDefault="00211CAD" w:rsidP="00F146A6">
      <w:pPr>
        <w:pStyle w:val="a3"/>
        <w:rPr>
          <w:rtl/>
        </w:rPr>
      </w:pPr>
      <w:r w:rsidRPr="00211CAD">
        <w:rPr>
          <w:rtl/>
        </w:rPr>
        <w:t>[ובשו"ת רעק"א (סימן קצ"ד) באמת הקשה על תירוץ זה מדברי התוספות בגיטין, עיי"ש]</w:t>
      </w:r>
    </w:p>
    <w:p w:rsidR="00211CAD" w:rsidRPr="00211CAD" w:rsidRDefault="00211CAD" w:rsidP="00F146A6">
      <w:pPr>
        <w:pStyle w:val="a3"/>
        <w:rPr>
          <w:rtl/>
        </w:rPr>
      </w:pPr>
      <w:r w:rsidRPr="00211CAD">
        <w:rPr>
          <w:rtl/>
        </w:rPr>
        <w:t>אבל בספר צמח דוד (על תשובות רעק"א שם) כתב שהדבר באמת מוכרח, ובלשונו: "לפי מה שכתבו הראשונים ז"ל דאיסור לשחרר את העבד הוא משום דאסור לתת להם מתנת חינם ולשחררו בדמים מותר, אם כן רבי מאיר דסבירא ליה בפסחים כ"א: דמותר לתת להם מתנת חינם דסבירא ליה בין לגר בין לעכו"ם בין במכירה בין בנתינה אם כן על כרחך סבירא ליה כמאן דאמר לעולם בהם תעבודו רשות".</w:t>
      </w:r>
    </w:p>
    <w:p w:rsidR="00211CAD" w:rsidRPr="00211CAD" w:rsidRDefault="00211CAD" w:rsidP="00F146A6">
      <w:pPr>
        <w:pStyle w:val="a3"/>
        <w:rPr>
          <w:rtl/>
        </w:rPr>
      </w:pPr>
      <w:r w:rsidRPr="00211CAD">
        <w:rPr>
          <w:rtl/>
        </w:rPr>
        <w:t>ב. ויש להוסיף עוד אופן להכריח שרבי מאיר סבירא ליה דווקא כרבי ישמעאל דמותר לשחרר עבדו, על פי המבואר בשיחות כ"ק אדמו"ר. בהקדם מה שכתבתי בגיליון א'קו (עמוד 33. וראה גם מה שכתבתי בזה בגיליון א'קמט):</w:t>
      </w:r>
    </w:p>
    <w:p w:rsidR="00211CAD" w:rsidRPr="00211CAD" w:rsidRDefault="00211CAD" w:rsidP="00F146A6">
      <w:pPr>
        <w:pStyle w:val="a3"/>
        <w:rPr>
          <w:rtl/>
        </w:rPr>
      </w:pPr>
      <w:r w:rsidRPr="00211CAD">
        <w:rPr>
          <w:rtl/>
        </w:rPr>
        <w:t>בהדרן הא' על מסכת פסחים (שנדפס בהגדה של פסח עם לקוטי טעמים וכו') מבאר כ"ק אדמו"ר באריכות שרבי עקיבא ורבי ישמעאל נחלקו אי בכללות התורה אזלינן בתר גדרי הנותן - לרבי עקיבא - או בתר המקבלים - לרבי ישמעאל. ומביא דוגמאות רבות על כך.</w:t>
      </w:r>
    </w:p>
    <w:p w:rsidR="00211CAD" w:rsidRPr="00211CAD" w:rsidRDefault="00211CAD" w:rsidP="00F146A6">
      <w:pPr>
        <w:pStyle w:val="a3"/>
        <w:rPr>
          <w:rtl/>
        </w:rPr>
      </w:pPr>
      <w:r w:rsidRPr="00211CAD">
        <w:rPr>
          <w:rtl/>
        </w:rPr>
        <w:t>ויש לומר דרבי עקיבא אזיל בזה לשיטתו שכאשר ישנו ספק אם להכריע דין על פי המצב בהווה או לפי מה שיהיה בעתיד - העתיד מכריע (כמבואר בלקוטי שיחות חלק י"ט שיחת נחמו, ושיחת יום הכפורים בחלק כ"ד):</w:t>
      </w:r>
    </w:p>
    <w:p w:rsidR="00211CAD" w:rsidRPr="00211CAD" w:rsidRDefault="00211CAD" w:rsidP="00F146A6">
      <w:pPr>
        <w:pStyle w:val="a3"/>
        <w:rPr>
          <w:rtl/>
        </w:rPr>
      </w:pPr>
      <w:r w:rsidRPr="00211CAD">
        <w:rPr>
          <w:rtl/>
        </w:rPr>
        <w:t>דהנה גבי מחלוקת הנ"ל דהווה ועתיד מבאר כ"ק אדמו"ר (בחט"ז שיחת כי תשא ב') דנחלקו בה גם ר' יהודה (עתיד) ור' מאיר (הווה), ומביא על כך שלוש דוגמאות (בנוגע לאופן רקיחת שמן המשחה, דין השוכר, ושיעור אכילה לזימון), עיי"ש בארוכה.</w:t>
      </w:r>
    </w:p>
    <w:p w:rsidR="00211CAD" w:rsidRPr="00211CAD" w:rsidRDefault="00211CAD" w:rsidP="00F146A6">
      <w:pPr>
        <w:pStyle w:val="a3"/>
        <w:rPr>
          <w:rtl/>
        </w:rPr>
      </w:pPr>
      <w:r w:rsidRPr="00211CAD">
        <w:rPr>
          <w:rtl/>
        </w:rPr>
        <w:t>ובסעיף י"א, מבאר מדוע "וצריכא", מדוע נשנתה המחלוקת בכל שלושת המקומות, ובנוגע להא דשמן המשחה מבאר וזלה"ק:</w:t>
      </w:r>
    </w:p>
    <w:p w:rsidR="00211CAD" w:rsidRPr="00211CAD" w:rsidRDefault="00211CAD" w:rsidP="00F146A6">
      <w:pPr>
        <w:pStyle w:val="a3"/>
        <w:rPr>
          <w:rtl/>
        </w:rPr>
      </w:pPr>
      <w:r w:rsidRPr="00211CAD">
        <w:rPr>
          <w:rtl/>
        </w:rPr>
        <w:t xml:space="preserve">וויבאלד די עשיית שמן המשחה איז א ציוויי פון אויבערשטן, וואס ביי אים איז דאך הי׳ הווה ויהי׳ כאחד, איז דאך דער עתיד שוין פאראן בהווה. ובפרט לויט דער הדגשה פון תוספתא ״שהימים והשעות כחוט השערה לפני המקום״ און ווי דער ראגאצאווער איז דאס מפרש אז דאס איז ״כנקודה״, ״חלק שאינו מתחלק״. און הגם אז דער קיום הציווי איז תלוי אין אידן - וויבאלד אבער עס האנדלט זיך וועגן מקיים זיין א ציוויי פון אויבערשטן, דארף מען אים טאן ווי עס טראגט אויס מצד אים כביכול, </w:t>
      </w:r>
      <w:r w:rsidRPr="00211CAD">
        <w:rPr>
          <w:rtl/>
        </w:rPr>
        <w:lastRenderedPageBreak/>
        <w:t>וואס הי׳ הווה ויהי' כאחד.</w:t>
      </w:r>
    </w:p>
    <w:p w:rsidR="00211CAD" w:rsidRPr="00211CAD" w:rsidRDefault="00211CAD" w:rsidP="00F146A6">
      <w:pPr>
        <w:pStyle w:val="a3"/>
        <w:rPr>
          <w:rtl/>
        </w:rPr>
      </w:pPr>
      <w:r w:rsidRPr="00211CAD">
        <w:rPr>
          <w:rtl/>
        </w:rPr>
        <w:t>היינו דאילו לא היו נחלקים בפירוש בהא דשמן המשחה, היינו חושבים דשם לכ"ע אזלינן בתר העתיד, משום שהמדובר בציווי של הקב"ה שאצלו "דער עתיד שוין פאראן בהווה".</w:t>
      </w:r>
    </w:p>
    <w:p w:rsidR="00211CAD" w:rsidRPr="00211CAD" w:rsidRDefault="00211CAD" w:rsidP="00F146A6">
      <w:pPr>
        <w:pStyle w:val="a3"/>
        <w:rPr>
          <w:rtl/>
        </w:rPr>
      </w:pPr>
      <w:r w:rsidRPr="00211CAD">
        <w:rPr>
          <w:rtl/>
        </w:rPr>
        <w:t>והנה, אליבא דאמת, המחלוקת ביניהם כן נשנתה גם גבי שמן המשחה, ור"מ כן סובר דאזלינן בתר ההווה.</w:t>
      </w:r>
    </w:p>
    <w:p w:rsidR="00211CAD" w:rsidRPr="00211CAD" w:rsidRDefault="00211CAD" w:rsidP="00F146A6">
      <w:pPr>
        <w:pStyle w:val="a3"/>
        <w:rPr>
          <w:rtl/>
        </w:rPr>
      </w:pPr>
      <w:r w:rsidRPr="00211CAD">
        <w:rPr>
          <w:rtl/>
        </w:rPr>
        <w:t>ומסתבר לומר, דזהו לפי שנחלקים במחלוקת הנ"ל דר"ע ור"י, אי התורה בגדר הנותן או המקבל, ולפי דר"מ ס"ל כר"י דהתורה היא בגדר המקבל ואף ציווי של הקב"ה יש לקיים כפי שהוא מצידנו, דההווה אינו כולל את העתיד.</w:t>
      </w:r>
    </w:p>
    <w:p w:rsidR="00211CAD" w:rsidRPr="00211CAD" w:rsidRDefault="00211CAD" w:rsidP="00F146A6">
      <w:pPr>
        <w:pStyle w:val="a3"/>
        <w:rPr>
          <w:rtl/>
        </w:rPr>
      </w:pPr>
      <w:r w:rsidRPr="00211CAD">
        <w:rPr>
          <w:rtl/>
        </w:rPr>
        <w:t>ולפי זה אתי שפיר מאוד, מה דר"ע עצמו ס"ל דהעתיד מכריע את ההווה, לפי דהתורה נותרה בגדר הנותן דאצלו "דער עתיד שוין פאראן בהווה".</w:t>
      </w:r>
    </w:p>
    <w:p w:rsidR="00211CAD" w:rsidRPr="00211CAD" w:rsidRDefault="00211CAD" w:rsidP="00F146A6">
      <w:pPr>
        <w:pStyle w:val="a3"/>
        <w:rPr>
          <w:rtl/>
        </w:rPr>
      </w:pPr>
      <w:r w:rsidRPr="00211CAD">
        <w:rPr>
          <w:rtl/>
        </w:rPr>
        <w:t>(עד כאן ממה שכתבתי בגיליון א'קו)</w:t>
      </w:r>
    </w:p>
    <w:p w:rsidR="00211CAD" w:rsidRPr="00211CAD" w:rsidRDefault="00211CAD" w:rsidP="00F146A6">
      <w:pPr>
        <w:pStyle w:val="a3"/>
        <w:rPr>
          <w:rtl/>
        </w:rPr>
      </w:pPr>
      <w:r w:rsidRPr="00211CAD">
        <w:rPr>
          <w:rtl/>
        </w:rPr>
        <w:t>הרי לנו בבירור שרבי מאיר סובר כשיטתו הכללית של רבי ישמעאל דאזלינן בתר המקבל - והרי אחת הדוגמאות שבהדרן שם למחלוקת הנובעת מענין זה, היא המחלוקת דרבי ישמעאל ורבי עקיבא אם "לעולם בהם</w:t>
      </w:r>
      <w:r w:rsidRPr="00211CAD">
        <w:rPr>
          <w:rFonts w:ascii="Cambria" w:hAnsi="Cambria" w:cs="Cambria" w:hint="cs"/>
          <w:rtl/>
        </w:rPr>
        <w:t> </w:t>
      </w:r>
      <w:r w:rsidRPr="00211CAD">
        <w:rPr>
          <w:rtl/>
        </w:rPr>
        <w:t xml:space="preserve"> </w:t>
      </w:r>
      <w:r w:rsidRPr="00211CAD">
        <w:rPr>
          <w:rFonts w:hint="cs"/>
          <w:rtl/>
        </w:rPr>
        <w:t>תעבודו</w:t>
      </w:r>
      <w:r w:rsidRPr="00211CAD">
        <w:rPr>
          <w:rtl/>
        </w:rPr>
        <w:t xml:space="preserve">" </w:t>
      </w:r>
      <w:r w:rsidRPr="00211CAD">
        <w:rPr>
          <w:rFonts w:hint="cs"/>
          <w:rtl/>
        </w:rPr>
        <w:t>הוי</w:t>
      </w:r>
      <w:r w:rsidRPr="00211CAD">
        <w:rPr>
          <w:rtl/>
        </w:rPr>
        <w:t xml:space="preserve"> '</w:t>
      </w:r>
      <w:r w:rsidRPr="00211CAD">
        <w:rPr>
          <w:rFonts w:hint="cs"/>
          <w:rtl/>
        </w:rPr>
        <w:t>רשות</w:t>
      </w:r>
      <w:r w:rsidRPr="00211CAD">
        <w:rPr>
          <w:rtl/>
        </w:rPr>
        <w:t>' (</w:t>
      </w:r>
      <w:r w:rsidRPr="00211CAD">
        <w:rPr>
          <w:rFonts w:hint="cs"/>
          <w:rtl/>
        </w:rPr>
        <w:t>רבי</w:t>
      </w:r>
      <w:r w:rsidRPr="00211CAD">
        <w:rPr>
          <w:rtl/>
        </w:rPr>
        <w:t xml:space="preserve"> </w:t>
      </w:r>
      <w:r w:rsidRPr="00211CAD">
        <w:rPr>
          <w:rFonts w:hint="cs"/>
          <w:rtl/>
        </w:rPr>
        <w:t>ישמעאל</w:t>
      </w:r>
      <w:r w:rsidRPr="00211CAD">
        <w:rPr>
          <w:rtl/>
        </w:rPr>
        <w:t xml:space="preserve">, </w:t>
      </w:r>
      <w:r w:rsidRPr="00211CAD">
        <w:rPr>
          <w:rFonts w:hint="cs"/>
          <w:rtl/>
        </w:rPr>
        <w:t>מקבל</w:t>
      </w:r>
      <w:r w:rsidRPr="00211CAD">
        <w:rPr>
          <w:rtl/>
        </w:rPr>
        <w:t xml:space="preserve">) </w:t>
      </w:r>
      <w:r w:rsidRPr="00211CAD">
        <w:rPr>
          <w:rFonts w:hint="cs"/>
          <w:rtl/>
        </w:rPr>
        <w:t>או</w:t>
      </w:r>
      <w:r w:rsidRPr="00211CAD">
        <w:rPr>
          <w:rtl/>
        </w:rPr>
        <w:t xml:space="preserve"> '</w:t>
      </w:r>
      <w:r w:rsidRPr="00211CAD">
        <w:rPr>
          <w:rFonts w:hint="cs"/>
          <w:rtl/>
        </w:rPr>
        <w:t>חובה</w:t>
      </w:r>
      <w:r w:rsidRPr="00211CAD">
        <w:rPr>
          <w:rtl/>
        </w:rPr>
        <w:t>' (</w:t>
      </w:r>
      <w:r w:rsidRPr="00211CAD">
        <w:rPr>
          <w:rFonts w:hint="cs"/>
          <w:rtl/>
        </w:rPr>
        <w:t>רבי</w:t>
      </w:r>
      <w:r w:rsidRPr="00211CAD">
        <w:rPr>
          <w:rtl/>
        </w:rPr>
        <w:t xml:space="preserve"> </w:t>
      </w:r>
      <w:r w:rsidRPr="00211CAD">
        <w:rPr>
          <w:rFonts w:hint="cs"/>
          <w:rtl/>
        </w:rPr>
        <w:t>עקיבא</w:t>
      </w:r>
      <w:r w:rsidRPr="00211CAD">
        <w:rPr>
          <w:rtl/>
        </w:rPr>
        <w:t xml:space="preserve">, </w:t>
      </w:r>
      <w:r w:rsidRPr="00211CAD">
        <w:rPr>
          <w:rFonts w:hint="cs"/>
          <w:rtl/>
        </w:rPr>
        <w:t>נותן</w:t>
      </w:r>
      <w:r w:rsidRPr="00211CAD">
        <w:rPr>
          <w:rtl/>
        </w:rPr>
        <w:t>).</w:t>
      </w:r>
    </w:p>
    <w:p w:rsidR="00211CAD" w:rsidRPr="00211CAD" w:rsidRDefault="00211CAD" w:rsidP="00F146A6">
      <w:pPr>
        <w:pStyle w:val="a3"/>
        <w:rPr>
          <w:rtl/>
        </w:rPr>
      </w:pPr>
      <w:r w:rsidRPr="00211CAD">
        <w:rPr>
          <w:rtl/>
        </w:rPr>
        <w:t>ואם כן זהו יסוד חזק "מנין ליה שרבי מאיר סובר כר' ישמעאל דלעולם בהם תעבודו רשות".</w:t>
      </w:r>
    </w:p>
    <w:p w:rsidR="00211CAD" w:rsidRPr="00211CAD" w:rsidRDefault="00211CAD" w:rsidP="00F146A6">
      <w:pPr>
        <w:pStyle w:val="a3"/>
        <w:rPr>
          <w:rtl/>
        </w:rPr>
      </w:pPr>
      <w:r w:rsidRPr="00211CAD">
        <w:rPr>
          <w:rtl/>
        </w:rPr>
        <w:t>ג. ובהתאם לדברי הצמח דוד שהבאנו, יוצא שגם בהא דמותר לתת לנכרי מתנת חינם אזיל רבי מאיר לשיטתיה - דהואיל ומכריע לפי ההווה הרי זה סימן דאזיל בתר המקבל וש"לעולם בהם תעבודו" הוא רק 'רשות', ועל פי ביאור הראשונים שהביא הצמח דוד כדי לומר שהוא רשות מוכרח רבי מאיר לומר שמותר לתת מתנת חינם לנכרי.</w:t>
      </w:r>
    </w:p>
    <w:p w:rsidR="00211CAD" w:rsidRPr="00211CAD" w:rsidRDefault="00211CAD" w:rsidP="00F146A6">
      <w:pPr>
        <w:pStyle w:val="a3"/>
        <w:rPr>
          <w:rtl/>
        </w:rPr>
      </w:pPr>
      <w:r w:rsidRPr="00211CAD">
        <w:rPr>
          <w:rtl/>
        </w:rPr>
        <w:t>ד. ועל פי זה יש לומר בזה עוד, דהנה המאן דאמר החולק על רבי מאיר בפסחים שם וסובר שאסור לתת מתנת חינם לגוי ('לגר בנתינה ולנכרי במכירה') הוא</w:t>
      </w:r>
      <w:r w:rsidRPr="00211CAD">
        <w:rPr>
          <w:b/>
          <w:bCs/>
          <w:rtl/>
        </w:rPr>
        <w:t xml:space="preserve"> רבי יהודה</w:t>
      </w:r>
      <w:r w:rsidRPr="00211CAD">
        <w:rPr>
          <w:rtl/>
        </w:rPr>
        <w:t>. והרי לפי ביאור הראשונים הנ"ל כדי לומר ש"לעולם בהם תעבודו" הוא 'חובה' מוכרחים לומר שאסור לתת מתנת חינם לנכרי (כי זהו יסוד האיסור לשחרר עבדו בחינם).</w:t>
      </w:r>
    </w:p>
    <w:p w:rsidR="00211CAD" w:rsidRPr="00211CAD" w:rsidRDefault="00211CAD" w:rsidP="00F146A6">
      <w:pPr>
        <w:pStyle w:val="a3"/>
        <w:rPr>
          <w:rtl/>
        </w:rPr>
      </w:pPr>
      <w:r w:rsidRPr="00211CAD">
        <w:rPr>
          <w:rtl/>
        </w:rPr>
        <w:t xml:space="preserve">ולפי כל הנ"ל יוצא שרבי יהודה ורבי מאיר חלוקים לגבי מתנת חינם לנכרי לפי שהולכים לשיטותיהם אם מכריעים לפי ההווה או העתיד, וממילא נחלקו במחלוקתם של רבי עקיבא ורבי ישמעאל אם "לעולם בהם תעבודו" הוי רשות או חובה, ובאופן </w:t>
      </w:r>
      <w:r w:rsidRPr="00211CAD">
        <w:rPr>
          <w:rtl/>
        </w:rPr>
        <w:lastRenderedPageBreak/>
        <w:t>שהכריחם לחלוק אם מותר לתת מתנת חינם לנכרי.</w:t>
      </w:r>
    </w:p>
    <w:p w:rsidR="00211CAD" w:rsidRPr="00211CAD" w:rsidRDefault="00211CAD" w:rsidP="007907A8">
      <w:pPr>
        <w:pStyle w:val="a3"/>
        <w:jc w:val="center"/>
      </w:pPr>
      <w:r w:rsidRPr="00211CAD">
        <w:rPr>
          <w:rtl/>
        </w:rPr>
        <w:t>*</w:t>
      </w:r>
    </w:p>
    <w:p w:rsidR="00211CAD" w:rsidRPr="00211CAD" w:rsidRDefault="00211CAD" w:rsidP="00F146A6">
      <w:pPr>
        <w:pStyle w:val="a3"/>
      </w:pPr>
      <w:r w:rsidRPr="00211CAD">
        <w:rPr>
          <w:rtl/>
        </w:rPr>
        <w:t xml:space="preserve">ה. בהשקפה ראשונה, יש להקשות משיטת הירושלמי על מה שקישרתי בין המחלוקות דהווה-עתיד ונותן-מקבל. כי מחד משמע דהוא פוסק (ביבמות פרק י"א הלכה ו') ש"לעולם בהם תעבודו" הוא </w:t>
      </w:r>
      <w:r w:rsidRPr="00211CAD">
        <w:rPr>
          <w:b/>
          <w:bCs/>
          <w:rtl/>
        </w:rPr>
        <w:t>רשות</w:t>
      </w:r>
      <w:r w:rsidRPr="00211CAD">
        <w:rPr>
          <w:rtl/>
        </w:rPr>
        <w:t>, ולאידך בריבוי מקומות בלקוטי שיחות (חלק ט"ו שיחה ד' לפרשת ויחי, חלק כ"ד שיחת יום הכיפורים, ועוד) מבאר כ"ק אדמו"ר ששיטת הירושלמי (לעומת הבבלי) היא ש</w:t>
      </w:r>
      <w:r w:rsidRPr="00211CAD">
        <w:rPr>
          <w:b/>
          <w:bCs/>
          <w:rtl/>
        </w:rPr>
        <w:t>העתיד</w:t>
      </w:r>
      <w:r w:rsidRPr="00211CAD">
        <w:rPr>
          <w:rtl/>
        </w:rPr>
        <w:t xml:space="preserve"> מכריע - וזהו היפך כל הנ"ל.</w:t>
      </w:r>
    </w:p>
    <w:p w:rsidR="00211CAD" w:rsidRPr="00211CAD" w:rsidRDefault="00211CAD" w:rsidP="00F146A6">
      <w:pPr>
        <w:pStyle w:val="a3"/>
        <w:rPr>
          <w:rtl/>
        </w:rPr>
      </w:pPr>
      <w:r w:rsidRPr="00211CAD">
        <w:rPr>
          <w:rtl/>
        </w:rPr>
        <w:t xml:space="preserve">אך באמת יש לומר שאין בדבר סתירה. שהרי כל מה שהסברנו הוא דיוק בשיטת </w:t>
      </w:r>
      <w:r w:rsidRPr="00211CAD">
        <w:rPr>
          <w:b/>
          <w:bCs/>
          <w:rtl/>
        </w:rPr>
        <w:t>רבי עקיבא</w:t>
      </w:r>
      <w:r w:rsidRPr="00211CAD">
        <w:rPr>
          <w:rtl/>
        </w:rPr>
        <w:t xml:space="preserve"> שמצינו בפירוש ששיטתו מתאימה בב' המקומות, וכן העולה מזה בשיטות רבי מאיר ורבי יהודה שעליהם מדובר בשיחה בחלק ט"ז (כי תשא) שהיא היסוד לקישור שבין שתי המחלוקות (כפי שהובא לעיל). אבל כמובן שאין בדבר</w:t>
      </w:r>
      <w:r w:rsidRPr="00211CAD">
        <w:rPr>
          <w:b/>
          <w:bCs/>
          <w:rtl/>
        </w:rPr>
        <w:t xml:space="preserve"> הכרח דלכולי עלמא</w:t>
      </w:r>
      <w:r w:rsidRPr="00211CAD">
        <w:rPr>
          <w:rtl/>
        </w:rPr>
        <w:t xml:space="preserve"> הדברים תלויים </w:t>
      </w:r>
      <w:r w:rsidRPr="00211CAD">
        <w:rPr>
          <w:b/>
          <w:bCs/>
          <w:rtl/>
        </w:rPr>
        <w:t>דווקא</w:t>
      </w:r>
      <w:r w:rsidRPr="00211CAD">
        <w:rPr>
          <w:rtl/>
        </w:rPr>
        <w:t xml:space="preserve"> אחד בשני.</w:t>
      </w:r>
    </w:p>
    <w:p w:rsidR="00211CAD" w:rsidRPr="00211CAD" w:rsidRDefault="00211CAD" w:rsidP="00F146A6">
      <w:pPr>
        <w:pStyle w:val="a3"/>
        <w:rPr>
          <w:rtl/>
        </w:rPr>
      </w:pPr>
      <w:r w:rsidRPr="00211CAD">
        <w:rPr>
          <w:rtl/>
        </w:rPr>
        <w:t>והרי בחלק מהמקומות הנ"ל מסביר כ"ק אדמו"ר ששיטת הירושלמי שהעתיד מכריע נובעת מכך שאופן הלימוד שלו הוא באופן של 'אור' (לעומת הבבלי עליו נאמר "במחשכים הושיבני") - עיין שם -</w:t>
      </w:r>
      <w:r w:rsidRPr="00211CAD">
        <w:rPr>
          <w:rFonts w:ascii="Cambria" w:hAnsi="Cambria" w:cs="Cambria" w:hint="cs"/>
          <w:rtl/>
        </w:rPr>
        <w:t> </w:t>
      </w:r>
    </w:p>
    <w:p w:rsidR="00211CAD" w:rsidRPr="00211CAD" w:rsidRDefault="00211CAD" w:rsidP="00F146A6">
      <w:pPr>
        <w:pStyle w:val="a3"/>
        <w:rPr>
          <w:rtl/>
        </w:rPr>
      </w:pPr>
      <w:r w:rsidRPr="00211CAD">
        <w:rPr>
          <w:rtl/>
        </w:rPr>
        <w:t xml:space="preserve">ושפיר אפשר לומר שהירושלמי סבירא ליה דאזלינן בתר המקבל, </w:t>
      </w:r>
      <w:r w:rsidRPr="00211CAD">
        <w:rPr>
          <w:b/>
          <w:bCs/>
          <w:rtl/>
        </w:rPr>
        <w:t>ומכל מקום</w:t>
      </w:r>
      <w:r w:rsidRPr="00211CAD">
        <w:rPr>
          <w:rtl/>
        </w:rPr>
        <w:t xml:space="preserve"> סבירא ליה שבכל מקום העתיד מכריע כי לימודו הוא באופן של 'אור'.</w:t>
      </w:r>
    </w:p>
    <w:p w:rsidR="00211CAD" w:rsidRPr="00211CAD" w:rsidRDefault="00211CAD" w:rsidP="00F146A6">
      <w:pPr>
        <w:pStyle w:val="a3"/>
        <w:rPr>
          <w:rtl/>
        </w:rPr>
      </w:pPr>
      <w:r w:rsidRPr="00211CAD">
        <w:rPr>
          <w:rtl/>
        </w:rPr>
        <w:t>[ולהעיר שמה שהכריח הצמח דוד בשיטת רבי מאיר מתאים גם בדברי הירושלמי - שהרי הירושלמי (עבודה זרה פרק א' הלכה ט') פוסק שמותר לתת מתנת חינם לגוי, שלפי ביאור הראשונים הנ"ל הדבר תלוי בשיטתו ש"לעולם בהם תעבודו" הוא רק רשות (וראה מה שכתב בספר אמרי במערבא, שיטות הירושלמי והבבלי אות מ"ב).</w:t>
      </w:r>
    </w:p>
    <w:p w:rsidR="00211CAD" w:rsidRPr="00211CAD" w:rsidRDefault="00211CAD" w:rsidP="00F146A6">
      <w:pPr>
        <w:pStyle w:val="a3"/>
      </w:pPr>
      <w:r w:rsidRPr="00211CAD">
        <w:rPr>
          <w:rtl/>
        </w:rPr>
        <w:t xml:space="preserve">והצמח דוד לא דיבר בזה כי הוא בא לבאר את דברי הנודע ביהודה והרעק"א שמדברים בשיטת </w:t>
      </w:r>
      <w:r w:rsidRPr="00211CAD">
        <w:rPr>
          <w:b/>
          <w:bCs/>
          <w:rtl/>
        </w:rPr>
        <w:t>רבי מאיר</w:t>
      </w:r>
      <w:r>
        <w:rPr>
          <w:rFonts w:hint="cs"/>
          <w:rtl/>
        </w:rPr>
        <w:t>,</w:t>
      </w:r>
      <w:r w:rsidRPr="00211CAD">
        <w:t xml:space="preserve"> </w:t>
      </w:r>
      <w:r w:rsidRPr="00211CAD">
        <w:rPr>
          <w:rtl/>
        </w:rPr>
        <w:t>ולענין זה לא נוגעת שיטת הירושלמי, כמובן</w:t>
      </w:r>
      <w:r>
        <w:rPr>
          <w:rFonts w:hint="cs"/>
          <w:rtl/>
        </w:rPr>
        <w:t>].</w:t>
      </w:r>
    </w:p>
    <w:p w:rsidR="00364372" w:rsidRDefault="00364372" w:rsidP="0036437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r w:rsidR="007907A8">
        <w:rPr>
          <w:rFonts w:ascii="Nymphette" w:eastAsia="Times New Roman" w:hAnsi="Nymphette" w:cs="Nymphette"/>
          <w:sz w:val="44"/>
          <w:szCs w:val="44"/>
          <w:rtl/>
        </w:rPr>
        <w:br/>
      </w:r>
    </w:p>
    <w:p w:rsidR="00900523" w:rsidRPr="001055C7" w:rsidRDefault="00900523" w:rsidP="00900523">
      <w:pPr>
        <w:pStyle w:val="a0"/>
        <w:rPr>
          <w:sz w:val="24"/>
          <w:szCs w:val="24"/>
        </w:rPr>
      </w:pPr>
      <w:bookmarkStart w:id="115" w:name="_Toc43963089"/>
      <w:r w:rsidRPr="001055C7">
        <w:rPr>
          <w:rtl/>
        </w:rPr>
        <w:lastRenderedPageBreak/>
        <w:t>החקירה בגדר ד"לפני עור" בדברי האחרונים</w:t>
      </w:r>
      <w:bookmarkEnd w:id="115"/>
    </w:p>
    <w:p w:rsidR="00900523" w:rsidRPr="00AB6EC6" w:rsidRDefault="00900523" w:rsidP="00F146A6">
      <w:pPr>
        <w:pStyle w:val="a"/>
      </w:pPr>
      <w:bookmarkStart w:id="116" w:name="_Toc43963090"/>
      <w:r w:rsidRPr="001055C7">
        <w:rPr>
          <w:rtl/>
        </w:rPr>
        <w:t>ה</w:t>
      </w:r>
      <w:r>
        <w:rPr>
          <w:rFonts w:hint="cs"/>
          <w:rtl/>
        </w:rPr>
        <w:t>נ"ל</w:t>
      </w:r>
      <w:bookmarkEnd w:id="116"/>
    </w:p>
    <w:p w:rsidR="00900523" w:rsidRPr="001055C7" w:rsidRDefault="00900523" w:rsidP="00235D91">
      <w:pPr>
        <w:pStyle w:val="a3"/>
        <w:spacing w:before="240"/>
      </w:pPr>
      <w:r w:rsidRPr="001055C7">
        <w:rPr>
          <w:rtl/>
        </w:rPr>
        <w:t>א. בשו"ת נודע ביהודה (מהדורה קמא אבן העזר, סימנים ע"ח - פ"ב) ישנה שקלא וטריא בין הגאון צבי הירש בושקא (מחבר שו"ת תפארת צבי) ובין הנודע ביהודה בנוגע לכמה פרטים בסוגיית 'אין שליח לדבר עבירה' (האם בעינן שהשליח יהיה 'בר חיובא' במעשה זה עצמו שעושה, או שמספיק מה שהוא מחויב בכללות העבירה הנוגעת לשליחותו; האם הלכה כתוספות שיש שליח לדבר עבירה כשהשליח שוגג, או כהנמוקי יוסף והריטב"א שגם בכזה מקרה אין שליח לדבר עבירה; אם הא דאמרינן 'שני כתובים אין מלמדין' היינו שנשארים בלא הכרעה או שהם מלמדים ההיפך מהם).</w:t>
      </w:r>
    </w:p>
    <w:p w:rsidR="00900523" w:rsidRPr="001055C7" w:rsidRDefault="00900523" w:rsidP="00F146A6">
      <w:pPr>
        <w:pStyle w:val="a3"/>
        <w:rPr>
          <w:rtl/>
        </w:rPr>
      </w:pPr>
      <w:r w:rsidRPr="001055C7">
        <w:rPr>
          <w:rtl/>
        </w:rPr>
        <w:t>ובתוך הדברים (סימן ע"ח אות ט', אות א' בסימנים פ', פ"א ופ"ב) דנים בגדרי עבירת "לפני עור לא תתן מכשול" - בקשר לדברי התוספות (בבא מציעא י: ד"ה דאמר) שהעובדה שישראל המשולח לקדש גרושה לכהן עובר על "לפני עור" לא מחשיבה אותו ל'בר חיובא' בשליחות זו - ובכללות נחלקו בשתי נקודות בנושא זה:</w:t>
      </w:r>
    </w:p>
    <w:p w:rsidR="00900523" w:rsidRPr="001055C7" w:rsidRDefault="00900523" w:rsidP="00F146A6">
      <w:pPr>
        <w:pStyle w:val="a3"/>
        <w:rPr>
          <w:rtl/>
        </w:rPr>
      </w:pPr>
      <w:r w:rsidRPr="001055C7">
        <w:rPr>
          <w:rtl/>
        </w:rPr>
        <w:t>א) בביאור סברת התוספות הנ"ל שמצד "לפני עור" אינו נחשב השליח 'בר חיובא':</w:t>
      </w:r>
      <w:r w:rsidRPr="001055C7">
        <w:rPr>
          <w:rFonts w:ascii="Cambria" w:hAnsi="Cambria" w:cs="Cambria" w:hint="cs"/>
          <w:rtl/>
        </w:rPr>
        <w:t> </w:t>
      </w:r>
    </w:p>
    <w:p w:rsidR="00900523" w:rsidRPr="001055C7" w:rsidRDefault="00900523" w:rsidP="00F146A6">
      <w:pPr>
        <w:pStyle w:val="a3"/>
        <w:rPr>
          <w:rtl/>
        </w:rPr>
      </w:pPr>
      <w:r w:rsidRPr="001055C7">
        <w:rPr>
          <w:rtl/>
        </w:rPr>
        <w:t>הגאון צבי הירש מבאר שזה משום שהמשלח לא שלחו לעבור על איסור זה ורק הוא מדעתו מחליט לעבור עליו ולכן אינו עניין לשליחות כלל.</w:t>
      </w:r>
    </w:p>
    <w:p w:rsidR="00900523" w:rsidRPr="001055C7" w:rsidRDefault="00900523" w:rsidP="00F146A6">
      <w:pPr>
        <w:pStyle w:val="a3"/>
        <w:rPr>
          <w:rtl/>
        </w:rPr>
      </w:pPr>
      <w:r w:rsidRPr="001055C7">
        <w:rPr>
          <w:rtl/>
        </w:rPr>
        <w:t>והנודע ביהודה מבאר אחרת - 'ודאי כיון שאין לפני עור עיקר האיסור לא משגיחין ביה, ועיקר האיסור הוא לאו דגרושה', ולכן רק אם השליח מחויב בעיקר האיסור שקשור לשליחות הוא נקרא 'בר חיובא'.</w:t>
      </w:r>
    </w:p>
    <w:p w:rsidR="00900523" w:rsidRPr="001055C7" w:rsidRDefault="00900523" w:rsidP="00F146A6">
      <w:pPr>
        <w:pStyle w:val="a3"/>
        <w:rPr>
          <w:rtl/>
        </w:rPr>
      </w:pPr>
      <w:r w:rsidRPr="001055C7">
        <w:rPr>
          <w:rtl/>
        </w:rPr>
        <w:t>ב) האם "לפני עור" הוי לאו שבכללות:</w:t>
      </w:r>
    </w:p>
    <w:p w:rsidR="00900523" w:rsidRPr="001055C7" w:rsidRDefault="00900523" w:rsidP="00F146A6">
      <w:pPr>
        <w:pStyle w:val="a3"/>
        <w:rPr>
          <w:rtl/>
        </w:rPr>
      </w:pPr>
      <w:r w:rsidRPr="001055C7">
        <w:rPr>
          <w:rtl/>
        </w:rPr>
        <w:t>הגאון צבי הירש מדייק מדברי התוספות במסכת סנהדרין (ס"ג. ד"ה על) שכשם שכתבו דהלאו ד"כל מלאכת עבודה לא תעשו" ביום טוב אינו נחשב לאו שבכללות ('דהתם מפרש טפי דכתיב עבודה דמשתמע כל מלאכה שהיא עבודה') כך גם יאמרו שהלאו ד"לפני עור לא תתן מכשול" אינו נחשב לאו שבכללות (ובלשון הגאון צבי הירש:) 'אף שכולל מכשול הגוף ומכשיל בדבר איסור, כולהו מפורש בלאו לא תתן מכשול'. אך בהמשך לזה מביא שמדברי הרמב"ן (במניין המצוות שורש ט') נראה שהוא כן לאו שבכללות - וכך סובר גם הגאון צבי הירש עצמו.</w:t>
      </w:r>
    </w:p>
    <w:p w:rsidR="00900523" w:rsidRPr="001055C7" w:rsidRDefault="00900523" w:rsidP="00F146A6">
      <w:pPr>
        <w:pStyle w:val="a3"/>
        <w:rPr>
          <w:rtl/>
        </w:rPr>
      </w:pPr>
      <w:r w:rsidRPr="001055C7">
        <w:rPr>
          <w:rtl/>
        </w:rPr>
        <w:t>ואילו הנודע ביהודה כתב באופן סתמי 'דודאי לפני עור הוי לאו שבכללות' - מבלי לפרט את טעם הדבר, והאם זה מתיישב עם דברי התוספות הנ"ל.</w:t>
      </w:r>
    </w:p>
    <w:p w:rsidR="00900523" w:rsidRPr="001055C7" w:rsidRDefault="00900523" w:rsidP="00F146A6">
      <w:pPr>
        <w:pStyle w:val="a3"/>
        <w:rPr>
          <w:rtl/>
        </w:rPr>
      </w:pPr>
      <w:r w:rsidRPr="001055C7">
        <w:rPr>
          <w:rtl/>
        </w:rPr>
        <w:t xml:space="preserve">ב. ונראה להסביר ששתי מחלוקות אלו נובעות משורש משותף - מהו גדר האיסור </w:t>
      </w:r>
      <w:r w:rsidRPr="001055C7">
        <w:rPr>
          <w:rtl/>
        </w:rPr>
        <w:lastRenderedPageBreak/>
        <w:t>ד"לפני עור לא תתן מכשול":</w:t>
      </w:r>
    </w:p>
    <w:p w:rsidR="00900523" w:rsidRPr="001055C7" w:rsidRDefault="00900523" w:rsidP="00F146A6">
      <w:pPr>
        <w:pStyle w:val="a3"/>
        <w:rPr>
          <w:rtl/>
        </w:rPr>
      </w:pPr>
      <w:r w:rsidRPr="001055C7">
        <w:rPr>
          <w:rtl/>
        </w:rPr>
        <w:t>דהנה ידועה חקירת הראגאטשאווער (שו"ת צפנת פענח ירושלים תשכ"ה סימן ה'. וכן הביאה ודן בה כ"ק אדמו"ר כדלקמן) האם "לפני עור" הוא איסור כללי בפני עצמו או שהוא פרט בכל מצווה ומצווה (ועל דרך חקירה נוספת כעין זו של הראגאטשאווער - האם איסור חצי שיעור הוא פרט בכל איסור שאפילו חצי שיעור שלו אסור, או שהוא איסור בפני עצמו).</w:t>
      </w:r>
    </w:p>
    <w:p w:rsidR="00900523" w:rsidRPr="001055C7" w:rsidRDefault="00900523" w:rsidP="00F146A6">
      <w:pPr>
        <w:pStyle w:val="a3"/>
        <w:rPr>
          <w:rtl/>
        </w:rPr>
      </w:pPr>
      <w:r w:rsidRPr="001055C7">
        <w:rPr>
          <w:rtl/>
        </w:rPr>
        <w:t>ולכאורה הדברים מורים ובאים שבזה נחלקו הגאון צבי הירש והנודע ביהודה. דהנודע ביהודה סבירא ליה שהוא פרט בכל מצווה ומצווה ולכן ביאור סברת התוספות הוא פשוט - החשבת השליח כ'בר חיובא' תלויה בחיובו במצווה עצמה (בנידון התוספות - איסור גרושה לכהן) ואם בזה אינו מחויב לא מספיקה העובדה שמחויב רק בפרט אחד שלה. אך הגאון צבי הירש סובר שהוא איסור כללי בפני עצמו, ולכן הוזקק לביאור אחר בסברת התוספות.</w:t>
      </w:r>
    </w:p>
    <w:p w:rsidR="00900523" w:rsidRPr="001055C7" w:rsidRDefault="00900523" w:rsidP="00F146A6">
      <w:pPr>
        <w:pStyle w:val="a3"/>
        <w:rPr>
          <w:rtl/>
        </w:rPr>
      </w:pPr>
      <w:r w:rsidRPr="001055C7">
        <w:rPr>
          <w:rtl/>
        </w:rPr>
        <w:t>וכמו כן בנוגע למחלוקתם השניה:</w:t>
      </w:r>
    </w:p>
    <w:p w:rsidR="00900523" w:rsidRPr="001055C7" w:rsidRDefault="00900523" w:rsidP="00F146A6">
      <w:pPr>
        <w:pStyle w:val="a3"/>
        <w:rPr>
          <w:rtl/>
        </w:rPr>
      </w:pPr>
      <w:r w:rsidRPr="001055C7">
        <w:rPr>
          <w:rtl/>
        </w:rPr>
        <w:t>דהנה נראה לכאורה שהשקו"ט האם "לפני עור" הוא לאו שבכללות תלויה בצדדי החקירה הזו - אם הוא רק פרט בכל מצווה הרי הוא לאו שבכללות, מה שאין כן אם הוא איסור בפני עצמו, כמובן. אלא שגם בצד זה גופא עדיין יש לומר שהוא לאו שבכללות מצד זה שהוא כולל שני פרטים - איסור להכשיל בעבירה, ואיסור להכשיל בעצה רעה או במכשול הגוף.</w:t>
      </w:r>
    </w:p>
    <w:p w:rsidR="00900523" w:rsidRPr="001055C7" w:rsidRDefault="00900523" w:rsidP="00F146A6">
      <w:pPr>
        <w:pStyle w:val="a3"/>
        <w:rPr>
          <w:rtl/>
        </w:rPr>
      </w:pPr>
      <w:r w:rsidRPr="001055C7">
        <w:rPr>
          <w:rtl/>
        </w:rPr>
        <w:t>ולכן, לפי הגאון צבי הירש ש"לפני עור" אינו פרט בכל מצווה ומצווה הדיון האם הוא לאו שבכללות תלוי רק בכך שהוא כולל את שני הפרטים הנ"ל. ולפיכך הוא מדייק מדברי התוספות שלשיטתם העובדה שאיסור כולל שני (או כמה) פרטים לא הופך אותו ללאו שבכללות (כמו הלאו ד"כל מלאכת עבודה לא תעשו") גם "לפני עור" אינו נחשב לאו שבכללות, מה שאין כן לשיטת הרמב"ן - וכן סבירא ליה להגאון צבי הירש עצמו - הוא נחשב לאו שבכללות מצד זה שהוא כולל שני פרטים.</w:t>
      </w:r>
    </w:p>
    <w:p w:rsidR="00900523" w:rsidRPr="001055C7" w:rsidRDefault="00900523" w:rsidP="00F146A6">
      <w:pPr>
        <w:pStyle w:val="a3"/>
        <w:rPr>
          <w:rtl/>
        </w:rPr>
      </w:pPr>
      <w:r w:rsidRPr="001055C7">
        <w:rPr>
          <w:rtl/>
        </w:rPr>
        <w:t>אך לפי הנודע ביהודה ש"לפני עור" הוא פרט בכל מצווה - 'ודאי לפני עור הוי לאו שבכללות' מבלי להיכנס לשקלא וטריא הנוספת אם לאו שכולל שני פרטים נחשב לאו שבכללות או לא. ולכן לשיטתו גם לפי תוספות "לפני עור" נחשב לאו שבכללות (למרות שלשיטתם לאו הכולל שני פרטים אינו לאו שבכללות - כשהדבר מפורש יותר בלשון הלאו כמו ב"כל מלאכת עבודה לא תעשו" - מכל מקום כאן אין הדבר נוגע) שהרי הוא אינו איסור בפני עצמו כלל כי אם פרט בכל מצווה ומצווה.</w:t>
      </w:r>
    </w:p>
    <w:p w:rsidR="00900523" w:rsidRPr="001055C7" w:rsidRDefault="00900523" w:rsidP="00F146A6">
      <w:pPr>
        <w:pStyle w:val="a3"/>
        <w:rPr>
          <w:rtl/>
        </w:rPr>
      </w:pPr>
      <w:r w:rsidRPr="001055C7">
        <w:rPr>
          <w:rtl/>
        </w:rPr>
        <w:t>ג. ולפי דברים אלו יש לבאר גם כן פרט מסוים בדברי כ"ק אדמו"ר בנוגע לחקירה הנ"ל.</w:t>
      </w:r>
    </w:p>
    <w:p w:rsidR="00900523" w:rsidRPr="001055C7" w:rsidRDefault="00900523" w:rsidP="00F146A6">
      <w:pPr>
        <w:pStyle w:val="a3"/>
        <w:rPr>
          <w:rtl/>
        </w:rPr>
      </w:pPr>
      <w:r w:rsidRPr="001055C7">
        <w:rPr>
          <w:rtl/>
        </w:rPr>
        <w:lastRenderedPageBreak/>
        <w:t>דהנה רבינו כותב במכתב (שמצוטט בלשונו בכמה מקומות בלקוטי שיחות, לדוגמא בחלק ל"ט עמוד 184 הערה 21) וזלה"ק (בתחילה בקשר לחקירה הנ"ל לגבי חצי שיעור, ובהמשך לגבי "לפני עור"):</w:t>
      </w:r>
    </w:p>
    <w:p w:rsidR="00900523" w:rsidRPr="001055C7" w:rsidRDefault="00900523" w:rsidP="00F146A6">
      <w:pPr>
        <w:pStyle w:val="a3"/>
        <w:rPr>
          <w:rtl/>
        </w:rPr>
      </w:pPr>
      <w:r w:rsidRPr="001055C7">
        <w:rPr>
          <w:rtl/>
        </w:rPr>
        <w:t>באם נאמר שיש לימוד מיוחד לח"ש בחמץ (ראה רמב"ם הל' חמץ ומצה פ"א ה"ז ובמפרשיו), מסתבר שגם בשאר האיסורים הוא פרט בכל ענין בפ"ע (וע"ד הבערה לחלק יצאת - אף שאינו דומה לגמרי).</w:t>
      </w:r>
    </w:p>
    <w:p w:rsidR="00900523" w:rsidRPr="001055C7" w:rsidRDefault="00900523" w:rsidP="00F146A6">
      <w:pPr>
        <w:pStyle w:val="a3"/>
        <w:rPr>
          <w:rtl/>
        </w:rPr>
      </w:pPr>
      <w:r w:rsidRPr="001055C7">
        <w:rPr>
          <w:rtl/>
        </w:rPr>
        <w:t>ועד"ז בנוגע איסור לפני עיור - אם הוא איסור כללי, או שהוא פרט בכל ענין בפ"ע - יש לומר, שתלוי בהדיעות (ראה מנ"ח מצוה רלב ובהגהות הרי"פ פערלא לשם. וכבר העירו מזח"ג פה, א. רמב"ם הל' ת"ת פ"ו הי"ד וראב"ד שם) אם הנותן מכשול לפני עיוור - כפשוטו - עובר בלאו זה. שלפי שיטה זו (ש</w:t>
      </w:r>
      <w:r w:rsidRPr="001055C7">
        <w:rPr>
          <w:b/>
          <w:bCs/>
          <w:rtl/>
        </w:rPr>
        <w:t>חלק</w:t>
      </w:r>
      <w:r w:rsidRPr="001055C7">
        <w:rPr>
          <w:rtl/>
        </w:rPr>
        <w:t xml:space="preserve"> הכתוב </w:t>
      </w:r>
      <w:r w:rsidRPr="001055C7">
        <w:rPr>
          <w:b/>
          <w:bCs/>
          <w:rtl/>
        </w:rPr>
        <w:t>ופי'</w:t>
      </w:r>
      <w:r w:rsidRPr="001055C7">
        <w:rPr>
          <w:rtl/>
        </w:rPr>
        <w:t xml:space="preserve"> עפ"י הכלל דאין מקרא יוצא מידי פשוטו - </w:t>
      </w:r>
      <w:r w:rsidRPr="001055C7">
        <w:rPr>
          <w:b/>
          <w:bCs/>
          <w:rtl/>
        </w:rPr>
        <w:t>אופן אחד</w:t>
      </w:r>
      <w:r w:rsidRPr="001055C7">
        <w:rPr>
          <w:rtl/>
        </w:rPr>
        <w:t xml:space="preserve"> דהאיסור) לחלק יצא בכל האיסורין (אף שמחולק מהבערה לחלק יצאת - דכאן הוא לפרט ולא לחלק), וה"ז פרט בכל ענין בפ"ע,</w:t>
      </w:r>
    </w:p>
    <w:p w:rsidR="00900523" w:rsidRPr="001055C7" w:rsidRDefault="00900523" w:rsidP="00F146A6">
      <w:pPr>
        <w:pStyle w:val="a3"/>
        <w:rPr>
          <w:rtl/>
        </w:rPr>
      </w:pPr>
      <w:r w:rsidRPr="001055C7">
        <w:rPr>
          <w:rtl/>
        </w:rPr>
        <w:t xml:space="preserve">[וי"ל גם להיפך: כיון </w:t>
      </w:r>
      <w:r w:rsidRPr="001055C7">
        <w:rPr>
          <w:b/>
          <w:bCs/>
          <w:rtl/>
        </w:rPr>
        <w:t>שייחדו הכתוב</w:t>
      </w:r>
      <w:r w:rsidRPr="001055C7">
        <w:rPr>
          <w:rtl/>
        </w:rPr>
        <w:t xml:space="preserve"> בפ"ע - ה"ז הוכחה שהוא ענין בפ"ע. ומושיט יין לנזיר ה"ז פרט בלפני עיור ולא בנזיר]</w:t>
      </w:r>
    </w:p>
    <w:p w:rsidR="00900523" w:rsidRPr="001055C7" w:rsidRDefault="00900523" w:rsidP="00F146A6">
      <w:pPr>
        <w:pStyle w:val="a3"/>
        <w:rPr>
          <w:rtl/>
        </w:rPr>
      </w:pPr>
      <w:r w:rsidRPr="001055C7">
        <w:rPr>
          <w:rtl/>
        </w:rPr>
        <w:t>משא"כ להדיעה שאינו עובר באופן זה - איסור כללי הוא.</w:t>
      </w:r>
      <w:r w:rsidRPr="001055C7">
        <w:rPr>
          <w:rFonts w:ascii="Cambria" w:hAnsi="Cambria" w:cs="Cambria" w:hint="cs"/>
          <w:rtl/>
        </w:rPr>
        <w:t> </w:t>
      </w:r>
    </w:p>
    <w:p w:rsidR="00900523" w:rsidRPr="001055C7" w:rsidRDefault="00900523" w:rsidP="00F146A6">
      <w:pPr>
        <w:pStyle w:val="a3"/>
        <w:rPr>
          <w:rtl/>
        </w:rPr>
      </w:pPr>
      <w:r w:rsidRPr="001055C7">
        <w:rPr>
          <w:rtl/>
        </w:rPr>
        <w:t>עד כאן לשון קדשו של רבינו במכתב.</w:t>
      </w:r>
    </w:p>
    <w:p w:rsidR="00900523" w:rsidRPr="001055C7" w:rsidRDefault="00900523" w:rsidP="00F146A6">
      <w:pPr>
        <w:pStyle w:val="a3"/>
        <w:rPr>
          <w:rtl/>
        </w:rPr>
      </w:pPr>
      <w:r w:rsidRPr="001055C7">
        <w:rPr>
          <w:rtl/>
        </w:rPr>
        <w:t>ובהשקפה ראשונה לא ברורה ההוספה שבסוגריים מרובעים - מה גורם ל'חוסר הוודאות' האם זה שהכתוב ייחדו בפני עצמו מוכיח שהוא פרט בכל איסור או ענין בפני עצמו?</w:t>
      </w:r>
    </w:p>
    <w:p w:rsidR="00900523" w:rsidRPr="001055C7" w:rsidRDefault="00900523" w:rsidP="00F146A6">
      <w:pPr>
        <w:pStyle w:val="a3"/>
        <w:rPr>
          <w:rtl/>
        </w:rPr>
      </w:pPr>
      <w:r w:rsidRPr="001055C7">
        <w:rPr>
          <w:rtl/>
        </w:rPr>
        <w:t>והשאלה מתחזקת כשמשווים את זה לתחילת המכתב, דאם לגבי חצי שיעור ברור שכשיש פסוק מיוחד הדבר מהווה הוכחה שחצי שיעור הוא פרט בכל איסור - מדוע בחקירה ד"לפני עור" אין הדבר מוחלט?</w:t>
      </w:r>
      <w:r w:rsidRPr="001055C7">
        <w:rPr>
          <w:rFonts w:ascii="Cambria" w:hAnsi="Cambria" w:cs="Cambria" w:hint="cs"/>
          <w:rtl/>
        </w:rPr>
        <w:t> </w:t>
      </w:r>
    </w:p>
    <w:p w:rsidR="00900523" w:rsidRPr="001055C7" w:rsidRDefault="00900523" w:rsidP="00F146A6">
      <w:pPr>
        <w:pStyle w:val="a3"/>
        <w:rPr>
          <w:rtl/>
        </w:rPr>
      </w:pPr>
      <w:r w:rsidRPr="001055C7">
        <w:rPr>
          <w:rtl/>
        </w:rPr>
        <w:t xml:space="preserve">ואילו על פי מה שביארנו הדבר מובן היטב - שהרי לשיטת הגאון צבי הירש </w:t>
      </w:r>
      <w:r w:rsidRPr="001055C7">
        <w:rPr>
          <w:b/>
          <w:bCs/>
          <w:rtl/>
        </w:rPr>
        <w:t>מצד אחד</w:t>
      </w:r>
      <w:r w:rsidRPr="001055C7">
        <w:rPr>
          <w:rtl/>
        </w:rPr>
        <w:t xml:space="preserve"> איסור "לפני עור" כולל גם את מכשול הגוף - כפי שמפורש בדבריו (שציטטנו לעיל): 'אף </w:t>
      </w:r>
      <w:r w:rsidRPr="001055C7">
        <w:rPr>
          <w:b/>
          <w:bCs/>
          <w:rtl/>
        </w:rPr>
        <w:t>שכולל מכשול הגוף</w:t>
      </w:r>
      <w:r w:rsidRPr="001055C7">
        <w:rPr>
          <w:rtl/>
        </w:rPr>
        <w:t xml:space="preserve"> ומכשיל בדבר איסור, </w:t>
      </w:r>
      <w:r w:rsidRPr="001055C7">
        <w:rPr>
          <w:b/>
          <w:bCs/>
          <w:rtl/>
        </w:rPr>
        <w:t>כולהו מפורש בלאו לא תתן מכשול</w:t>
      </w:r>
      <w:r w:rsidRPr="001055C7">
        <w:rPr>
          <w:rtl/>
        </w:rPr>
        <w:t xml:space="preserve">' - אך </w:t>
      </w:r>
      <w:r w:rsidRPr="001055C7">
        <w:rPr>
          <w:b/>
          <w:bCs/>
          <w:rtl/>
        </w:rPr>
        <w:t>מצד שני</w:t>
      </w:r>
      <w:r w:rsidRPr="001055C7">
        <w:rPr>
          <w:rtl/>
        </w:rPr>
        <w:t xml:space="preserve"> לשיטתו איסור "לפני עור" הוא איסור בפני עצמו (כדמוכח מכך שלא רצה לבאר את דברי התוספות בבבא מציעא כמו שביאר הנודע ביהודה, וכן מכך שכתב שלהתוספות "לפני עור" אינו לאו שבכללות) -</w:t>
      </w:r>
    </w:p>
    <w:p w:rsidR="00900523" w:rsidRPr="001055C7" w:rsidRDefault="00900523" w:rsidP="00F146A6">
      <w:pPr>
        <w:pStyle w:val="a3"/>
        <w:rPr>
          <w:rtl/>
        </w:rPr>
      </w:pPr>
      <w:r w:rsidRPr="001055C7">
        <w:rPr>
          <w:rtl/>
        </w:rPr>
        <w:t>וכדי לבאר את שיטתו של הגאון צבי הירש באופן לימוד החקירה, הוסיף רבינו את הסוגריים המרובעים שיש צד לומר שדווקא לפי שהכתוב ייחד את האיסור דמכשול הגוף בפירוש מוכח שהוא איסור כללי ולא פרט בכל מצווה ומצווה.</w:t>
      </w:r>
    </w:p>
    <w:p w:rsidR="00900523" w:rsidRPr="001055C7" w:rsidRDefault="00900523" w:rsidP="00F146A6">
      <w:pPr>
        <w:pStyle w:val="a3"/>
        <w:rPr>
          <w:rtl/>
        </w:rPr>
      </w:pPr>
      <w:r w:rsidRPr="001055C7">
        <w:rPr>
          <w:rtl/>
        </w:rPr>
        <w:lastRenderedPageBreak/>
        <w:t>[כמובן שיש להניח שישנם מפרשים נוספים שסוברים כך וגם לדידהו קאי רבינו בסוגריים המרובעים, ובאנו רק להראות מקום לשיטה אחת מסוימת הסוברת כן]</w:t>
      </w:r>
    </w:p>
    <w:p w:rsidR="00900523" w:rsidRPr="001055C7" w:rsidRDefault="00900523" w:rsidP="00F146A6">
      <w:pPr>
        <w:pStyle w:val="a3"/>
        <w:rPr>
          <w:rtl/>
        </w:rPr>
      </w:pPr>
      <w:r w:rsidRPr="001055C7">
        <w:rPr>
          <w:rtl/>
        </w:rPr>
        <w:t>ד. ובשולי הדברים יש להעיר ממה ששמעתי מפי הרב אברהם שיחי' גערליצקי שעל פי החקירה הזו יש לבאר את המחלוקת בין התוספות לבין התוספות ישנים (בשבת דף ג. ד"ה בבא) - דבתוספות הקשו איך העני (שבעל הבית מוציא בשבת ומניח בידו) 'פטור ומותר' בשעה שהוא עובר על "לפני עור" (מדרבנן על כל פנים)?</w:t>
      </w:r>
    </w:p>
    <w:p w:rsidR="00900523" w:rsidRPr="001055C7" w:rsidRDefault="00900523" w:rsidP="00F146A6">
      <w:pPr>
        <w:pStyle w:val="a3"/>
        <w:rPr>
          <w:rtl/>
        </w:rPr>
      </w:pPr>
      <w:r w:rsidRPr="001055C7">
        <w:rPr>
          <w:rtl/>
        </w:rPr>
        <w:t>וביאר דהתוספות ישנים שתירצו 'יש לומר דמכל מקום לאיסור שבת פטור ומותר' סבירא להו ש"לפני עור" הוא ענין בפני עצמו. מה שאין כן התוספות נדחקו לתרץ באופן אחר משום שסוברים שהוא פרט בכל מצווה ומצווה. ואכן הדברים בהירים מאוד בביאור המחלוקת.</w:t>
      </w:r>
    </w:p>
    <w:p w:rsidR="00900523" w:rsidRPr="001055C7" w:rsidRDefault="00900523" w:rsidP="00F146A6">
      <w:pPr>
        <w:pStyle w:val="a3"/>
        <w:rPr>
          <w:rtl/>
        </w:rPr>
      </w:pPr>
      <w:r w:rsidRPr="001055C7">
        <w:rPr>
          <w:rtl/>
        </w:rPr>
        <w:t xml:space="preserve">ולפי מה שהסברנו הדבר מהווה תמיכה לשיטתו של הנודע ביהודה שביאר </w:t>
      </w:r>
      <w:r w:rsidRPr="001055C7">
        <w:rPr>
          <w:b/>
          <w:bCs/>
          <w:rtl/>
        </w:rPr>
        <w:t>דלתוספות</w:t>
      </w:r>
      <w:r w:rsidRPr="001055C7">
        <w:rPr>
          <w:rtl/>
        </w:rPr>
        <w:t xml:space="preserve"> האיסור ד"לפני עור" הוא פרט בכל מצווה ומצווה - ועולה דלשיטתייהו אזלו בשבת ובבבא מציעא,</w:t>
      </w:r>
    </w:p>
    <w:p w:rsidR="00900523" w:rsidRPr="001055C7" w:rsidRDefault="00900523" w:rsidP="00F146A6">
      <w:pPr>
        <w:pStyle w:val="a3"/>
        <w:rPr>
          <w:rtl/>
        </w:rPr>
      </w:pPr>
      <w:r w:rsidRPr="001055C7">
        <w:rPr>
          <w:rtl/>
        </w:rPr>
        <w:t xml:space="preserve">ודוחק לשיטתו של הגאון צבי הירש שביאר </w:t>
      </w:r>
      <w:r w:rsidRPr="001055C7">
        <w:rPr>
          <w:b/>
          <w:bCs/>
          <w:rtl/>
        </w:rPr>
        <w:t>דלתוספות</w:t>
      </w:r>
      <w:r w:rsidRPr="001055C7">
        <w:rPr>
          <w:rtl/>
        </w:rPr>
        <w:t xml:space="preserve"> הוא איסור כללי בפני עצמו - דלפי זה יוצא שהתוספות בבבא מציעא ובשבת 'לא מרועה אחד ניתנו'.</w:t>
      </w:r>
    </w:p>
    <w:p w:rsidR="00900523" w:rsidRPr="001055C7" w:rsidRDefault="00900523" w:rsidP="00F146A6">
      <w:pPr>
        <w:pStyle w:val="a3"/>
        <w:rPr>
          <w:rtl/>
        </w:rPr>
      </w:pPr>
      <w:r w:rsidRPr="001055C7">
        <w:rPr>
          <w:rtl/>
        </w:rPr>
        <w:t>גם ביאר אז הרב אברהם שיחי' גערליצקי דנראה שהריטב"א סובר ש"לפני עור" הוא איסור כללי בפני עצמו, וכמו שכתב (בעבודה זרה ו: ד"ה הכא במאי עסקינן) דלא אמרינן יהרג ואל יעבור על "לפני עור" דעבודה זרה לפי ד"שאני איסור לפני עור דאינו מייחד לעבודה זרה אלא לאו כולל הוא לכל האיסורין".</w:t>
      </w:r>
    </w:p>
    <w:p w:rsidR="00900523" w:rsidRPr="001055C7" w:rsidRDefault="00900523" w:rsidP="00F146A6">
      <w:pPr>
        <w:pStyle w:val="a3"/>
        <w:rPr>
          <w:rtl/>
        </w:rPr>
      </w:pPr>
      <w:r w:rsidRPr="001055C7">
        <w:rPr>
          <w:rtl/>
        </w:rPr>
        <w:t>והנה בבבא מציעא שם (ד"ה להך לישנא) הביא הריטב"א את תירוץ התוספות שמשום "לפני עור" אינו נחשב השליח 'בר חיובא' בלשון זו: "וי"ל דכיון דהאי לאו גופיה ממש ( - איסור גרושה לכהן) לא מחייב בפרט לאו בר חיובא הוא לענין זה", שמשמע שלמד כוונת התוספות כפי שביאר הנודע ביהודה כנ"ל - אך הריטב"א עצמו משמע דלא ניחא ליה בתירוץ זה ותירץ תירוצים אחרים (עיי"ש), ולפי הנ"ל מובן הדבר היטב דזהו לפי שהוא עצמו סבירא ליה שהוא איסור כללי ולא כתוספות.</w:t>
      </w:r>
    </w:p>
    <w:p w:rsidR="00900523" w:rsidRPr="001055C7" w:rsidRDefault="00900523" w:rsidP="00F146A6">
      <w:pPr>
        <w:pStyle w:val="a3"/>
        <w:rPr>
          <w:rtl/>
        </w:rPr>
      </w:pPr>
      <w:r w:rsidRPr="001055C7">
        <w:rPr>
          <w:rtl/>
        </w:rPr>
        <w:t>ואם כן גם עניין זה מהווה סיוע לדרכו של הנודע ביהודה, דאילו לפי שיטת הגאון צבי הירש יש להבין (הא דמשמע שלמד את פירוש דברי התוספות כהנודע ביהודה, כנ"ל. וכן) מדוע לא ניחא ליה להריטב"א בתירוץ התוספות הואיל ותרווייהו קאי בחדא שיטתא דהוא איסור כללי.</w:t>
      </w:r>
    </w:p>
    <w:p w:rsidR="00900523" w:rsidRPr="001055C7" w:rsidRDefault="00900523" w:rsidP="00900523">
      <w:pPr>
        <w:jc w:val="center"/>
      </w:pPr>
      <w:r w:rsidRPr="000836F8">
        <w:rPr>
          <w:rFonts w:ascii="Nymphette" w:eastAsia="Times New Roman" w:hAnsi="Nymphette" w:cs="Nymphette"/>
          <w:sz w:val="44"/>
          <w:szCs w:val="44"/>
        </w:rPr>
        <w:t>g</w:t>
      </w:r>
    </w:p>
    <w:p w:rsidR="00970EBE" w:rsidRDefault="00970EBE" w:rsidP="00970EBE">
      <w:pPr>
        <w:pStyle w:val="a0"/>
        <w:rPr>
          <w:rtl/>
        </w:rPr>
      </w:pPr>
      <w:bookmarkStart w:id="117" w:name="_Toc43963091"/>
      <w:r>
        <w:rPr>
          <w:rtl/>
        </w:rPr>
        <w:lastRenderedPageBreak/>
        <w:t>תיקון</w:t>
      </w:r>
      <w:r>
        <w:rPr>
          <w:rtl/>
          <w:lang w:bidi="ar-SA"/>
        </w:rPr>
        <w:t xml:space="preserve"> </w:t>
      </w:r>
      <w:r>
        <w:rPr>
          <w:rtl/>
        </w:rPr>
        <w:t>בלקוטי</w:t>
      </w:r>
      <w:r>
        <w:rPr>
          <w:rtl/>
          <w:lang w:bidi="ar-SA"/>
        </w:rPr>
        <w:t xml:space="preserve"> </w:t>
      </w:r>
      <w:r>
        <w:rPr>
          <w:rtl/>
        </w:rPr>
        <w:t>שיחות</w:t>
      </w:r>
      <w:r>
        <w:rPr>
          <w:rtl/>
          <w:lang w:bidi="ar-SA"/>
        </w:rPr>
        <w:t xml:space="preserve"> </w:t>
      </w:r>
      <w:r>
        <w:rPr>
          <w:rtl/>
        </w:rPr>
        <w:t>ח</w:t>
      </w:r>
      <w:r>
        <w:rPr>
          <w:rtl/>
          <w:lang w:bidi="ar-SA"/>
        </w:rPr>
        <w:t>"</w:t>
      </w:r>
      <w:r>
        <w:rPr>
          <w:rtl/>
        </w:rPr>
        <w:t>ה</w:t>
      </w:r>
      <w:r>
        <w:rPr>
          <w:rtl/>
          <w:lang w:bidi="ar-SA"/>
        </w:rPr>
        <w:t xml:space="preserve"> </w:t>
      </w:r>
      <w:r>
        <w:rPr>
          <w:rtl/>
        </w:rPr>
        <w:t>י</w:t>
      </w:r>
      <w:r>
        <w:rPr>
          <w:rtl/>
          <w:lang w:bidi="ar-SA"/>
        </w:rPr>
        <w:t>"</w:t>
      </w:r>
      <w:r>
        <w:rPr>
          <w:rtl/>
        </w:rPr>
        <w:t>ט</w:t>
      </w:r>
      <w:r>
        <w:rPr>
          <w:rtl/>
          <w:lang w:bidi="ar-SA"/>
        </w:rPr>
        <w:t xml:space="preserve"> </w:t>
      </w:r>
      <w:r>
        <w:rPr>
          <w:rtl/>
        </w:rPr>
        <w:t>כסלו</w:t>
      </w:r>
      <w:bookmarkEnd w:id="117"/>
    </w:p>
    <w:p w:rsidR="00970EBE" w:rsidRDefault="00970EBE" w:rsidP="00F146A6">
      <w:pPr>
        <w:pStyle w:val="a"/>
        <w:rPr>
          <w:rtl/>
        </w:rPr>
      </w:pPr>
      <w:bookmarkStart w:id="118" w:name="_Toc43963092"/>
      <w:r>
        <w:rPr>
          <w:rFonts w:hint="cs"/>
          <w:rtl/>
        </w:rPr>
        <w:t xml:space="preserve">הרב </w:t>
      </w:r>
      <w:r>
        <w:rPr>
          <w:rtl/>
        </w:rPr>
        <w:t>נח יפה</w:t>
      </w:r>
      <w:bookmarkEnd w:id="118"/>
    </w:p>
    <w:p w:rsidR="00970EBE" w:rsidRDefault="00970EBE" w:rsidP="00970EBE">
      <w:pPr>
        <w:pStyle w:val="a1"/>
        <w:rPr>
          <w:rtl/>
        </w:rPr>
      </w:pPr>
      <w:r w:rsidRPr="00B230A4">
        <w:rPr>
          <w:rtl/>
        </w:rPr>
        <w:t>פאמאנא</w:t>
      </w:r>
      <w:r>
        <w:rPr>
          <w:rtl/>
        </w:rPr>
        <w:t>, נ.י.</w:t>
      </w:r>
    </w:p>
    <w:p w:rsidR="00970EBE" w:rsidRDefault="00970EBE" w:rsidP="00F146A6">
      <w:pPr>
        <w:pStyle w:val="a3"/>
        <w:rPr>
          <w:lang w:bidi="ar-SA"/>
        </w:rPr>
      </w:pPr>
      <w:r>
        <w:rPr>
          <w:sz w:val="28"/>
          <w:szCs w:val="28"/>
          <w:rtl/>
          <w:lang w:bidi="ar-SA"/>
        </w:rPr>
        <w:t xml:space="preserve"> </w:t>
      </w:r>
      <w:r>
        <w:rPr>
          <w:rtl/>
        </w:rPr>
        <w:t>א</w:t>
      </w:r>
      <w:r>
        <w:rPr>
          <w:rtl/>
          <w:lang w:bidi="ar-SA"/>
        </w:rPr>
        <w:t xml:space="preserve">.  </w:t>
      </w:r>
      <w:r>
        <w:rPr>
          <w:rtl/>
        </w:rPr>
        <w:t>בלקו</w:t>
      </w:r>
      <w:r>
        <w:rPr>
          <w:rtl/>
          <w:lang w:bidi="ar-SA"/>
        </w:rPr>
        <w:t>"</w:t>
      </w:r>
      <w:r>
        <w:rPr>
          <w:rtl/>
        </w:rPr>
        <w:t>ש</w:t>
      </w:r>
      <w:r>
        <w:rPr>
          <w:rtl/>
          <w:lang w:bidi="ar-SA"/>
        </w:rPr>
        <w:t xml:space="preserve"> </w:t>
      </w:r>
      <w:r>
        <w:rPr>
          <w:rtl/>
        </w:rPr>
        <w:t>ח</w:t>
      </w:r>
      <w:r>
        <w:rPr>
          <w:rtl/>
          <w:lang w:bidi="ar-SA"/>
        </w:rPr>
        <w:t>"</w:t>
      </w:r>
      <w:r>
        <w:rPr>
          <w:rtl/>
        </w:rPr>
        <w:t>ה</w:t>
      </w:r>
      <w:r>
        <w:rPr>
          <w:rtl/>
          <w:lang w:bidi="ar-SA"/>
        </w:rPr>
        <w:t xml:space="preserve">, </w:t>
      </w:r>
      <w:r>
        <w:rPr>
          <w:rtl/>
        </w:rPr>
        <w:t>יט</w:t>
      </w:r>
      <w:r>
        <w:rPr>
          <w:rtl/>
          <w:lang w:bidi="ar-SA"/>
        </w:rPr>
        <w:t xml:space="preserve"> </w:t>
      </w:r>
      <w:r>
        <w:rPr>
          <w:rtl/>
        </w:rPr>
        <w:t>כסלו</w:t>
      </w:r>
      <w:r>
        <w:rPr>
          <w:rtl/>
          <w:lang w:bidi="ar-SA"/>
        </w:rPr>
        <w:t xml:space="preserve">, </w:t>
      </w:r>
      <w:r>
        <w:rPr>
          <w:rtl/>
        </w:rPr>
        <w:t>בהערה</w:t>
      </w:r>
      <w:r>
        <w:rPr>
          <w:rtl/>
          <w:lang w:bidi="ar-SA"/>
        </w:rPr>
        <w:t xml:space="preserve"> 38 </w:t>
      </w:r>
      <w:r>
        <w:rPr>
          <w:rtl/>
        </w:rPr>
        <w:t>כתוב</w:t>
      </w:r>
      <w:r>
        <w:rPr>
          <w:rtl/>
          <w:lang w:bidi="ar-SA"/>
        </w:rPr>
        <w:t xml:space="preserve"> (</w:t>
      </w:r>
      <w:r>
        <w:rPr>
          <w:rtl/>
        </w:rPr>
        <w:t>בתוס</w:t>
      </w:r>
      <w:r>
        <w:rPr>
          <w:rtl/>
          <w:lang w:bidi="ar-SA"/>
        </w:rPr>
        <w:t xml:space="preserve">' </w:t>
      </w:r>
      <w:r>
        <w:rPr>
          <w:rtl/>
        </w:rPr>
        <w:t>הדגשה</w:t>
      </w:r>
      <w:r>
        <w:rPr>
          <w:rtl/>
          <w:lang w:bidi="ar-SA"/>
        </w:rPr>
        <w:t xml:space="preserve">), </w:t>
      </w:r>
      <w:r>
        <w:rPr>
          <w:rtl/>
        </w:rPr>
        <w:t>וז</w:t>
      </w:r>
      <w:r>
        <w:rPr>
          <w:rtl/>
          <w:lang w:bidi="ar-SA"/>
        </w:rPr>
        <w:t>"</w:t>
      </w:r>
      <w:r>
        <w:rPr>
          <w:rtl/>
        </w:rPr>
        <w:t>ל</w:t>
      </w:r>
      <w:r>
        <w:rPr>
          <w:rtl/>
          <w:lang w:bidi="ar-SA"/>
        </w:rPr>
        <w:t xml:space="preserve">:  </w:t>
      </w:r>
      <w:r>
        <w:rPr>
          <w:rtl/>
        </w:rPr>
        <w:t>וכן</w:t>
      </w:r>
      <w:r>
        <w:rPr>
          <w:rtl/>
          <w:lang w:bidi="ar-SA"/>
        </w:rPr>
        <w:t xml:space="preserve"> </w:t>
      </w:r>
      <w:r>
        <w:rPr>
          <w:rtl/>
        </w:rPr>
        <w:t>בנישואין</w:t>
      </w:r>
      <w:r>
        <w:rPr>
          <w:rtl/>
          <w:lang w:bidi="ar-SA"/>
        </w:rPr>
        <w:t xml:space="preserve">, </w:t>
      </w:r>
      <w:r>
        <w:rPr>
          <w:rtl/>
        </w:rPr>
        <w:t>שלכמה</w:t>
      </w:r>
      <w:r>
        <w:rPr>
          <w:rtl/>
          <w:lang w:bidi="ar-SA"/>
        </w:rPr>
        <w:t xml:space="preserve"> </w:t>
      </w:r>
      <w:r>
        <w:rPr>
          <w:rtl/>
        </w:rPr>
        <w:t>שיטות</w:t>
      </w:r>
      <w:r>
        <w:rPr>
          <w:rtl/>
          <w:lang w:bidi="ar-SA"/>
        </w:rPr>
        <w:t xml:space="preserve"> "</w:t>
      </w:r>
      <w:r>
        <w:rPr>
          <w:rtl/>
        </w:rPr>
        <w:t>בכל</w:t>
      </w:r>
      <w:r>
        <w:rPr>
          <w:rtl/>
          <w:lang w:bidi="ar-SA"/>
        </w:rPr>
        <w:t xml:space="preserve"> </w:t>
      </w:r>
      <w:r>
        <w:rPr>
          <w:rtl/>
        </w:rPr>
        <w:t>יום</w:t>
      </w:r>
      <w:r>
        <w:rPr>
          <w:rtl/>
          <w:lang w:bidi="ar-SA"/>
        </w:rPr>
        <w:t xml:space="preserve"> </w:t>
      </w:r>
      <w:r>
        <w:rPr>
          <w:rtl/>
        </w:rPr>
        <w:t>ויום</w:t>
      </w:r>
      <w:r>
        <w:rPr>
          <w:rtl/>
          <w:lang w:bidi="ar-SA"/>
        </w:rPr>
        <w:t xml:space="preserve"> </w:t>
      </w:r>
      <w:r>
        <w:rPr>
          <w:rtl/>
        </w:rPr>
        <w:t>הוה</w:t>
      </w:r>
      <w:r>
        <w:rPr>
          <w:rtl/>
          <w:lang w:bidi="ar-SA"/>
        </w:rPr>
        <w:t xml:space="preserve"> </w:t>
      </w:r>
      <w:r>
        <w:rPr>
          <w:rtl/>
        </w:rPr>
        <w:t>קנין</w:t>
      </w:r>
      <w:r>
        <w:rPr>
          <w:rtl/>
          <w:lang w:bidi="ar-SA"/>
        </w:rPr>
        <w:t xml:space="preserve"> </w:t>
      </w:r>
      <w:r>
        <w:rPr>
          <w:rtl/>
        </w:rPr>
        <w:t>חדש</w:t>
      </w:r>
      <w:r>
        <w:rPr>
          <w:rtl/>
          <w:lang w:bidi="ar-SA"/>
        </w:rPr>
        <w:t>" (</w:t>
      </w:r>
      <w:r>
        <w:rPr>
          <w:rtl/>
        </w:rPr>
        <w:t>צפע</w:t>
      </w:r>
      <w:r>
        <w:rPr>
          <w:rtl/>
          <w:lang w:bidi="ar-SA"/>
        </w:rPr>
        <w:t>"</w:t>
      </w:r>
      <w:r>
        <w:rPr>
          <w:rtl/>
        </w:rPr>
        <w:t>נ</w:t>
      </w:r>
      <w:r>
        <w:rPr>
          <w:rtl/>
          <w:lang w:bidi="ar-SA"/>
        </w:rPr>
        <w:t xml:space="preserve"> </w:t>
      </w:r>
      <w:r>
        <w:rPr>
          <w:b/>
          <w:bCs/>
          <w:rtl/>
        </w:rPr>
        <w:t>הל</w:t>
      </w:r>
      <w:r>
        <w:rPr>
          <w:b/>
          <w:bCs/>
          <w:rtl/>
          <w:lang w:bidi="ar-SA"/>
        </w:rPr>
        <w:t xml:space="preserve">' </w:t>
      </w:r>
      <w:r>
        <w:rPr>
          <w:b/>
          <w:bCs/>
          <w:rtl/>
        </w:rPr>
        <w:t>אישות</w:t>
      </w:r>
      <w:r>
        <w:rPr>
          <w:b/>
          <w:bCs/>
          <w:rtl/>
          <w:lang w:bidi="ar-SA"/>
        </w:rPr>
        <w:t xml:space="preserve"> </w:t>
      </w:r>
      <w:r>
        <w:rPr>
          <w:b/>
          <w:bCs/>
          <w:rtl/>
        </w:rPr>
        <w:t>פכ</w:t>
      </w:r>
      <w:r>
        <w:rPr>
          <w:b/>
          <w:bCs/>
          <w:rtl/>
          <w:lang w:bidi="ar-SA"/>
        </w:rPr>
        <w:t>"</w:t>
      </w:r>
      <w:r>
        <w:rPr>
          <w:b/>
          <w:bCs/>
          <w:rtl/>
        </w:rPr>
        <w:t>ז</w:t>
      </w:r>
      <w:r>
        <w:rPr>
          <w:b/>
          <w:bCs/>
          <w:rtl/>
          <w:lang w:bidi="ar-SA"/>
        </w:rPr>
        <w:t xml:space="preserve"> </w:t>
      </w:r>
      <w:r>
        <w:rPr>
          <w:b/>
          <w:bCs/>
          <w:rtl/>
        </w:rPr>
        <w:t>הכ</w:t>
      </w:r>
      <w:r>
        <w:rPr>
          <w:b/>
          <w:bCs/>
          <w:rtl/>
          <w:lang w:bidi="ar-SA"/>
        </w:rPr>
        <w:t>"</w:t>
      </w:r>
      <w:r>
        <w:rPr>
          <w:b/>
          <w:bCs/>
          <w:rtl/>
        </w:rPr>
        <w:t>ב</w:t>
      </w:r>
      <w:r>
        <w:rPr>
          <w:rtl/>
          <w:lang w:bidi="ar-SA"/>
        </w:rPr>
        <w:t xml:space="preserve"> - </w:t>
      </w:r>
      <w:r>
        <w:rPr>
          <w:rtl/>
        </w:rPr>
        <w:t>ראה</w:t>
      </w:r>
      <w:r>
        <w:rPr>
          <w:rtl/>
          <w:lang w:bidi="ar-SA"/>
        </w:rPr>
        <w:t xml:space="preserve"> </w:t>
      </w:r>
      <w:r>
        <w:rPr>
          <w:rtl/>
        </w:rPr>
        <w:t>בארוכה</w:t>
      </w:r>
      <w:r>
        <w:rPr>
          <w:rtl/>
          <w:lang w:bidi="ar-SA"/>
        </w:rPr>
        <w:t xml:space="preserve"> </w:t>
      </w:r>
      <w:r>
        <w:rPr>
          <w:rtl/>
        </w:rPr>
        <w:t>מפענח</w:t>
      </w:r>
      <w:r>
        <w:rPr>
          <w:rtl/>
          <w:lang w:bidi="ar-SA"/>
        </w:rPr>
        <w:t xml:space="preserve"> </w:t>
      </w:r>
      <w:r>
        <w:rPr>
          <w:rtl/>
        </w:rPr>
        <w:t>צפונות</w:t>
      </w:r>
      <w:r>
        <w:rPr>
          <w:rtl/>
          <w:lang w:bidi="ar-SA"/>
        </w:rPr>
        <w:t xml:space="preserve"> </w:t>
      </w:r>
      <w:r>
        <w:rPr>
          <w:rtl/>
        </w:rPr>
        <w:t>ע</w:t>
      </w:r>
      <w:r>
        <w:rPr>
          <w:rtl/>
          <w:lang w:bidi="ar-SA"/>
        </w:rPr>
        <w:t xml:space="preserve">' </w:t>
      </w:r>
      <w:r>
        <w:rPr>
          <w:rtl/>
        </w:rPr>
        <w:t>קלה</w:t>
      </w:r>
      <w:r>
        <w:rPr>
          <w:rtl/>
          <w:lang w:bidi="ar-SA"/>
        </w:rPr>
        <w:t xml:space="preserve">) - </w:t>
      </w:r>
      <w:r>
        <w:rPr>
          <w:rtl/>
        </w:rPr>
        <w:t>לפי</w:t>
      </w:r>
      <w:r>
        <w:rPr>
          <w:rtl/>
          <w:lang w:bidi="ar-SA"/>
        </w:rPr>
        <w:t xml:space="preserve"> </w:t>
      </w:r>
      <w:r>
        <w:rPr>
          <w:rtl/>
        </w:rPr>
        <w:t>שיחוד</w:t>
      </w:r>
      <w:r>
        <w:rPr>
          <w:rtl/>
          <w:lang w:bidi="ar-SA"/>
        </w:rPr>
        <w:t xml:space="preserve"> </w:t>
      </w:r>
      <w:r>
        <w:rPr>
          <w:rtl/>
        </w:rPr>
        <w:t>דכר</w:t>
      </w:r>
      <w:r>
        <w:rPr>
          <w:rtl/>
          <w:lang w:bidi="ar-SA"/>
        </w:rPr>
        <w:t xml:space="preserve"> </w:t>
      </w:r>
      <w:r>
        <w:rPr>
          <w:rtl/>
        </w:rPr>
        <w:t>ונוקבא</w:t>
      </w:r>
      <w:r>
        <w:rPr>
          <w:rtl/>
          <w:lang w:bidi="ar-SA"/>
        </w:rPr>
        <w:t xml:space="preserve"> </w:t>
      </w:r>
      <w:r>
        <w:rPr>
          <w:rtl/>
        </w:rPr>
        <w:t>הוא</w:t>
      </w:r>
      <w:r>
        <w:rPr>
          <w:rtl/>
          <w:lang w:bidi="ar-SA"/>
        </w:rPr>
        <w:t xml:space="preserve"> </w:t>
      </w:r>
      <w:r>
        <w:rPr>
          <w:rtl/>
        </w:rPr>
        <w:t>חיבור</w:t>
      </w:r>
      <w:r>
        <w:rPr>
          <w:rtl/>
          <w:lang w:bidi="ar-SA"/>
        </w:rPr>
        <w:t xml:space="preserve"> </w:t>
      </w:r>
      <w:r>
        <w:rPr>
          <w:rtl/>
        </w:rPr>
        <w:t>ב</w:t>
      </w:r>
      <w:r>
        <w:rPr>
          <w:rtl/>
          <w:lang w:bidi="ar-SA"/>
        </w:rPr>
        <w:t xml:space="preserve">' </w:t>
      </w:r>
      <w:r>
        <w:rPr>
          <w:rtl/>
        </w:rPr>
        <w:t>הפכים</w:t>
      </w:r>
      <w:r>
        <w:rPr>
          <w:rtl/>
          <w:lang w:bidi="ar-SA"/>
        </w:rPr>
        <w:t xml:space="preserve">. </w:t>
      </w:r>
      <w:r>
        <w:rPr>
          <w:rtl/>
        </w:rPr>
        <w:t>עכ</w:t>
      </w:r>
      <w:r>
        <w:rPr>
          <w:rtl/>
          <w:lang w:bidi="ar-SA"/>
        </w:rPr>
        <w:t>"</w:t>
      </w:r>
      <w:r>
        <w:rPr>
          <w:rtl/>
        </w:rPr>
        <w:t>ל</w:t>
      </w:r>
      <w:r>
        <w:rPr>
          <w:rtl/>
          <w:lang w:bidi="ar-SA"/>
        </w:rPr>
        <w:t xml:space="preserve">.  </w:t>
      </w:r>
    </w:p>
    <w:p w:rsidR="00970EBE" w:rsidRDefault="00970EBE" w:rsidP="00F146A6">
      <w:pPr>
        <w:pStyle w:val="a3"/>
        <w:rPr>
          <w:lang w:bidi="ar-SA"/>
        </w:rPr>
      </w:pPr>
      <w:r>
        <w:rPr>
          <w:rtl/>
        </w:rPr>
        <w:t>הציון</w:t>
      </w:r>
      <w:r>
        <w:rPr>
          <w:rtl/>
          <w:lang w:bidi="ar-SA"/>
        </w:rPr>
        <w:t xml:space="preserve"> </w:t>
      </w:r>
      <w:r>
        <w:rPr>
          <w:rtl/>
        </w:rPr>
        <w:t>להל</w:t>
      </w:r>
      <w:r>
        <w:rPr>
          <w:rtl/>
          <w:lang w:bidi="ar-SA"/>
        </w:rPr>
        <w:t xml:space="preserve">' </w:t>
      </w:r>
      <w:r>
        <w:rPr>
          <w:rtl/>
        </w:rPr>
        <w:t>אישות</w:t>
      </w:r>
      <w:r>
        <w:rPr>
          <w:rtl/>
          <w:lang w:bidi="ar-SA"/>
        </w:rPr>
        <w:t xml:space="preserve"> </w:t>
      </w:r>
      <w:r>
        <w:rPr>
          <w:b/>
          <w:bCs/>
          <w:u w:val="single"/>
          <w:rtl/>
        </w:rPr>
        <w:t>פרק</w:t>
      </w:r>
      <w:r>
        <w:rPr>
          <w:b/>
          <w:bCs/>
          <w:u w:val="single"/>
          <w:rtl/>
          <w:lang w:bidi="ar-SA"/>
        </w:rPr>
        <w:t xml:space="preserve"> </w:t>
      </w:r>
      <w:r>
        <w:rPr>
          <w:b/>
          <w:bCs/>
          <w:u w:val="single"/>
          <w:rtl/>
        </w:rPr>
        <w:t>כז</w:t>
      </w:r>
      <w:r>
        <w:rPr>
          <w:rtl/>
          <w:lang w:bidi="ar-SA"/>
        </w:rPr>
        <w:t xml:space="preserve"> </w:t>
      </w:r>
      <w:r>
        <w:rPr>
          <w:rtl/>
        </w:rPr>
        <w:t>הוא</w:t>
      </w:r>
      <w:r>
        <w:rPr>
          <w:rtl/>
          <w:lang w:bidi="ar-SA"/>
        </w:rPr>
        <w:t xml:space="preserve"> </w:t>
      </w:r>
      <w:r>
        <w:rPr>
          <w:rtl/>
        </w:rPr>
        <w:t>טעות</w:t>
      </w:r>
      <w:r>
        <w:rPr>
          <w:rtl/>
          <w:lang w:bidi="ar-SA"/>
        </w:rPr>
        <w:t xml:space="preserve"> </w:t>
      </w:r>
      <w:r>
        <w:rPr>
          <w:rtl/>
        </w:rPr>
        <w:t>דמוכח</w:t>
      </w:r>
      <w:r>
        <w:rPr>
          <w:rtl/>
          <w:lang w:bidi="ar-SA"/>
        </w:rPr>
        <w:t xml:space="preserve">, </w:t>
      </w:r>
      <w:r>
        <w:rPr>
          <w:rtl/>
        </w:rPr>
        <w:t>דבהלכות</w:t>
      </w:r>
      <w:r>
        <w:rPr>
          <w:rtl/>
          <w:lang w:bidi="ar-SA"/>
        </w:rPr>
        <w:t xml:space="preserve"> </w:t>
      </w:r>
      <w:r>
        <w:rPr>
          <w:rtl/>
        </w:rPr>
        <w:t>אישות</w:t>
      </w:r>
      <w:r>
        <w:rPr>
          <w:rtl/>
          <w:lang w:bidi="ar-SA"/>
        </w:rPr>
        <w:t xml:space="preserve"> </w:t>
      </w:r>
      <w:r>
        <w:rPr>
          <w:rtl/>
        </w:rPr>
        <w:t>יש</w:t>
      </w:r>
      <w:r>
        <w:rPr>
          <w:rtl/>
          <w:lang w:bidi="ar-SA"/>
        </w:rPr>
        <w:t xml:space="preserve"> </w:t>
      </w:r>
      <w:r>
        <w:rPr>
          <w:rtl/>
        </w:rPr>
        <w:t>רק</w:t>
      </w:r>
      <w:r>
        <w:rPr>
          <w:rtl/>
          <w:lang w:bidi="ar-SA"/>
        </w:rPr>
        <w:t xml:space="preserve"> </w:t>
      </w:r>
      <w:r>
        <w:rPr>
          <w:b/>
          <w:bCs/>
          <w:u w:val="single"/>
          <w:rtl/>
        </w:rPr>
        <w:t>כה</w:t>
      </w:r>
      <w:r>
        <w:rPr>
          <w:b/>
          <w:bCs/>
          <w:u w:val="single"/>
          <w:rtl/>
          <w:lang w:bidi="ar-SA"/>
        </w:rPr>
        <w:t xml:space="preserve"> </w:t>
      </w:r>
      <w:r>
        <w:rPr>
          <w:b/>
          <w:bCs/>
          <w:u w:val="single"/>
          <w:rtl/>
        </w:rPr>
        <w:t>פרקים</w:t>
      </w:r>
      <w:r>
        <w:rPr>
          <w:rtl/>
          <w:lang w:bidi="ar-SA"/>
        </w:rPr>
        <w:t>!</w:t>
      </w:r>
    </w:p>
    <w:p w:rsidR="00970EBE" w:rsidRDefault="00970EBE" w:rsidP="00F146A6">
      <w:pPr>
        <w:pStyle w:val="a3"/>
        <w:rPr>
          <w:lang w:bidi="ar-SA"/>
        </w:rPr>
      </w:pPr>
      <w:r>
        <w:rPr>
          <w:rtl/>
        </w:rPr>
        <w:t>וע</w:t>
      </w:r>
      <w:r>
        <w:rPr>
          <w:rtl/>
          <w:lang w:bidi="ar-SA"/>
        </w:rPr>
        <w:t>"</w:t>
      </w:r>
      <w:r>
        <w:rPr>
          <w:rtl/>
        </w:rPr>
        <w:t>פ</w:t>
      </w:r>
      <w:r>
        <w:rPr>
          <w:rtl/>
          <w:lang w:bidi="ar-SA"/>
        </w:rPr>
        <w:t xml:space="preserve"> </w:t>
      </w:r>
      <w:r>
        <w:rPr>
          <w:rtl/>
        </w:rPr>
        <w:t>מש</w:t>
      </w:r>
      <w:r>
        <w:rPr>
          <w:rtl/>
          <w:lang w:bidi="ar-SA"/>
        </w:rPr>
        <w:t>"</w:t>
      </w:r>
      <w:r>
        <w:rPr>
          <w:rtl/>
        </w:rPr>
        <w:t>כ</w:t>
      </w:r>
      <w:r>
        <w:rPr>
          <w:rtl/>
          <w:lang w:bidi="ar-SA"/>
        </w:rPr>
        <w:t xml:space="preserve"> </w:t>
      </w:r>
      <w:r>
        <w:rPr>
          <w:rtl/>
        </w:rPr>
        <w:t>בספר</w:t>
      </w:r>
      <w:r>
        <w:rPr>
          <w:rtl/>
          <w:lang w:bidi="ar-SA"/>
        </w:rPr>
        <w:t xml:space="preserve"> </w:t>
      </w:r>
      <w:r>
        <w:rPr>
          <w:rtl/>
        </w:rPr>
        <w:t>מפענח</w:t>
      </w:r>
      <w:r>
        <w:rPr>
          <w:rtl/>
          <w:lang w:bidi="ar-SA"/>
        </w:rPr>
        <w:t xml:space="preserve"> </w:t>
      </w:r>
      <w:r>
        <w:rPr>
          <w:rtl/>
        </w:rPr>
        <w:t>צפונות</w:t>
      </w:r>
      <w:r>
        <w:rPr>
          <w:rtl/>
          <w:lang w:bidi="ar-SA"/>
        </w:rPr>
        <w:t xml:space="preserve"> (</w:t>
      </w:r>
      <w:r>
        <w:rPr>
          <w:rtl/>
        </w:rPr>
        <w:t>המצויין</w:t>
      </w:r>
      <w:r>
        <w:rPr>
          <w:rtl/>
          <w:lang w:bidi="ar-SA"/>
        </w:rPr>
        <w:t xml:space="preserve"> </w:t>
      </w:r>
      <w:r>
        <w:rPr>
          <w:rtl/>
        </w:rPr>
        <w:t>בההערה</w:t>
      </w:r>
      <w:r>
        <w:rPr>
          <w:rtl/>
          <w:lang w:bidi="ar-SA"/>
        </w:rPr>
        <w:t xml:space="preserve">), </w:t>
      </w:r>
      <w:r>
        <w:rPr>
          <w:rtl/>
        </w:rPr>
        <w:t>יש</w:t>
      </w:r>
      <w:r>
        <w:rPr>
          <w:rtl/>
          <w:lang w:bidi="ar-SA"/>
        </w:rPr>
        <w:t xml:space="preserve"> </w:t>
      </w:r>
      <w:r>
        <w:rPr>
          <w:rtl/>
        </w:rPr>
        <w:t>לתקן</w:t>
      </w:r>
      <w:r>
        <w:rPr>
          <w:rtl/>
          <w:lang w:bidi="ar-SA"/>
        </w:rPr>
        <w:t xml:space="preserve"> </w:t>
      </w:r>
      <w:r>
        <w:rPr>
          <w:rtl/>
        </w:rPr>
        <w:t>הציון</w:t>
      </w:r>
      <w:r>
        <w:rPr>
          <w:rtl/>
          <w:lang w:bidi="ar-SA"/>
        </w:rPr>
        <w:t xml:space="preserve"> </w:t>
      </w:r>
      <w:r>
        <w:rPr>
          <w:rtl/>
        </w:rPr>
        <w:t>לפרק</w:t>
      </w:r>
      <w:r>
        <w:rPr>
          <w:rtl/>
          <w:lang w:bidi="ar-SA"/>
        </w:rPr>
        <w:t xml:space="preserve"> </w:t>
      </w:r>
      <w:r>
        <w:rPr>
          <w:rtl/>
        </w:rPr>
        <w:t>כ</w:t>
      </w:r>
      <w:r>
        <w:rPr>
          <w:rtl/>
          <w:lang w:bidi="ar-SA"/>
        </w:rPr>
        <w:t>"</w:t>
      </w:r>
      <w:r>
        <w:rPr>
          <w:rtl/>
        </w:rPr>
        <w:t>ד</w:t>
      </w:r>
      <w:r>
        <w:rPr>
          <w:rtl/>
          <w:lang w:bidi="ar-SA"/>
        </w:rPr>
        <w:t xml:space="preserve">, </w:t>
      </w:r>
      <w:r>
        <w:rPr>
          <w:rtl/>
        </w:rPr>
        <w:t>הלכה</w:t>
      </w:r>
      <w:r>
        <w:rPr>
          <w:rtl/>
          <w:lang w:bidi="ar-SA"/>
        </w:rPr>
        <w:t xml:space="preserve"> </w:t>
      </w:r>
      <w:r>
        <w:rPr>
          <w:rtl/>
        </w:rPr>
        <w:t>י</w:t>
      </w:r>
      <w:r>
        <w:rPr>
          <w:rtl/>
          <w:lang w:bidi="ar-SA"/>
        </w:rPr>
        <w:t>"</w:t>
      </w:r>
      <w:r>
        <w:rPr>
          <w:rtl/>
        </w:rPr>
        <w:t>ב</w:t>
      </w:r>
      <w:r>
        <w:rPr>
          <w:rtl/>
          <w:lang w:bidi="ar-SA"/>
        </w:rPr>
        <w:t xml:space="preserve">, </w:t>
      </w:r>
      <w:r>
        <w:rPr>
          <w:rtl/>
        </w:rPr>
        <w:t>דשם</w:t>
      </w:r>
      <w:r>
        <w:rPr>
          <w:rtl/>
          <w:lang w:bidi="ar-SA"/>
        </w:rPr>
        <w:t xml:space="preserve"> </w:t>
      </w:r>
      <w:r>
        <w:rPr>
          <w:rtl/>
        </w:rPr>
        <w:t>הובא</w:t>
      </w:r>
      <w:r>
        <w:rPr>
          <w:rtl/>
          <w:lang w:bidi="ar-SA"/>
        </w:rPr>
        <w:t xml:space="preserve"> </w:t>
      </w:r>
      <w:r>
        <w:rPr>
          <w:rtl/>
        </w:rPr>
        <w:t>הציטוט</w:t>
      </w:r>
      <w:r>
        <w:rPr>
          <w:rtl/>
          <w:lang w:bidi="ar-SA"/>
        </w:rPr>
        <w:t xml:space="preserve"> </w:t>
      </w:r>
      <w:r>
        <w:rPr>
          <w:rtl/>
        </w:rPr>
        <w:t>שבההערה</w:t>
      </w:r>
      <w:r>
        <w:rPr>
          <w:rtl/>
          <w:lang w:bidi="ar-SA"/>
        </w:rPr>
        <w:t xml:space="preserve"> </w:t>
      </w:r>
      <w:r>
        <w:rPr>
          <w:rtl/>
        </w:rPr>
        <w:t>ד</w:t>
      </w:r>
      <w:r>
        <w:rPr>
          <w:rtl/>
          <w:lang w:bidi="ar-SA"/>
        </w:rPr>
        <w:t>"</w:t>
      </w:r>
      <w:r>
        <w:rPr>
          <w:rtl/>
        </w:rPr>
        <w:t>בנישואין</w:t>
      </w:r>
      <w:r>
        <w:rPr>
          <w:rtl/>
          <w:lang w:bidi="ar-SA"/>
        </w:rPr>
        <w:t xml:space="preserve"> </w:t>
      </w:r>
      <w:r>
        <w:rPr>
          <w:rtl/>
        </w:rPr>
        <w:t>בכל</w:t>
      </w:r>
      <w:r>
        <w:rPr>
          <w:rtl/>
          <w:lang w:bidi="ar-SA"/>
        </w:rPr>
        <w:t xml:space="preserve"> </w:t>
      </w:r>
      <w:r>
        <w:rPr>
          <w:rtl/>
        </w:rPr>
        <w:t>יום</w:t>
      </w:r>
      <w:r>
        <w:rPr>
          <w:rtl/>
          <w:lang w:bidi="ar-SA"/>
        </w:rPr>
        <w:t xml:space="preserve"> </w:t>
      </w:r>
      <w:r>
        <w:rPr>
          <w:rtl/>
        </w:rPr>
        <w:t>ויום</w:t>
      </w:r>
      <w:r>
        <w:rPr>
          <w:rtl/>
          <w:lang w:bidi="ar-SA"/>
        </w:rPr>
        <w:t xml:space="preserve"> </w:t>
      </w:r>
      <w:r>
        <w:rPr>
          <w:rtl/>
        </w:rPr>
        <w:t>הוה</w:t>
      </w:r>
      <w:r>
        <w:rPr>
          <w:rtl/>
          <w:lang w:bidi="ar-SA"/>
        </w:rPr>
        <w:t xml:space="preserve"> </w:t>
      </w:r>
      <w:r>
        <w:rPr>
          <w:rtl/>
        </w:rPr>
        <w:t>קנין</w:t>
      </w:r>
      <w:r>
        <w:rPr>
          <w:rtl/>
          <w:lang w:bidi="ar-SA"/>
        </w:rPr>
        <w:t xml:space="preserve"> </w:t>
      </w:r>
      <w:r>
        <w:rPr>
          <w:rtl/>
        </w:rPr>
        <w:t>חדש</w:t>
      </w:r>
      <w:r>
        <w:rPr>
          <w:rtl/>
          <w:lang w:bidi="ar-SA"/>
        </w:rPr>
        <w:t xml:space="preserve">."  </w:t>
      </w:r>
    </w:p>
    <w:p w:rsidR="00970EBE" w:rsidRDefault="00970EBE" w:rsidP="00F146A6">
      <w:pPr>
        <w:pStyle w:val="a3"/>
        <w:rPr>
          <w:lang w:bidi="ar-SA"/>
        </w:rPr>
      </w:pPr>
      <w:r>
        <w:rPr>
          <w:rtl/>
        </w:rPr>
        <w:t>וכן</w:t>
      </w:r>
      <w:r>
        <w:rPr>
          <w:rtl/>
          <w:lang w:bidi="ar-SA"/>
        </w:rPr>
        <w:t xml:space="preserve"> </w:t>
      </w:r>
      <w:r>
        <w:rPr>
          <w:rtl/>
        </w:rPr>
        <w:t>צריך</w:t>
      </w:r>
      <w:r>
        <w:rPr>
          <w:rtl/>
          <w:lang w:bidi="ar-SA"/>
        </w:rPr>
        <w:t xml:space="preserve"> </w:t>
      </w:r>
      <w:r>
        <w:rPr>
          <w:rtl/>
        </w:rPr>
        <w:t>להתקן</w:t>
      </w:r>
      <w:r>
        <w:rPr>
          <w:rtl/>
          <w:lang w:bidi="ar-SA"/>
        </w:rPr>
        <w:t xml:space="preserve"> </w:t>
      </w:r>
      <w:r>
        <w:rPr>
          <w:rtl/>
        </w:rPr>
        <w:t>בכל</w:t>
      </w:r>
      <w:r>
        <w:rPr>
          <w:rtl/>
          <w:lang w:bidi="ar-SA"/>
        </w:rPr>
        <w:t xml:space="preserve"> </w:t>
      </w:r>
      <w:r>
        <w:rPr>
          <w:rtl/>
        </w:rPr>
        <w:t>המקומות</w:t>
      </w:r>
      <w:r>
        <w:rPr>
          <w:rtl/>
          <w:lang w:bidi="ar-SA"/>
        </w:rPr>
        <w:t xml:space="preserve"> </w:t>
      </w:r>
      <w:r>
        <w:rPr>
          <w:rtl/>
        </w:rPr>
        <w:t>שהובא</w:t>
      </w:r>
      <w:r>
        <w:rPr>
          <w:rtl/>
          <w:lang w:bidi="ar-SA"/>
        </w:rPr>
        <w:t xml:space="preserve"> </w:t>
      </w:r>
      <w:r>
        <w:rPr>
          <w:rtl/>
        </w:rPr>
        <w:t>שיחה</w:t>
      </w:r>
      <w:r>
        <w:rPr>
          <w:rtl/>
          <w:lang w:bidi="ar-SA"/>
        </w:rPr>
        <w:t xml:space="preserve"> </w:t>
      </w:r>
      <w:r>
        <w:rPr>
          <w:rtl/>
        </w:rPr>
        <w:t>זו</w:t>
      </w:r>
      <w:r>
        <w:rPr>
          <w:rtl/>
          <w:lang w:bidi="ar-SA"/>
        </w:rPr>
        <w:t xml:space="preserve">, </w:t>
      </w:r>
      <w:r>
        <w:rPr>
          <w:rtl/>
        </w:rPr>
        <w:t>וגם</w:t>
      </w:r>
      <w:r>
        <w:rPr>
          <w:rtl/>
          <w:lang w:bidi="ar-SA"/>
        </w:rPr>
        <w:t xml:space="preserve"> </w:t>
      </w:r>
      <w:r>
        <w:rPr>
          <w:rtl/>
        </w:rPr>
        <w:t>בכל</w:t>
      </w:r>
      <w:r>
        <w:rPr>
          <w:rtl/>
          <w:lang w:bidi="ar-SA"/>
        </w:rPr>
        <w:t xml:space="preserve"> </w:t>
      </w:r>
      <w:r>
        <w:rPr>
          <w:rtl/>
        </w:rPr>
        <w:t>המקומות</w:t>
      </w:r>
      <w:r>
        <w:rPr>
          <w:rtl/>
          <w:lang w:bidi="ar-SA"/>
        </w:rPr>
        <w:t xml:space="preserve"> </w:t>
      </w:r>
      <w:r>
        <w:rPr>
          <w:rtl/>
        </w:rPr>
        <w:t>שהובא</w:t>
      </w:r>
      <w:r>
        <w:rPr>
          <w:rtl/>
          <w:lang w:bidi="ar-SA"/>
        </w:rPr>
        <w:t xml:space="preserve"> </w:t>
      </w:r>
      <w:r>
        <w:rPr>
          <w:rtl/>
        </w:rPr>
        <w:t>ציון</w:t>
      </w:r>
      <w:r>
        <w:rPr>
          <w:rtl/>
          <w:lang w:bidi="ar-SA"/>
        </w:rPr>
        <w:t xml:space="preserve"> </w:t>
      </w:r>
      <w:r>
        <w:rPr>
          <w:rtl/>
        </w:rPr>
        <w:t>הנ</w:t>
      </w:r>
      <w:r>
        <w:rPr>
          <w:rtl/>
          <w:lang w:bidi="ar-SA"/>
        </w:rPr>
        <w:t>"</w:t>
      </w:r>
      <w:r>
        <w:rPr>
          <w:rtl/>
        </w:rPr>
        <w:t>ל</w:t>
      </w:r>
      <w:r>
        <w:rPr>
          <w:rtl/>
          <w:lang w:bidi="ar-SA"/>
        </w:rPr>
        <w:t xml:space="preserve"> </w:t>
      </w:r>
      <w:r>
        <w:rPr>
          <w:rtl/>
        </w:rPr>
        <w:t>ע</w:t>
      </w:r>
      <w:r>
        <w:rPr>
          <w:rtl/>
          <w:lang w:bidi="ar-SA"/>
        </w:rPr>
        <w:t>"</w:t>
      </w:r>
      <w:r>
        <w:rPr>
          <w:rtl/>
        </w:rPr>
        <w:t>פ</w:t>
      </w:r>
      <w:r>
        <w:rPr>
          <w:rtl/>
          <w:lang w:bidi="ar-SA"/>
        </w:rPr>
        <w:t xml:space="preserve"> </w:t>
      </w:r>
      <w:r>
        <w:rPr>
          <w:rtl/>
        </w:rPr>
        <w:t>שיחה</w:t>
      </w:r>
      <w:r>
        <w:rPr>
          <w:rtl/>
          <w:lang w:bidi="ar-SA"/>
        </w:rPr>
        <w:t xml:space="preserve"> </w:t>
      </w:r>
      <w:r>
        <w:rPr>
          <w:rtl/>
        </w:rPr>
        <w:t>זו</w:t>
      </w:r>
      <w:r>
        <w:rPr>
          <w:rtl/>
          <w:lang w:bidi="ar-SA"/>
        </w:rPr>
        <w:t xml:space="preserve"> (</w:t>
      </w:r>
      <w:r>
        <w:rPr>
          <w:rtl/>
        </w:rPr>
        <w:t>לדוגמה</w:t>
      </w:r>
      <w:r>
        <w:rPr>
          <w:rtl/>
          <w:lang w:bidi="ar-SA"/>
        </w:rPr>
        <w:t xml:space="preserve">, </w:t>
      </w:r>
      <w:r>
        <w:rPr>
          <w:rtl/>
        </w:rPr>
        <w:t>ערך</w:t>
      </w:r>
      <w:r>
        <w:rPr>
          <w:rtl/>
          <w:lang w:bidi="ar-SA"/>
        </w:rPr>
        <w:t xml:space="preserve"> </w:t>
      </w:r>
      <w:r>
        <w:rPr>
          <w:rtl/>
        </w:rPr>
        <w:t>רמב</w:t>
      </w:r>
      <w:r>
        <w:rPr>
          <w:rtl/>
          <w:lang w:bidi="ar-SA"/>
        </w:rPr>
        <w:t>"</w:t>
      </w:r>
      <w:r>
        <w:rPr>
          <w:rtl/>
        </w:rPr>
        <w:t>ם</w:t>
      </w:r>
      <w:r>
        <w:rPr>
          <w:rtl/>
          <w:lang w:bidi="ar-SA"/>
        </w:rPr>
        <w:t xml:space="preserve"> </w:t>
      </w:r>
      <w:r>
        <w:rPr>
          <w:rtl/>
        </w:rPr>
        <w:t>הל</w:t>
      </w:r>
      <w:r>
        <w:rPr>
          <w:rtl/>
          <w:lang w:bidi="ar-SA"/>
        </w:rPr>
        <w:t xml:space="preserve">' </w:t>
      </w:r>
      <w:r>
        <w:rPr>
          <w:rtl/>
        </w:rPr>
        <w:t>אישות</w:t>
      </w:r>
      <w:r>
        <w:rPr>
          <w:rtl/>
          <w:lang w:bidi="ar-SA"/>
        </w:rPr>
        <w:t xml:space="preserve"> </w:t>
      </w:r>
      <w:r>
        <w:rPr>
          <w:rtl/>
        </w:rPr>
        <w:t>במפתח</w:t>
      </w:r>
      <w:r>
        <w:rPr>
          <w:rtl/>
          <w:lang w:bidi="ar-SA"/>
        </w:rPr>
        <w:t xml:space="preserve"> </w:t>
      </w:r>
      <w:r>
        <w:rPr>
          <w:rtl/>
        </w:rPr>
        <w:t>לקו</w:t>
      </w:r>
      <w:r>
        <w:rPr>
          <w:rtl/>
          <w:lang w:bidi="ar-SA"/>
        </w:rPr>
        <w:t>"</w:t>
      </w:r>
      <w:r>
        <w:rPr>
          <w:rtl/>
        </w:rPr>
        <w:t>ש</w:t>
      </w:r>
      <w:r>
        <w:rPr>
          <w:rtl/>
          <w:lang w:bidi="ar-SA"/>
        </w:rPr>
        <w:t xml:space="preserve">; </w:t>
      </w:r>
      <w:r>
        <w:rPr>
          <w:rtl/>
        </w:rPr>
        <w:t>שיחת</w:t>
      </w:r>
      <w:r>
        <w:rPr>
          <w:rtl/>
          <w:lang w:bidi="ar-SA"/>
        </w:rPr>
        <w:t xml:space="preserve"> </w:t>
      </w:r>
      <w:r>
        <w:rPr>
          <w:rtl/>
        </w:rPr>
        <w:t>יום</w:t>
      </w:r>
      <w:r>
        <w:rPr>
          <w:rtl/>
          <w:lang w:bidi="ar-SA"/>
        </w:rPr>
        <w:t xml:space="preserve"> </w:t>
      </w:r>
      <w:r>
        <w:rPr>
          <w:rtl/>
        </w:rPr>
        <w:t>ב</w:t>
      </w:r>
      <w:r>
        <w:rPr>
          <w:rtl/>
          <w:lang w:bidi="ar-SA"/>
        </w:rPr>
        <w:t xml:space="preserve">' </w:t>
      </w:r>
      <w:r>
        <w:rPr>
          <w:rtl/>
        </w:rPr>
        <w:t>דשבועות</w:t>
      </w:r>
      <w:r>
        <w:rPr>
          <w:rtl/>
          <w:lang w:bidi="ar-SA"/>
        </w:rPr>
        <w:t xml:space="preserve"> </w:t>
      </w:r>
      <w:r>
        <w:rPr>
          <w:rtl/>
        </w:rPr>
        <w:t>שבתורת</w:t>
      </w:r>
      <w:r>
        <w:rPr>
          <w:rtl/>
          <w:lang w:bidi="ar-SA"/>
        </w:rPr>
        <w:t xml:space="preserve"> </w:t>
      </w:r>
      <w:r>
        <w:rPr>
          <w:rtl/>
        </w:rPr>
        <w:t>מנחם</w:t>
      </w:r>
      <w:r>
        <w:rPr>
          <w:rtl/>
          <w:lang w:bidi="ar-SA"/>
        </w:rPr>
        <w:t xml:space="preserve"> </w:t>
      </w:r>
      <w:r>
        <w:rPr>
          <w:rtl/>
        </w:rPr>
        <w:t>תשמ</w:t>
      </w:r>
      <w:r>
        <w:rPr>
          <w:rtl/>
          <w:lang w:bidi="ar-SA"/>
        </w:rPr>
        <w:t>"</w:t>
      </w:r>
      <w:r>
        <w:rPr>
          <w:rtl/>
        </w:rPr>
        <w:t>ו</w:t>
      </w:r>
      <w:r>
        <w:rPr>
          <w:rtl/>
          <w:lang w:bidi="ar-SA"/>
        </w:rPr>
        <w:t xml:space="preserve">, </w:t>
      </w:r>
      <w:r>
        <w:rPr>
          <w:rtl/>
        </w:rPr>
        <w:t>הערה</w:t>
      </w:r>
      <w:r>
        <w:rPr>
          <w:rtl/>
          <w:lang w:bidi="ar-SA"/>
        </w:rPr>
        <w:t xml:space="preserve"> 225, </w:t>
      </w:r>
      <w:r>
        <w:rPr>
          <w:rtl/>
        </w:rPr>
        <w:t>ועוד</w:t>
      </w:r>
      <w:r>
        <w:rPr>
          <w:rtl/>
          <w:lang w:bidi="ar-SA"/>
        </w:rPr>
        <w:t>).</w:t>
      </w:r>
    </w:p>
    <w:p w:rsidR="00970EBE" w:rsidRDefault="00970EBE" w:rsidP="00F146A6">
      <w:pPr>
        <w:pStyle w:val="a3"/>
        <w:rPr>
          <w:lang w:bidi="ar-SA"/>
        </w:rPr>
      </w:pPr>
      <w:r>
        <w:rPr>
          <w:rtl/>
        </w:rPr>
        <w:t>ב</w:t>
      </w:r>
      <w:r>
        <w:rPr>
          <w:rtl/>
          <w:lang w:bidi="ar-SA"/>
        </w:rPr>
        <w:t xml:space="preserve">. </w:t>
      </w:r>
      <w:r>
        <w:rPr>
          <w:rtl/>
        </w:rPr>
        <w:t>הואיל</w:t>
      </w:r>
      <w:r>
        <w:rPr>
          <w:rtl/>
          <w:lang w:bidi="ar-SA"/>
        </w:rPr>
        <w:t xml:space="preserve"> </w:t>
      </w:r>
      <w:r>
        <w:rPr>
          <w:rtl/>
        </w:rPr>
        <w:t>ואתא</w:t>
      </w:r>
      <w:r>
        <w:rPr>
          <w:rtl/>
          <w:lang w:bidi="ar-SA"/>
        </w:rPr>
        <w:t xml:space="preserve"> </w:t>
      </w:r>
      <w:r>
        <w:rPr>
          <w:rtl/>
        </w:rPr>
        <w:t>לידן</w:t>
      </w:r>
      <w:r>
        <w:rPr>
          <w:rtl/>
          <w:lang w:bidi="ar-SA"/>
        </w:rPr>
        <w:t xml:space="preserve"> </w:t>
      </w:r>
      <w:r>
        <w:rPr>
          <w:rtl/>
        </w:rPr>
        <w:t>שיחה</w:t>
      </w:r>
      <w:r>
        <w:rPr>
          <w:rtl/>
          <w:lang w:bidi="ar-SA"/>
        </w:rPr>
        <w:t xml:space="preserve"> </w:t>
      </w:r>
      <w:r>
        <w:rPr>
          <w:rtl/>
        </w:rPr>
        <w:t>הנ</w:t>
      </w:r>
      <w:r>
        <w:rPr>
          <w:rtl/>
          <w:lang w:bidi="ar-SA"/>
        </w:rPr>
        <w:t>"</w:t>
      </w:r>
      <w:r>
        <w:rPr>
          <w:rtl/>
        </w:rPr>
        <w:t>ל</w:t>
      </w:r>
      <w:r>
        <w:rPr>
          <w:rtl/>
          <w:lang w:bidi="ar-SA"/>
        </w:rPr>
        <w:t xml:space="preserve">, </w:t>
      </w:r>
      <w:r>
        <w:rPr>
          <w:rtl/>
        </w:rPr>
        <w:t>נימא</w:t>
      </w:r>
      <w:r>
        <w:rPr>
          <w:rtl/>
          <w:lang w:bidi="ar-SA"/>
        </w:rPr>
        <w:t xml:space="preserve"> </w:t>
      </w:r>
      <w:r>
        <w:rPr>
          <w:rtl/>
        </w:rPr>
        <w:t>בה</w:t>
      </w:r>
      <w:r>
        <w:rPr>
          <w:rtl/>
          <w:lang w:bidi="ar-SA"/>
        </w:rPr>
        <w:t xml:space="preserve"> </w:t>
      </w:r>
      <w:r>
        <w:rPr>
          <w:rtl/>
        </w:rPr>
        <w:t>תרי</w:t>
      </w:r>
      <w:r>
        <w:rPr>
          <w:rtl/>
          <w:lang w:bidi="ar-SA"/>
        </w:rPr>
        <w:t xml:space="preserve"> </w:t>
      </w:r>
      <w:r>
        <w:rPr>
          <w:rtl/>
        </w:rPr>
        <w:t>מילי</w:t>
      </w:r>
      <w:r>
        <w:rPr>
          <w:rtl/>
          <w:lang w:bidi="ar-SA"/>
        </w:rPr>
        <w:t xml:space="preserve">. </w:t>
      </w:r>
      <w:r>
        <w:rPr>
          <w:rtl/>
        </w:rPr>
        <w:t>חד</w:t>
      </w:r>
      <w:r>
        <w:rPr>
          <w:rtl/>
          <w:lang w:bidi="ar-SA"/>
        </w:rPr>
        <w:t xml:space="preserve">, </w:t>
      </w:r>
      <w:r>
        <w:rPr>
          <w:rtl/>
        </w:rPr>
        <w:t>בהערה</w:t>
      </w:r>
      <w:r>
        <w:rPr>
          <w:rtl/>
          <w:lang w:bidi="ar-SA"/>
        </w:rPr>
        <w:t xml:space="preserve"> 38 </w:t>
      </w:r>
      <w:r>
        <w:rPr>
          <w:rtl/>
        </w:rPr>
        <w:t>הנ</w:t>
      </w:r>
      <w:r>
        <w:rPr>
          <w:rtl/>
          <w:lang w:bidi="ar-SA"/>
        </w:rPr>
        <w:t>"</w:t>
      </w:r>
      <w:r>
        <w:rPr>
          <w:rtl/>
        </w:rPr>
        <w:t>ל</w:t>
      </w:r>
      <w:r>
        <w:rPr>
          <w:rtl/>
          <w:lang w:bidi="ar-SA"/>
        </w:rPr>
        <w:t xml:space="preserve"> </w:t>
      </w:r>
      <w:r>
        <w:rPr>
          <w:rtl/>
        </w:rPr>
        <w:t>הובא</w:t>
      </w:r>
      <w:r>
        <w:rPr>
          <w:rtl/>
          <w:lang w:bidi="ar-SA"/>
        </w:rPr>
        <w:t xml:space="preserve"> </w:t>
      </w:r>
      <w:r>
        <w:rPr>
          <w:rtl/>
        </w:rPr>
        <w:t>הטעם</w:t>
      </w:r>
      <w:r>
        <w:rPr>
          <w:rtl/>
          <w:lang w:bidi="ar-SA"/>
        </w:rPr>
        <w:t xml:space="preserve"> </w:t>
      </w:r>
      <w:r>
        <w:rPr>
          <w:rtl/>
        </w:rPr>
        <w:t>שבקידושין</w:t>
      </w:r>
      <w:r>
        <w:rPr>
          <w:rtl/>
          <w:lang w:bidi="ar-SA"/>
        </w:rPr>
        <w:t xml:space="preserve"> </w:t>
      </w:r>
      <w:r>
        <w:rPr>
          <w:rtl/>
        </w:rPr>
        <w:t>י</w:t>
      </w:r>
      <w:r>
        <w:rPr>
          <w:rtl/>
          <w:lang w:bidi="ar-SA"/>
        </w:rPr>
        <w:t>"</w:t>
      </w:r>
      <w:r>
        <w:rPr>
          <w:rtl/>
        </w:rPr>
        <w:t>א</w:t>
      </w:r>
      <w:r>
        <w:rPr>
          <w:rtl/>
          <w:lang w:bidi="ar-SA"/>
        </w:rPr>
        <w:t xml:space="preserve"> </w:t>
      </w:r>
      <w:r>
        <w:rPr>
          <w:rtl/>
        </w:rPr>
        <w:t>שבכל</w:t>
      </w:r>
      <w:r>
        <w:rPr>
          <w:rtl/>
          <w:lang w:bidi="ar-SA"/>
        </w:rPr>
        <w:t xml:space="preserve"> </w:t>
      </w:r>
      <w:r>
        <w:rPr>
          <w:rtl/>
        </w:rPr>
        <w:t>רגע</w:t>
      </w:r>
      <w:r>
        <w:rPr>
          <w:rtl/>
          <w:lang w:bidi="ar-SA"/>
        </w:rPr>
        <w:t xml:space="preserve"> </w:t>
      </w:r>
      <w:r>
        <w:rPr>
          <w:rtl/>
        </w:rPr>
        <w:t>הוה</w:t>
      </w:r>
      <w:r>
        <w:rPr>
          <w:rtl/>
          <w:lang w:bidi="ar-SA"/>
        </w:rPr>
        <w:t xml:space="preserve"> </w:t>
      </w:r>
      <w:r>
        <w:rPr>
          <w:rtl/>
        </w:rPr>
        <w:t>קנין</w:t>
      </w:r>
      <w:r>
        <w:rPr>
          <w:rtl/>
          <w:lang w:bidi="ar-SA"/>
        </w:rPr>
        <w:t xml:space="preserve"> </w:t>
      </w:r>
      <w:r>
        <w:rPr>
          <w:rtl/>
        </w:rPr>
        <w:t>חדש</w:t>
      </w:r>
      <w:r>
        <w:rPr>
          <w:rtl/>
          <w:lang w:bidi="ar-SA"/>
        </w:rPr>
        <w:t xml:space="preserve">, </w:t>
      </w:r>
      <w:r>
        <w:rPr>
          <w:rtl/>
        </w:rPr>
        <w:t>משום</w:t>
      </w:r>
      <w:r>
        <w:rPr>
          <w:rtl/>
          <w:lang w:bidi="ar-SA"/>
        </w:rPr>
        <w:t xml:space="preserve"> </w:t>
      </w:r>
      <w:r>
        <w:rPr>
          <w:rtl/>
        </w:rPr>
        <w:t>דיחוד</w:t>
      </w:r>
      <w:r>
        <w:rPr>
          <w:rtl/>
          <w:lang w:bidi="ar-SA"/>
        </w:rPr>
        <w:t xml:space="preserve"> </w:t>
      </w:r>
      <w:r>
        <w:rPr>
          <w:rtl/>
        </w:rPr>
        <w:t>זו</w:t>
      </w:r>
      <w:r>
        <w:rPr>
          <w:rtl/>
          <w:lang w:bidi="ar-SA"/>
        </w:rPr>
        <w:t>"</w:t>
      </w:r>
      <w:r>
        <w:rPr>
          <w:rtl/>
        </w:rPr>
        <w:t>נ</w:t>
      </w:r>
      <w:r>
        <w:rPr>
          <w:rtl/>
          <w:lang w:bidi="ar-SA"/>
        </w:rPr>
        <w:t xml:space="preserve"> </w:t>
      </w:r>
      <w:r>
        <w:rPr>
          <w:rtl/>
        </w:rPr>
        <w:t>הוה</w:t>
      </w:r>
      <w:r>
        <w:rPr>
          <w:rtl/>
          <w:lang w:bidi="ar-SA"/>
        </w:rPr>
        <w:t xml:space="preserve"> </w:t>
      </w:r>
      <w:r>
        <w:rPr>
          <w:rtl/>
        </w:rPr>
        <w:t>חיבור</w:t>
      </w:r>
      <w:r>
        <w:rPr>
          <w:rtl/>
          <w:lang w:bidi="ar-SA"/>
        </w:rPr>
        <w:t xml:space="preserve"> </w:t>
      </w:r>
      <w:r>
        <w:rPr>
          <w:rtl/>
        </w:rPr>
        <w:t>ב</w:t>
      </w:r>
      <w:r>
        <w:rPr>
          <w:rtl/>
          <w:lang w:bidi="ar-SA"/>
        </w:rPr>
        <w:t xml:space="preserve">' </w:t>
      </w:r>
      <w:r>
        <w:rPr>
          <w:rtl/>
        </w:rPr>
        <w:t>הפכים</w:t>
      </w:r>
      <w:r>
        <w:rPr>
          <w:rtl/>
          <w:lang w:bidi="ar-SA"/>
        </w:rPr>
        <w:t xml:space="preserve">.  </w:t>
      </w:r>
      <w:r>
        <w:rPr>
          <w:rtl/>
        </w:rPr>
        <w:t>ויש</w:t>
      </w:r>
      <w:r>
        <w:rPr>
          <w:rtl/>
          <w:lang w:bidi="ar-SA"/>
        </w:rPr>
        <w:t xml:space="preserve"> </w:t>
      </w:r>
      <w:r>
        <w:rPr>
          <w:rtl/>
        </w:rPr>
        <w:t>להעיר</w:t>
      </w:r>
      <w:r>
        <w:rPr>
          <w:rtl/>
          <w:lang w:bidi="ar-SA"/>
        </w:rPr>
        <w:t xml:space="preserve">, </w:t>
      </w:r>
      <w:r>
        <w:rPr>
          <w:rtl/>
        </w:rPr>
        <w:t>דבספר</w:t>
      </w:r>
      <w:r>
        <w:rPr>
          <w:rtl/>
          <w:lang w:bidi="ar-SA"/>
        </w:rPr>
        <w:t xml:space="preserve"> </w:t>
      </w:r>
      <w:r>
        <w:rPr>
          <w:rtl/>
        </w:rPr>
        <w:t>מפענח</w:t>
      </w:r>
      <w:r>
        <w:rPr>
          <w:rtl/>
          <w:lang w:bidi="ar-SA"/>
        </w:rPr>
        <w:t xml:space="preserve"> </w:t>
      </w:r>
      <w:r>
        <w:rPr>
          <w:rtl/>
        </w:rPr>
        <w:t>צפונות</w:t>
      </w:r>
      <w:r>
        <w:rPr>
          <w:rtl/>
          <w:lang w:bidi="ar-SA"/>
        </w:rPr>
        <w:t xml:space="preserve"> (</w:t>
      </w:r>
      <w:r>
        <w:rPr>
          <w:rtl/>
        </w:rPr>
        <w:t>שם</w:t>
      </w:r>
      <w:r>
        <w:rPr>
          <w:rtl/>
          <w:lang w:bidi="ar-SA"/>
        </w:rPr>
        <w:t xml:space="preserve">) </w:t>
      </w:r>
      <w:r>
        <w:rPr>
          <w:rtl/>
        </w:rPr>
        <w:t>הובא</w:t>
      </w:r>
      <w:r>
        <w:rPr>
          <w:rtl/>
          <w:lang w:bidi="ar-SA"/>
        </w:rPr>
        <w:t xml:space="preserve"> </w:t>
      </w:r>
      <w:r>
        <w:rPr>
          <w:rtl/>
        </w:rPr>
        <w:t>טעם</w:t>
      </w:r>
      <w:r>
        <w:rPr>
          <w:rtl/>
          <w:lang w:bidi="ar-SA"/>
        </w:rPr>
        <w:t xml:space="preserve"> </w:t>
      </w:r>
      <w:r>
        <w:rPr>
          <w:rtl/>
        </w:rPr>
        <w:t>אחר</w:t>
      </w:r>
      <w:r>
        <w:rPr>
          <w:rtl/>
          <w:lang w:bidi="ar-SA"/>
        </w:rPr>
        <w:t xml:space="preserve">, </w:t>
      </w:r>
      <w:r>
        <w:rPr>
          <w:rtl/>
        </w:rPr>
        <w:t>והוא</w:t>
      </w:r>
      <w:r>
        <w:rPr>
          <w:rtl/>
          <w:lang w:bidi="ar-SA"/>
        </w:rPr>
        <w:t xml:space="preserve"> </w:t>
      </w:r>
      <w:r>
        <w:rPr>
          <w:rtl/>
        </w:rPr>
        <w:t>משום</w:t>
      </w:r>
      <w:r>
        <w:rPr>
          <w:rtl/>
          <w:lang w:bidi="ar-SA"/>
        </w:rPr>
        <w:t xml:space="preserve"> "</w:t>
      </w:r>
      <w:r>
        <w:rPr>
          <w:rtl/>
        </w:rPr>
        <w:t>דיכול</w:t>
      </w:r>
      <w:r>
        <w:rPr>
          <w:rtl/>
          <w:lang w:bidi="ar-SA"/>
        </w:rPr>
        <w:t xml:space="preserve"> </w:t>
      </w:r>
      <w:r>
        <w:rPr>
          <w:rtl/>
        </w:rPr>
        <w:t>לגרשה</w:t>
      </w:r>
      <w:r>
        <w:rPr>
          <w:rtl/>
          <w:lang w:bidi="ar-SA"/>
        </w:rPr>
        <w:t xml:space="preserve">, </w:t>
      </w:r>
      <w:r>
        <w:rPr>
          <w:rtl/>
        </w:rPr>
        <w:t>וממילא</w:t>
      </w:r>
      <w:r>
        <w:rPr>
          <w:rtl/>
          <w:lang w:bidi="ar-SA"/>
        </w:rPr>
        <w:t xml:space="preserve"> </w:t>
      </w:r>
      <w:r>
        <w:rPr>
          <w:rtl/>
        </w:rPr>
        <w:t>פקע</w:t>
      </w:r>
      <w:r>
        <w:rPr>
          <w:rtl/>
          <w:lang w:bidi="ar-SA"/>
        </w:rPr>
        <w:t xml:space="preserve"> </w:t>
      </w:r>
      <w:r>
        <w:rPr>
          <w:rtl/>
        </w:rPr>
        <w:t>השיעבוד</w:t>
      </w:r>
      <w:r>
        <w:rPr>
          <w:rtl/>
          <w:lang w:bidi="ar-SA"/>
        </w:rPr>
        <w:t xml:space="preserve">".  </w:t>
      </w:r>
      <w:r>
        <w:rPr>
          <w:rtl/>
        </w:rPr>
        <w:t>ובקל</w:t>
      </w:r>
      <w:r>
        <w:rPr>
          <w:rtl/>
          <w:lang w:bidi="ar-SA"/>
        </w:rPr>
        <w:t xml:space="preserve"> </w:t>
      </w:r>
      <w:r>
        <w:rPr>
          <w:rtl/>
        </w:rPr>
        <w:t>יש</w:t>
      </w:r>
      <w:r>
        <w:rPr>
          <w:rtl/>
          <w:lang w:bidi="ar-SA"/>
        </w:rPr>
        <w:t xml:space="preserve"> </w:t>
      </w:r>
      <w:r>
        <w:rPr>
          <w:rtl/>
        </w:rPr>
        <w:t>לישב</w:t>
      </w:r>
      <w:r>
        <w:rPr>
          <w:rtl/>
          <w:lang w:bidi="ar-SA"/>
        </w:rPr>
        <w:t xml:space="preserve"> </w:t>
      </w:r>
      <w:r>
        <w:rPr>
          <w:rtl/>
        </w:rPr>
        <w:t>זה</w:t>
      </w:r>
      <w:r>
        <w:rPr>
          <w:rtl/>
          <w:lang w:bidi="ar-SA"/>
        </w:rPr>
        <w:t xml:space="preserve"> </w:t>
      </w:r>
      <w:r>
        <w:rPr>
          <w:rtl/>
        </w:rPr>
        <w:t>עם</w:t>
      </w:r>
      <w:r>
        <w:rPr>
          <w:rtl/>
          <w:lang w:bidi="ar-SA"/>
        </w:rPr>
        <w:t xml:space="preserve"> </w:t>
      </w:r>
      <w:r>
        <w:rPr>
          <w:rtl/>
        </w:rPr>
        <w:t>הטעם</w:t>
      </w:r>
      <w:r>
        <w:rPr>
          <w:rtl/>
          <w:lang w:bidi="ar-SA"/>
        </w:rPr>
        <w:t xml:space="preserve"> </w:t>
      </w:r>
      <w:r>
        <w:rPr>
          <w:rtl/>
        </w:rPr>
        <w:t>המובא</w:t>
      </w:r>
      <w:r>
        <w:rPr>
          <w:rtl/>
          <w:lang w:bidi="ar-SA"/>
        </w:rPr>
        <w:t xml:space="preserve"> </w:t>
      </w:r>
      <w:r>
        <w:rPr>
          <w:rtl/>
        </w:rPr>
        <w:t>בלקו</w:t>
      </w:r>
      <w:r>
        <w:rPr>
          <w:rtl/>
          <w:lang w:bidi="ar-SA"/>
        </w:rPr>
        <w:t>"</w:t>
      </w:r>
      <w:r>
        <w:rPr>
          <w:rtl/>
        </w:rPr>
        <w:t>ש</w:t>
      </w:r>
      <w:r>
        <w:rPr>
          <w:rtl/>
          <w:lang w:bidi="ar-SA"/>
        </w:rPr>
        <w:t xml:space="preserve"> </w:t>
      </w:r>
      <w:r>
        <w:rPr>
          <w:rtl/>
        </w:rPr>
        <w:t>הנ</w:t>
      </w:r>
      <w:r>
        <w:rPr>
          <w:rtl/>
          <w:lang w:bidi="ar-SA"/>
        </w:rPr>
        <w:t>"</w:t>
      </w:r>
      <w:r>
        <w:rPr>
          <w:rtl/>
        </w:rPr>
        <w:t>ל</w:t>
      </w:r>
      <w:r>
        <w:rPr>
          <w:rtl/>
          <w:lang w:bidi="ar-SA"/>
        </w:rPr>
        <w:t xml:space="preserve"> (</w:t>
      </w:r>
      <w:r>
        <w:rPr>
          <w:rtl/>
        </w:rPr>
        <w:t>וראה</w:t>
      </w:r>
      <w:r>
        <w:rPr>
          <w:rtl/>
          <w:lang w:bidi="ar-SA"/>
        </w:rPr>
        <w:t xml:space="preserve"> </w:t>
      </w:r>
      <w:r>
        <w:rPr>
          <w:rtl/>
        </w:rPr>
        <w:t>גם</w:t>
      </w:r>
      <w:r>
        <w:rPr>
          <w:rtl/>
          <w:lang w:bidi="ar-SA"/>
        </w:rPr>
        <w:t xml:space="preserve"> </w:t>
      </w:r>
      <w:r>
        <w:rPr>
          <w:rtl/>
        </w:rPr>
        <w:t>דברי</w:t>
      </w:r>
      <w:r>
        <w:rPr>
          <w:rtl/>
          <w:lang w:bidi="ar-SA"/>
        </w:rPr>
        <w:t xml:space="preserve"> </w:t>
      </w:r>
      <w:r>
        <w:rPr>
          <w:rtl/>
        </w:rPr>
        <w:t>רבינו</w:t>
      </w:r>
      <w:r>
        <w:rPr>
          <w:rtl/>
          <w:lang w:bidi="ar-SA"/>
        </w:rPr>
        <w:t xml:space="preserve"> </w:t>
      </w:r>
      <w:r>
        <w:rPr>
          <w:rtl/>
        </w:rPr>
        <w:t>בענין</w:t>
      </w:r>
      <w:r>
        <w:rPr>
          <w:rtl/>
          <w:lang w:bidi="ar-SA"/>
        </w:rPr>
        <w:t xml:space="preserve"> </w:t>
      </w:r>
      <w:r>
        <w:rPr>
          <w:rtl/>
        </w:rPr>
        <w:t>הקדש</w:t>
      </w:r>
      <w:r>
        <w:rPr>
          <w:rtl/>
          <w:lang w:bidi="ar-SA"/>
        </w:rPr>
        <w:t xml:space="preserve"> (</w:t>
      </w:r>
      <w:r>
        <w:rPr>
          <w:rtl/>
        </w:rPr>
        <w:t>שיחת</w:t>
      </w:r>
      <w:r>
        <w:rPr>
          <w:rtl/>
          <w:lang w:bidi="ar-SA"/>
        </w:rPr>
        <w:t xml:space="preserve"> </w:t>
      </w:r>
      <w:r>
        <w:rPr>
          <w:rtl/>
        </w:rPr>
        <w:t>י</w:t>
      </w:r>
      <w:r>
        <w:rPr>
          <w:rtl/>
          <w:lang w:bidi="ar-SA"/>
        </w:rPr>
        <w:t>"</w:t>
      </w:r>
      <w:r>
        <w:rPr>
          <w:rtl/>
        </w:rPr>
        <w:t>ט</w:t>
      </w:r>
      <w:r>
        <w:rPr>
          <w:rtl/>
          <w:lang w:bidi="ar-SA"/>
        </w:rPr>
        <w:t xml:space="preserve"> </w:t>
      </w:r>
      <w:r>
        <w:rPr>
          <w:rtl/>
        </w:rPr>
        <w:t>כסלו</w:t>
      </w:r>
      <w:r>
        <w:rPr>
          <w:rtl/>
          <w:lang w:bidi="ar-SA"/>
        </w:rPr>
        <w:t xml:space="preserve"> </w:t>
      </w:r>
      <w:r>
        <w:rPr>
          <w:rtl/>
        </w:rPr>
        <w:t>תש</w:t>
      </w:r>
      <w:r>
        <w:rPr>
          <w:rtl/>
          <w:lang w:bidi="ar-SA"/>
        </w:rPr>
        <w:t>"</w:t>
      </w:r>
      <w:r>
        <w:rPr>
          <w:rtl/>
        </w:rPr>
        <w:t>כ</w:t>
      </w:r>
      <w:r>
        <w:rPr>
          <w:rtl/>
          <w:lang w:bidi="ar-SA"/>
        </w:rPr>
        <w:t xml:space="preserve">, </w:t>
      </w:r>
      <w:r>
        <w:rPr>
          <w:rtl/>
        </w:rPr>
        <w:t>נדפס</w:t>
      </w:r>
      <w:r>
        <w:rPr>
          <w:rtl/>
          <w:lang w:bidi="ar-SA"/>
        </w:rPr>
        <w:t xml:space="preserve"> </w:t>
      </w:r>
      <w:r>
        <w:rPr>
          <w:rtl/>
        </w:rPr>
        <w:t>בההוספות</w:t>
      </w:r>
      <w:r>
        <w:rPr>
          <w:rtl/>
          <w:lang w:bidi="ar-SA"/>
        </w:rPr>
        <w:t xml:space="preserve"> </w:t>
      </w:r>
      <w:r>
        <w:rPr>
          <w:rtl/>
        </w:rPr>
        <w:t>ללקו</w:t>
      </w:r>
      <w:r>
        <w:rPr>
          <w:rtl/>
          <w:lang w:bidi="ar-SA"/>
        </w:rPr>
        <w:t>"</w:t>
      </w:r>
      <w:r>
        <w:rPr>
          <w:rtl/>
        </w:rPr>
        <w:t>ש</w:t>
      </w:r>
      <w:r>
        <w:rPr>
          <w:rtl/>
          <w:lang w:bidi="ar-SA"/>
        </w:rPr>
        <w:t xml:space="preserve"> </w:t>
      </w:r>
      <w:r>
        <w:rPr>
          <w:rtl/>
        </w:rPr>
        <w:t>ח</w:t>
      </w:r>
      <w:r>
        <w:rPr>
          <w:rtl/>
          <w:lang w:bidi="ar-SA"/>
        </w:rPr>
        <w:t>"</w:t>
      </w:r>
      <w:r>
        <w:rPr>
          <w:rtl/>
        </w:rPr>
        <w:t>ד</w:t>
      </w:r>
      <w:r>
        <w:rPr>
          <w:rtl/>
          <w:lang w:bidi="ar-SA"/>
        </w:rPr>
        <w:t xml:space="preserve">), </w:t>
      </w:r>
      <w:r>
        <w:rPr>
          <w:rtl/>
        </w:rPr>
        <w:t>דמביא</w:t>
      </w:r>
      <w:r>
        <w:rPr>
          <w:rtl/>
          <w:lang w:bidi="ar-SA"/>
        </w:rPr>
        <w:t xml:space="preserve"> </w:t>
      </w:r>
      <w:r>
        <w:rPr>
          <w:rtl/>
        </w:rPr>
        <w:t>שם</w:t>
      </w:r>
      <w:r>
        <w:rPr>
          <w:rtl/>
          <w:lang w:bidi="ar-SA"/>
        </w:rPr>
        <w:t xml:space="preserve"> </w:t>
      </w:r>
      <w:r>
        <w:rPr>
          <w:rtl/>
        </w:rPr>
        <w:t>כב</w:t>
      </w:r>
      <w:r>
        <w:rPr>
          <w:rtl/>
          <w:lang w:bidi="ar-SA"/>
        </w:rPr>
        <w:t xml:space="preserve">' </w:t>
      </w:r>
      <w:r>
        <w:rPr>
          <w:rtl/>
        </w:rPr>
        <w:t>ענינים</w:t>
      </w:r>
      <w:r>
        <w:rPr>
          <w:rtl/>
          <w:lang w:bidi="ar-SA"/>
        </w:rPr>
        <w:t xml:space="preserve"> </w:t>
      </w:r>
      <w:r>
        <w:rPr>
          <w:rtl/>
        </w:rPr>
        <w:t>הנ</w:t>
      </w:r>
      <w:r>
        <w:rPr>
          <w:rtl/>
          <w:lang w:bidi="ar-SA"/>
        </w:rPr>
        <w:t>"</w:t>
      </w:r>
      <w:r>
        <w:rPr>
          <w:rtl/>
        </w:rPr>
        <w:t>ל</w:t>
      </w:r>
      <w:r>
        <w:rPr>
          <w:rtl/>
          <w:lang w:bidi="ar-SA"/>
        </w:rPr>
        <w:t xml:space="preserve">, </w:t>
      </w:r>
      <w:r>
        <w:rPr>
          <w:rtl/>
        </w:rPr>
        <w:t>דהקדש</w:t>
      </w:r>
      <w:r>
        <w:rPr>
          <w:rtl/>
          <w:lang w:bidi="ar-SA"/>
        </w:rPr>
        <w:t xml:space="preserve"> </w:t>
      </w:r>
      <w:r>
        <w:rPr>
          <w:rtl/>
        </w:rPr>
        <w:t>היא</w:t>
      </w:r>
      <w:r>
        <w:rPr>
          <w:rtl/>
          <w:lang w:bidi="ar-SA"/>
        </w:rPr>
        <w:t xml:space="preserve"> </w:t>
      </w:r>
      <w:r>
        <w:rPr>
          <w:rtl/>
        </w:rPr>
        <w:t>חיבור</w:t>
      </w:r>
      <w:r>
        <w:rPr>
          <w:rtl/>
          <w:lang w:bidi="ar-SA"/>
        </w:rPr>
        <w:t xml:space="preserve"> </w:t>
      </w:r>
      <w:r>
        <w:rPr>
          <w:rtl/>
        </w:rPr>
        <w:t>גשמיות</w:t>
      </w:r>
      <w:r>
        <w:rPr>
          <w:rtl/>
          <w:lang w:bidi="ar-SA"/>
        </w:rPr>
        <w:t xml:space="preserve"> </w:t>
      </w:r>
      <w:r>
        <w:rPr>
          <w:rtl/>
        </w:rPr>
        <w:t>ורוחניות</w:t>
      </w:r>
      <w:r>
        <w:rPr>
          <w:rtl/>
          <w:lang w:bidi="ar-SA"/>
        </w:rPr>
        <w:t xml:space="preserve"> (</w:t>
      </w:r>
      <w:r>
        <w:rPr>
          <w:rtl/>
        </w:rPr>
        <w:t>שני</w:t>
      </w:r>
      <w:r>
        <w:rPr>
          <w:rtl/>
          <w:lang w:bidi="ar-SA"/>
        </w:rPr>
        <w:t xml:space="preserve"> </w:t>
      </w:r>
      <w:r>
        <w:rPr>
          <w:rtl/>
        </w:rPr>
        <w:t>הפכים</w:t>
      </w:r>
      <w:r>
        <w:rPr>
          <w:rtl/>
          <w:lang w:bidi="ar-SA"/>
        </w:rPr>
        <w:t xml:space="preserve">), </w:t>
      </w:r>
      <w:r>
        <w:rPr>
          <w:rtl/>
        </w:rPr>
        <w:t>ושיש</w:t>
      </w:r>
      <w:r>
        <w:rPr>
          <w:rtl/>
          <w:lang w:bidi="ar-SA"/>
        </w:rPr>
        <w:t xml:space="preserve"> </w:t>
      </w:r>
      <w:r>
        <w:rPr>
          <w:rtl/>
        </w:rPr>
        <w:t>שאלה</w:t>
      </w:r>
      <w:r>
        <w:rPr>
          <w:rtl/>
          <w:lang w:bidi="ar-SA"/>
        </w:rPr>
        <w:t xml:space="preserve"> </w:t>
      </w:r>
      <w:r>
        <w:rPr>
          <w:rtl/>
        </w:rPr>
        <w:t>בהקדש</w:t>
      </w:r>
      <w:r>
        <w:rPr>
          <w:rtl/>
          <w:lang w:bidi="ar-SA"/>
        </w:rPr>
        <w:t xml:space="preserve">, </w:t>
      </w:r>
      <w:r>
        <w:rPr>
          <w:rtl/>
        </w:rPr>
        <w:t>דבכל</w:t>
      </w:r>
      <w:r>
        <w:rPr>
          <w:rtl/>
          <w:lang w:bidi="ar-SA"/>
        </w:rPr>
        <w:t xml:space="preserve"> </w:t>
      </w:r>
      <w:r>
        <w:rPr>
          <w:rtl/>
        </w:rPr>
        <w:t>רגע</w:t>
      </w:r>
      <w:r>
        <w:rPr>
          <w:rtl/>
          <w:lang w:bidi="ar-SA"/>
        </w:rPr>
        <w:t xml:space="preserve"> </w:t>
      </w:r>
      <w:r>
        <w:rPr>
          <w:rtl/>
        </w:rPr>
        <w:t>יכול</w:t>
      </w:r>
      <w:r>
        <w:rPr>
          <w:rtl/>
          <w:lang w:bidi="ar-SA"/>
        </w:rPr>
        <w:t xml:space="preserve"> </w:t>
      </w:r>
      <w:r>
        <w:rPr>
          <w:rtl/>
        </w:rPr>
        <w:t>לעקור</w:t>
      </w:r>
      <w:r>
        <w:rPr>
          <w:rtl/>
          <w:lang w:bidi="ar-SA"/>
        </w:rPr>
        <w:t xml:space="preserve"> </w:t>
      </w:r>
      <w:r>
        <w:rPr>
          <w:rtl/>
        </w:rPr>
        <w:t>קדושת</w:t>
      </w:r>
      <w:r>
        <w:rPr>
          <w:rtl/>
          <w:lang w:bidi="ar-SA"/>
        </w:rPr>
        <w:t xml:space="preserve"> </w:t>
      </w:r>
      <w:r>
        <w:rPr>
          <w:rtl/>
        </w:rPr>
        <w:t>הקדש</w:t>
      </w:r>
      <w:r>
        <w:rPr>
          <w:rtl/>
          <w:lang w:bidi="ar-SA"/>
        </w:rPr>
        <w:t xml:space="preserve"> </w:t>
      </w:r>
      <w:r>
        <w:rPr>
          <w:rtl/>
        </w:rPr>
        <w:t>מהחפץ</w:t>
      </w:r>
      <w:r>
        <w:rPr>
          <w:rtl/>
          <w:lang w:bidi="ar-SA"/>
        </w:rPr>
        <w:t xml:space="preserve"> </w:t>
      </w:r>
      <w:r>
        <w:rPr>
          <w:rtl/>
        </w:rPr>
        <w:t>וע</w:t>
      </w:r>
      <w:r>
        <w:rPr>
          <w:rtl/>
          <w:lang w:bidi="ar-SA"/>
        </w:rPr>
        <w:t>"</w:t>
      </w:r>
      <w:r>
        <w:rPr>
          <w:rtl/>
        </w:rPr>
        <w:t>כ</w:t>
      </w:r>
      <w:r>
        <w:rPr>
          <w:rtl/>
          <w:lang w:bidi="ar-SA"/>
        </w:rPr>
        <w:t xml:space="preserve"> </w:t>
      </w:r>
      <w:r>
        <w:rPr>
          <w:rtl/>
        </w:rPr>
        <w:t>הוה</w:t>
      </w:r>
      <w:r>
        <w:rPr>
          <w:rtl/>
          <w:lang w:bidi="ar-SA"/>
        </w:rPr>
        <w:t xml:space="preserve"> </w:t>
      </w:r>
      <w:r>
        <w:rPr>
          <w:rtl/>
        </w:rPr>
        <w:t>פעולת</w:t>
      </w:r>
      <w:r>
        <w:rPr>
          <w:rtl/>
          <w:lang w:bidi="ar-SA"/>
        </w:rPr>
        <w:t xml:space="preserve"> </w:t>
      </w:r>
      <w:r>
        <w:rPr>
          <w:rtl/>
        </w:rPr>
        <w:t>ההקדש</w:t>
      </w:r>
      <w:r>
        <w:rPr>
          <w:rtl/>
          <w:lang w:bidi="ar-SA"/>
        </w:rPr>
        <w:t xml:space="preserve"> </w:t>
      </w:r>
      <w:r>
        <w:rPr>
          <w:rtl/>
        </w:rPr>
        <w:t>פעולה</w:t>
      </w:r>
      <w:r>
        <w:rPr>
          <w:rtl/>
          <w:lang w:bidi="ar-SA"/>
        </w:rPr>
        <w:t xml:space="preserve"> </w:t>
      </w:r>
      <w:r>
        <w:rPr>
          <w:rtl/>
        </w:rPr>
        <w:t>נמשכת</w:t>
      </w:r>
      <w:r>
        <w:rPr>
          <w:rtl/>
          <w:lang w:bidi="ar-SA"/>
        </w:rPr>
        <w:t>).</w:t>
      </w:r>
    </w:p>
    <w:p w:rsidR="00970EBE" w:rsidRDefault="00970EBE" w:rsidP="00F146A6">
      <w:pPr>
        <w:pStyle w:val="a3"/>
        <w:rPr>
          <w:lang w:bidi="ar-SA"/>
        </w:rPr>
      </w:pPr>
      <w:r>
        <w:rPr>
          <w:rtl/>
        </w:rPr>
        <w:t>ג</w:t>
      </w:r>
      <w:r>
        <w:rPr>
          <w:rtl/>
          <w:lang w:bidi="ar-SA"/>
        </w:rPr>
        <w:t xml:space="preserve">.  </w:t>
      </w:r>
      <w:r>
        <w:rPr>
          <w:rtl/>
        </w:rPr>
        <w:t>עוד</w:t>
      </w:r>
      <w:r>
        <w:rPr>
          <w:rtl/>
          <w:lang w:bidi="ar-SA"/>
        </w:rPr>
        <w:t xml:space="preserve"> </w:t>
      </w:r>
      <w:r>
        <w:rPr>
          <w:rtl/>
        </w:rPr>
        <w:t>יש</w:t>
      </w:r>
      <w:r>
        <w:rPr>
          <w:rtl/>
          <w:lang w:bidi="ar-SA"/>
        </w:rPr>
        <w:t xml:space="preserve"> </w:t>
      </w:r>
      <w:r>
        <w:rPr>
          <w:rtl/>
        </w:rPr>
        <w:t>להעיר</w:t>
      </w:r>
      <w:r>
        <w:rPr>
          <w:rtl/>
          <w:lang w:bidi="ar-SA"/>
        </w:rPr>
        <w:t xml:space="preserve">, </w:t>
      </w:r>
      <w:r>
        <w:rPr>
          <w:rtl/>
        </w:rPr>
        <w:t>בד</w:t>
      </w:r>
      <w:r>
        <w:rPr>
          <w:rtl/>
          <w:lang w:bidi="ar-SA"/>
        </w:rPr>
        <w:t>"</w:t>
      </w:r>
      <w:r>
        <w:rPr>
          <w:rtl/>
        </w:rPr>
        <w:t>כ</w:t>
      </w:r>
      <w:r>
        <w:rPr>
          <w:rtl/>
          <w:lang w:bidi="ar-SA"/>
        </w:rPr>
        <w:t xml:space="preserve"> </w:t>
      </w:r>
      <w:r>
        <w:rPr>
          <w:rtl/>
        </w:rPr>
        <w:t>מבואר</w:t>
      </w:r>
      <w:r>
        <w:rPr>
          <w:rtl/>
          <w:lang w:bidi="ar-SA"/>
        </w:rPr>
        <w:t xml:space="preserve"> </w:t>
      </w:r>
      <w:r>
        <w:rPr>
          <w:rtl/>
        </w:rPr>
        <w:t>שה</w:t>
      </w:r>
      <w:r>
        <w:rPr>
          <w:rtl/>
          <w:lang w:bidi="ar-SA"/>
        </w:rPr>
        <w:t>"</w:t>
      </w:r>
      <w:r>
        <w:rPr>
          <w:rtl/>
        </w:rPr>
        <w:t>צריכתא</w:t>
      </w:r>
      <w:r>
        <w:rPr>
          <w:rtl/>
          <w:lang w:bidi="ar-SA"/>
        </w:rPr>
        <w:t xml:space="preserve">" </w:t>
      </w:r>
      <w:r>
        <w:rPr>
          <w:rtl/>
        </w:rPr>
        <w:t>דפעולה</w:t>
      </w:r>
      <w:r>
        <w:rPr>
          <w:rtl/>
          <w:lang w:bidi="ar-SA"/>
        </w:rPr>
        <w:t xml:space="preserve"> </w:t>
      </w:r>
      <w:r>
        <w:rPr>
          <w:rtl/>
        </w:rPr>
        <w:t>נמשכת</w:t>
      </w:r>
      <w:r>
        <w:rPr>
          <w:rtl/>
          <w:lang w:bidi="ar-SA"/>
        </w:rPr>
        <w:t xml:space="preserve"> </w:t>
      </w:r>
      <w:r>
        <w:rPr>
          <w:rtl/>
        </w:rPr>
        <w:t>היא</w:t>
      </w:r>
      <w:r>
        <w:rPr>
          <w:rtl/>
          <w:lang w:bidi="ar-SA"/>
        </w:rPr>
        <w:t xml:space="preserve"> </w:t>
      </w:r>
      <w:r>
        <w:rPr>
          <w:rtl/>
        </w:rPr>
        <w:t>מחמת</w:t>
      </w:r>
      <w:r>
        <w:rPr>
          <w:rtl/>
          <w:lang w:bidi="ar-SA"/>
        </w:rPr>
        <w:t xml:space="preserve"> </w:t>
      </w:r>
      <w:r>
        <w:rPr>
          <w:rtl/>
        </w:rPr>
        <w:t>ה</w:t>
      </w:r>
      <w:r>
        <w:rPr>
          <w:rtl/>
          <w:lang w:bidi="ar-SA"/>
        </w:rPr>
        <w:t>"</w:t>
      </w:r>
      <w:r>
        <w:rPr>
          <w:rtl/>
        </w:rPr>
        <w:t>קושי</w:t>
      </w:r>
      <w:r>
        <w:rPr>
          <w:rtl/>
          <w:lang w:bidi="ar-SA"/>
        </w:rPr>
        <w:t xml:space="preserve">" </w:t>
      </w:r>
      <w:r>
        <w:rPr>
          <w:rtl/>
        </w:rPr>
        <w:t>שבחיבור</w:t>
      </w:r>
      <w:r>
        <w:rPr>
          <w:rtl/>
          <w:lang w:bidi="ar-SA"/>
        </w:rPr>
        <w:t xml:space="preserve"> </w:t>
      </w:r>
      <w:r>
        <w:rPr>
          <w:rtl/>
        </w:rPr>
        <w:t>ב</w:t>
      </w:r>
      <w:r>
        <w:rPr>
          <w:rtl/>
          <w:lang w:bidi="ar-SA"/>
        </w:rPr>
        <w:t xml:space="preserve">' </w:t>
      </w:r>
      <w:r>
        <w:rPr>
          <w:rtl/>
        </w:rPr>
        <w:t>הפכים</w:t>
      </w:r>
      <w:r>
        <w:rPr>
          <w:rtl/>
          <w:lang w:bidi="ar-SA"/>
        </w:rPr>
        <w:t xml:space="preserve">. </w:t>
      </w:r>
      <w:r>
        <w:rPr>
          <w:rtl/>
        </w:rPr>
        <w:t>אבל</w:t>
      </w:r>
      <w:r>
        <w:rPr>
          <w:rtl/>
          <w:lang w:bidi="ar-SA"/>
        </w:rPr>
        <w:t xml:space="preserve">, </w:t>
      </w:r>
      <w:r>
        <w:rPr>
          <w:rtl/>
        </w:rPr>
        <w:t>במענת</w:t>
      </w:r>
      <w:r>
        <w:rPr>
          <w:rtl/>
          <w:lang w:bidi="ar-SA"/>
        </w:rPr>
        <w:t xml:space="preserve"> </w:t>
      </w:r>
      <w:r>
        <w:rPr>
          <w:rtl/>
        </w:rPr>
        <w:t>רבינו</w:t>
      </w:r>
      <w:r>
        <w:rPr>
          <w:rtl/>
          <w:lang w:bidi="ar-SA"/>
        </w:rPr>
        <w:t xml:space="preserve"> </w:t>
      </w:r>
      <w:r>
        <w:rPr>
          <w:rtl/>
        </w:rPr>
        <w:t>על</w:t>
      </w:r>
      <w:r>
        <w:rPr>
          <w:rtl/>
          <w:lang w:bidi="ar-SA"/>
        </w:rPr>
        <w:t xml:space="preserve"> </w:t>
      </w:r>
      <w:r>
        <w:rPr>
          <w:rtl/>
        </w:rPr>
        <w:t>שאלות</w:t>
      </w:r>
      <w:r>
        <w:rPr>
          <w:rtl/>
          <w:lang w:bidi="ar-SA"/>
        </w:rPr>
        <w:t xml:space="preserve"> </w:t>
      </w:r>
      <w:r>
        <w:rPr>
          <w:rtl/>
        </w:rPr>
        <w:t>המניחים</w:t>
      </w:r>
      <w:r>
        <w:rPr>
          <w:rtl/>
          <w:lang w:bidi="ar-SA"/>
        </w:rPr>
        <w:t xml:space="preserve"> </w:t>
      </w:r>
      <w:r>
        <w:rPr>
          <w:rtl/>
        </w:rPr>
        <w:t>בשיחות</w:t>
      </w:r>
      <w:r>
        <w:rPr>
          <w:rtl/>
          <w:lang w:bidi="ar-SA"/>
        </w:rPr>
        <w:t xml:space="preserve"> </w:t>
      </w:r>
      <w:r>
        <w:rPr>
          <w:rtl/>
        </w:rPr>
        <w:t>אחש</w:t>
      </w:r>
      <w:r>
        <w:rPr>
          <w:rtl/>
          <w:lang w:bidi="ar-SA"/>
        </w:rPr>
        <w:t>"</w:t>
      </w:r>
      <w:r>
        <w:rPr>
          <w:rtl/>
        </w:rPr>
        <w:t>פ</w:t>
      </w:r>
      <w:r>
        <w:rPr>
          <w:rtl/>
          <w:lang w:bidi="ar-SA"/>
        </w:rPr>
        <w:t xml:space="preserve"> </w:t>
      </w:r>
      <w:r>
        <w:rPr>
          <w:rtl/>
        </w:rPr>
        <w:t>וש</w:t>
      </w:r>
      <w:r>
        <w:rPr>
          <w:rtl/>
          <w:lang w:bidi="ar-SA"/>
        </w:rPr>
        <w:t>"</w:t>
      </w:r>
      <w:r>
        <w:rPr>
          <w:rtl/>
        </w:rPr>
        <w:t>פ</w:t>
      </w:r>
      <w:r>
        <w:rPr>
          <w:rtl/>
          <w:lang w:bidi="ar-SA"/>
        </w:rPr>
        <w:t xml:space="preserve"> </w:t>
      </w:r>
      <w:r>
        <w:rPr>
          <w:rtl/>
        </w:rPr>
        <w:t>שמיני</w:t>
      </w:r>
      <w:r>
        <w:rPr>
          <w:rtl/>
          <w:lang w:bidi="ar-SA"/>
        </w:rPr>
        <w:t xml:space="preserve"> </w:t>
      </w:r>
      <w:r>
        <w:rPr>
          <w:rtl/>
        </w:rPr>
        <w:t>תשכ</w:t>
      </w:r>
      <w:r>
        <w:rPr>
          <w:rtl/>
          <w:lang w:bidi="ar-SA"/>
        </w:rPr>
        <w:t>"</w:t>
      </w:r>
      <w:r>
        <w:rPr>
          <w:rtl/>
        </w:rPr>
        <w:t>ד</w:t>
      </w:r>
      <w:r>
        <w:rPr>
          <w:rtl/>
          <w:lang w:bidi="ar-SA"/>
        </w:rPr>
        <w:t xml:space="preserve"> </w:t>
      </w:r>
      <w:r>
        <w:rPr>
          <w:rtl/>
        </w:rPr>
        <w:t>מביא</w:t>
      </w:r>
      <w:r>
        <w:rPr>
          <w:rtl/>
          <w:lang w:bidi="ar-SA"/>
        </w:rPr>
        <w:t xml:space="preserve"> </w:t>
      </w:r>
      <w:r>
        <w:rPr>
          <w:rtl/>
        </w:rPr>
        <w:t>די</w:t>
      </w:r>
      <w:r>
        <w:rPr>
          <w:rtl/>
          <w:lang w:bidi="ar-SA"/>
        </w:rPr>
        <w:t xml:space="preserve"> </w:t>
      </w:r>
      <w:r>
        <w:rPr>
          <w:rtl/>
        </w:rPr>
        <w:t>עוד</w:t>
      </w:r>
      <w:r>
        <w:rPr>
          <w:rtl/>
          <w:lang w:bidi="ar-SA"/>
        </w:rPr>
        <w:t xml:space="preserve"> </w:t>
      </w:r>
      <w:r>
        <w:rPr>
          <w:rtl/>
        </w:rPr>
        <w:t>טעם</w:t>
      </w:r>
      <w:r>
        <w:rPr>
          <w:rtl/>
          <w:lang w:bidi="ar-SA"/>
        </w:rPr>
        <w:t xml:space="preserve"> </w:t>
      </w:r>
      <w:r>
        <w:rPr>
          <w:rtl/>
        </w:rPr>
        <w:t>לפעולה</w:t>
      </w:r>
      <w:r>
        <w:rPr>
          <w:rtl/>
          <w:lang w:bidi="ar-SA"/>
        </w:rPr>
        <w:t xml:space="preserve"> </w:t>
      </w:r>
      <w:r>
        <w:rPr>
          <w:rtl/>
        </w:rPr>
        <w:t>נמשכת</w:t>
      </w:r>
      <w:r>
        <w:rPr>
          <w:rtl/>
          <w:lang w:bidi="ar-SA"/>
        </w:rPr>
        <w:t xml:space="preserve">, </w:t>
      </w:r>
      <w:r>
        <w:rPr>
          <w:rtl/>
        </w:rPr>
        <w:t>והיא</w:t>
      </w:r>
      <w:r>
        <w:rPr>
          <w:rtl/>
          <w:lang w:bidi="ar-SA"/>
        </w:rPr>
        <w:t xml:space="preserve"> </w:t>
      </w:r>
      <w:r>
        <w:rPr>
          <w:rtl/>
        </w:rPr>
        <w:t>משום</w:t>
      </w:r>
      <w:r>
        <w:rPr>
          <w:rtl/>
          <w:lang w:bidi="ar-SA"/>
        </w:rPr>
        <w:t xml:space="preserve"> </w:t>
      </w:r>
      <w:r>
        <w:rPr>
          <w:rtl/>
        </w:rPr>
        <w:t>זה</w:t>
      </w:r>
      <w:r>
        <w:rPr>
          <w:rtl/>
          <w:lang w:bidi="ar-SA"/>
        </w:rPr>
        <w:t xml:space="preserve"> </w:t>
      </w:r>
      <w:r>
        <w:rPr>
          <w:b/>
          <w:bCs/>
          <w:rtl/>
        </w:rPr>
        <w:t>שהפעולה</w:t>
      </w:r>
      <w:r>
        <w:rPr>
          <w:b/>
          <w:bCs/>
          <w:rtl/>
          <w:lang w:bidi="ar-SA"/>
        </w:rPr>
        <w:t xml:space="preserve"> </w:t>
      </w:r>
      <w:r>
        <w:rPr>
          <w:b/>
          <w:bCs/>
          <w:rtl/>
        </w:rPr>
        <w:t>עצמה</w:t>
      </w:r>
      <w:r>
        <w:rPr>
          <w:b/>
          <w:bCs/>
          <w:rtl/>
          <w:lang w:bidi="ar-SA"/>
        </w:rPr>
        <w:t xml:space="preserve"> </w:t>
      </w:r>
      <w:r>
        <w:rPr>
          <w:b/>
          <w:bCs/>
          <w:rtl/>
        </w:rPr>
        <w:t>היא</w:t>
      </w:r>
      <w:r>
        <w:rPr>
          <w:b/>
          <w:bCs/>
          <w:rtl/>
          <w:lang w:bidi="ar-SA"/>
        </w:rPr>
        <w:t xml:space="preserve"> </w:t>
      </w:r>
      <w:r>
        <w:rPr>
          <w:b/>
          <w:bCs/>
          <w:rtl/>
        </w:rPr>
        <w:t>חלושה</w:t>
      </w:r>
      <w:r>
        <w:rPr>
          <w:rtl/>
          <w:lang w:bidi="ar-SA"/>
        </w:rPr>
        <w:t xml:space="preserve">.  </w:t>
      </w:r>
      <w:r>
        <w:rPr>
          <w:rtl/>
        </w:rPr>
        <w:t>ענין</w:t>
      </w:r>
      <w:r>
        <w:rPr>
          <w:rtl/>
          <w:lang w:bidi="ar-SA"/>
        </w:rPr>
        <w:t xml:space="preserve"> </w:t>
      </w:r>
      <w:r>
        <w:rPr>
          <w:rtl/>
        </w:rPr>
        <w:t>זה</w:t>
      </w:r>
      <w:r>
        <w:rPr>
          <w:rtl/>
          <w:lang w:bidi="ar-SA"/>
        </w:rPr>
        <w:t xml:space="preserve"> </w:t>
      </w:r>
      <w:r>
        <w:rPr>
          <w:rtl/>
        </w:rPr>
        <w:t>נראה</w:t>
      </w:r>
      <w:r>
        <w:rPr>
          <w:rtl/>
          <w:lang w:bidi="ar-SA"/>
        </w:rPr>
        <w:t xml:space="preserve"> </w:t>
      </w:r>
      <w:r>
        <w:rPr>
          <w:rtl/>
        </w:rPr>
        <w:t>במענת</w:t>
      </w:r>
      <w:r>
        <w:rPr>
          <w:rtl/>
          <w:lang w:bidi="ar-SA"/>
        </w:rPr>
        <w:t xml:space="preserve"> </w:t>
      </w:r>
      <w:r>
        <w:rPr>
          <w:rtl/>
        </w:rPr>
        <w:t>רבינו</w:t>
      </w:r>
      <w:r>
        <w:rPr>
          <w:rtl/>
          <w:lang w:bidi="ar-SA"/>
        </w:rPr>
        <w:t xml:space="preserve"> </w:t>
      </w:r>
      <w:r>
        <w:rPr>
          <w:rtl/>
        </w:rPr>
        <w:t>הנדפס</w:t>
      </w:r>
      <w:r>
        <w:rPr>
          <w:rtl/>
          <w:lang w:bidi="ar-SA"/>
        </w:rPr>
        <w:t xml:space="preserve"> </w:t>
      </w:r>
      <w:r>
        <w:rPr>
          <w:rtl/>
        </w:rPr>
        <w:t>בסדרת</w:t>
      </w:r>
      <w:r>
        <w:rPr>
          <w:rtl/>
          <w:lang w:bidi="ar-SA"/>
        </w:rPr>
        <w:t xml:space="preserve"> </w:t>
      </w:r>
      <w:r>
        <w:rPr>
          <w:rtl/>
        </w:rPr>
        <w:t>תורה</w:t>
      </w:r>
      <w:r>
        <w:rPr>
          <w:rtl/>
          <w:lang w:bidi="ar-SA"/>
        </w:rPr>
        <w:t xml:space="preserve"> </w:t>
      </w:r>
      <w:r>
        <w:rPr>
          <w:rtl/>
        </w:rPr>
        <w:t>מנחם</w:t>
      </w:r>
      <w:r>
        <w:rPr>
          <w:rtl/>
          <w:lang w:bidi="ar-SA"/>
        </w:rPr>
        <w:t xml:space="preserve"> (</w:t>
      </w:r>
      <w:r>
        <w:rPr>
          <w:rtl/>
        </w:rPr>
        <w:t>שמיני</w:t>
      </w:r>
      <w:r>
        <w:rPr>
          <w:rtl/>
          <w:lang w:bidi="ar-SA"/>
        </w:rPr>
        <w:t xml:space="preserve"> </w:t>
      </w:r>
      <w:r>
        <w:rPr>
          <w:rtl/>
        </w:rPr>
        <w:t>תשכ</w:t>
      </w:r>
      <w:r>
        <w:rPr>
          <w:rtl/>
          <w:lang w:bidi="ar-SA"/>
        </w:rPr>
        <w:t>"</w:t>
      </w:r>
      <w:r>
        <w:rPr>
          <w:rtl/>
        </w:rPr>
        <w:t>ד</w:t>
      </w:r>
      <w:r>
        <w:rPr>
          <w:rtl/>
          <w:lang w:bidi="ar-SA"/>
        </w:rPr>
        <w:t xml:space="preserve">), </w:t>
      </w:r>
      <w:r>
        <w:rPr>
          <w:rtl/>
        </w:rPr>
        <w:t>וז</w:t>
      </w:r>
      <w:r>
        <w:rPr>
          <w:rtl/>
          <w:lang w:bidi="ar-SA"/>
        </w:rPr>
        <w:t>"</w:t>
      </w:r>
      <w:r>
        <w:rPr>
          <w:rtl/>
        </w:rPr>
        <w:t>ל</w:t>
      </w:r>
      <w:r>
        <w:rPr>
          <w:rtl/>
          <w:lang w:bidi="ar-SA"/>
        </w:rPr>
        <w:t xml:space="preserve"> (</w:t>
      </w:r>
      <w:r>
        <w:rPr>
          <w:rtl/>
        </w:rPr>
        <w:t>המודגש</w:t>
      </w:r>
      <w:r>
        <w:rPr>
          <w:rtl/>
          <w:lang w:bidi="ar-SA"/>
        </w:rPr>
        <w:t xml:space="preserve"> </w:t>
      </w:r>
      <w:r>
        <w:rPr>
          <w:rtl/>
        </w:rPr>
        <w:t>במקור</w:t>
      </w:r>
      <w:r>
        <w:rPr>
          <w:rtl/>
          <w:lang w:bidi="ar-SA"/>
        </w:rPr>
        <w:t>) "</w:t>
      </w:r>
      <w:r>
        <w:rPr>
          <w:rtl/>
        </w:rPr>
        <w:t>לכל</w:t>
      </w:r>
      <w:r>
        <w:rPr>
          <w:rtl/>
          <w:lang w:bidi="ar-SA"/>
        </w:rPr>
        <w:t xml:space="preserve"> </w:t>
      </w:r>
      <w:r>
        <w:rPr>
          <w:rtl/>
        </w:rPr>
        <w:t>הדעות</w:t>
      </w:r>
      <w:r>
        <w:rPr>
          <w:rtl/>
          <w:lang w:bidi="ar-SA"/>
        </w:rPr>
        <w:t xml:space="preserve"> </w:t>
      </w:r>
      <w:r>
        <w:rPr>
          <w:rFonts w:cs="Times New Roman"/>
          <w:rtl/>
          <w:lang w:bidi="ar-SA"/>
        </w:rPr>
        <w:t>–</w:t>
      </w:r>
      <w:r>
        <w:rPr>
          <w:rtl/>
          <w:lang w:bidi="ar-SA"/>
        </w:rPr>
        <w:t xml:space="preserve"> </w:t>
      </w:r>
      <w:r>
        <w:rPr>
          <w:rtl/>
        </w:rPr>
        <w:t>יש</w:t>
      </w:r>
      <w:r>
        <w:rPr>
          <w:rtl/>
          <w:lang w:bidi="ar-SA"/>
        </w:rPr>
        <w:t xml:space="preserve"> </w:t>
      </w:r>
      <w:r>
        <w:rPr>
          <w:rtl/>
        </w:rPr>
        <w:t>ע</w:t>
      </w:r>
      <w:r>
        <w:rPr>
          <w:rtl/>
          <w:lang w:bidi="ar-SA"/>
        </w:rPr>
        <w:t>"</w:t>
      </w:r>
      <w:r>
        <w:rPr>
          <w:rtl/>
        </w:rPr>
        <w:t>פ</w:t>
      </w:r>
      <w:r>
        <w:rPr>
          <w:rtl/>
          <w:lang w:bidi="ar-SA"/>
        </w:rPr>
        <w:t xml:space="preserve"> </w:t>
      </w:r>
      <w:r>
        <w:rPr>
          <w:rtl/>
        </w:rPr>
        <w:t>תורה</w:t>
      </w:r>
      <w:r>
        <w:rPr>
          <w:rtl/>
          <w:lang w:bidi="ar-SA"/>
        </w:rPr>
        <w:t xml:space="preserve"> </w:t>
      </w:r>
      <w:r>
        <w:rPr>
          <w:b/>
          <w:bCs/>
          <w:u w:val="single"/>
          <w:rtl/>
        </w:rPr>
        <w:t>גם</w:t>
      </w:r>
      <w:r>
        <w:rPr>
          <w:rtl/>
          <w:lang w:bidi="ar-SA"/>
        </w:rPr>
        <w:t xml:space="preserve"> </w:t>
      </w:r>
      <w:r>
        <w:rPr>
          <w:rtl/>
        </w:rPr>
        <w:t>פעולה</w:t>
      </w:r>
      <w:r>
        <w:rPr>
          <w:rtl/>
          <w:lang w:bidi="ar-SA"/>
        </w:rPr>
        <w:t xml:space="preserve"> </w:t>
      </w:r>
      <w:r>
        <w:rPr>
          <w:rtl/>
        </w:rPr>
        <w:t>נמשכת</w:t>
      </w:r>
      <w:r>
        <w:rPr>
          <w:rtl/>
          <w:lang w:bidi="ar-SA"/>
        </w:rPr>
        <w:t>, [</w:t>
      </w:r>
      <w:r>
        <w:rPr>
          <w:rtl/>
        </w:rPr>
        <w:t>מעלתה</w:t>
      </w:r>
      <w:r>
        <w:rPr>
          <w:rtl/>
          <w:lang w:bidi="ar-SA"/>
        </w:rPr>
        <w:t xml:space="preserve"> </w:t>
      </w:r>
      <w:r>
        <w:rPr>
          <w:rFonts w:cs="Times New Roman"/>
          <w:rtl/>
          <w:lang w:bidi="ar-SA"/>
        </w:rPr>
        <w:t>–</w:t>
      </w:r>
      <w:r>
        <w:rPr>
          <w:rtl/>
          <w:lang w:bidi="ar-SA"/>
        </w:rPr>
        <w:t xml:space="preserve"> </w:t>
      </w:r>
      <w:r>
        <w:rPr>
          <w:rtl/>
        </w:rPr>
        <w:t>שהיא</w:t>
      </w:r>
      <w:r>
        <w:rPr>
          <w:rtl/>
          <w:lang w:bidi="ar-SA"/>
        </w:rPr>
        <w:t xml:space="preserve"> </w:t>
      </w:r>
      <w:r>
        <w:rPr>
          <w:rtl/>
        </w:rPr>
        <w:t>עצמה</w:t>
      </w:r>
      <w:r>
        <w:rPr>
          <w:rtl/>
          <w:lang w:bidi="ar-SA"/>
        </w:rPr>
        <w:t xml:space="preserve"> </w:t>
      </w:r>
      <w:r>
        <w:rPr>
          <w:rtl/>
        </w:rPr>
        <w:t>נמשכת</w:t>
      </w:r>
      <w:r>
        <w:rPr>
          <w:rtl/>
          <w:lang w:bidi="ar-SA"/>
        </w:rPr>
        <w:t xml:space="preserve">. </w:t>
      </w:r>
      <w:r>
        <w:rPr>
          <w:rtl/>
        </w:rPr>
        <w:t>חסרונה</w:t>
      </w:r>
      <w:r>
        <w:rPr>
          <w:rtl/>
          <w:lang w:bidi="ar-SA"/>
        </w:rPr>
        <w:t xml:space="preserve"> (</w:t>
      </w:r>
      <w:r>
        <w:rPr>
          <w:rtl/>
        </w:rPr>
        <w:t>או</w:t>
      </w:r>
      <w:r>
        <w:rPr>
          <w:rtl/>
          <w:lang w:bidi="ar-SA"/>
        </w:rPr>
        <w:t xml:space="preserve"> </w:t>
      </w:r>
      <w:r>
        <w:rPr>
          <w:rtl/>
        </w:rPr>
        <w:t>תוקף</w:t>
      </w:r>
      <w:r>
        <w:rPr>
          <w:rtl/>
          <w:lang w:bidi="ar-SA"/>
        </w:rPr>
        <w:t xml:space="preserve"> </w:t>
      </w:r>
      <w:r>
        <w:rPr>
          <w:rtl/>
        </w:rPr>
        <w:t>המצב</w:t>
      </w:r>
      <w:r>
        <w:rPr>
          <w:rtl/>
          <w:lang w:bidi="ar-SA"/>
        </w:rPr>
        <w:t xml:space="preserve"> </w:t>
      </w:r>
      <w:r>
        <w:rPr>
          <w:rtl/>
        </w:rPr>
        <w:t>שלפני</w:t>
      </w:r>
      <w:r>
        <w:rPr>
          <w:rtl/>
          <w:lang w:bidi="ar-SA"/>
        </w:rPr>
        <w:t xml:space="preserve"> </w:t>
      </w:r>
      <w:r>
        <w:rPr>
          <w:rtl/>
        </w:rPr>
        <w:t>הפעולה</w:t>
      </w:r>
      <w:r>
        <w:rPr>
          <w:rtl/>
          <w:lang w:bidi="ar-SA"/>
        </w:rPr>
        <w:t xml:space="preserve">) </w:t>
      </w:r>
      <w:r>
        <w:rPr>
          <w:rFonts w:cs="Times New Roman"/>
          <w:rtl/>
          <w:lang w:bidi="ar-SA"/>
        </w:rPr>
        <w:t>–</w:t>
      </w:r>
      <w:r>
        <w:rPr>
          <w:rtl/>
          <w:lang w:bidi="ar-SA"/>
        </w:rPr>
        <w:t xml:space="preserve"> </w:t>
      </w:r>
      <w:r>
        <w:rPr>
          <w:rtl/>
        </w:rPr>
        <w:t>שבאם</w:t>
      </w:r>
      <w:r>
        <w:rPr>
          <w:rtl/>
          <w:lang w:bidi="ar-SA"/>
        </w:rPr>
        <w:t xml:space="preserve"> </w:t>
      </w:r>
      <w:r>
        <w:rPr>
          <w:rtl/>
        </w:rPr>
        <w:t>לא</w:t>
      </w:r>
      <w:r>
        <w:rPr>
          <w:rtl/>
          <w:lang w:bidi="ar-SA"/>
        </w:rPr>
        <w:t xml:space="preserve"> </w:t>
      </w:r>
      <w:r>
        <w:rPr>
          <w:rtl/>
        </w:rPr>
        <w:t>הייתה</w:t>
      </w:r>
      <w:r>
        <w:rPr>
          <w:rtl/>
          <w:lang w:bidi="ar-SA"/>
        </w:rPr>
        <w:t xml:space="preserve"> </w:t>
      </w:r>
      <w:r>
        <w:rPr>
          <w:rtl/>
        </w:rPr>
        <w:t>נמשכת</w:t>
      </w:r>
      <w:r>
        <w:rPr>
          <w:rtl/>
          <w:lang w:bidi="ar-SA"/>
        </w:rPr>
        <w:t xml:space="preserve"> </w:t>
      </w:r>
      <w:r>
        <w:rPr>
          <w:rFonts w:cs="Times New Roman"/>
          <w:rtl/>
          <w:lang w:bidi="ar-SA"/>
        </w:rPr>
        <w:t>–</w:t>
      </w:r>
      <w:r>
        <w:rPr>
          <w:rtl/>
          <w:lang w:bidi="ar-SA"/>
        </w:rPr>
        <w:t xml:space="preserve"> </w:t>
      </w:r>
      <w:r>
        <w:rPr>
          <w:rtl/>
        </w:rPr>
        <w:t>הייתה</w:t>
      </w:r>
      <w:r>
        <w:rPr>
          <w:rtl/>
          <w:lang w:bidi="ar-SA"/>
        </w:rPr>
        <w:t xml:space="preserve"> </w:t>
      </w:r>
      <w:r>
        <w:rPr>
          <w:rtl/>
        </w:rPr>
        <w:t>פועלת</w:t>
      </w:r>
      <w:r>
        <w:rPr>
          <w:rtl/>
          <w:lang w:bidi="ar-SA"/>
        </w:rPr>
        <w:t xml:space="preserve"> </w:t>
      </w:r>
      <w:r>
        <w:rPr>
          <w:rtl/>
        </w:rPr>
        <w:t>שינוי</w:t>
      </w:r>
      <w:r>
        <w:rPr>
          <w:rtl/>
          <w:lang w:bidi="ar-SA"/>
        </w:rPr>
        <w:t xml:space="preserve"> </w:t>
      </w:r>
      <w:r>
        <w:rPr>
          <w:b/>
          <w:bCs/>
          <w:u w:val="single"/>
          <w:rtl/>
        </w:rPr>
        <w:t>לרגע</w:t>
      </w:r>
      <w:r>
        <w:rPr>
          <w:rtl/>
          <w:lang w:bidi="ar-SA"/>
        </w:rPr>
        <w:t>,</w:t>
      </w:r>
      <w:r>
        <w:rPr>
          <w:b/>
          <w:bCs/>
          <w:rtl/>
          <w:lang w:bidi="ar-SA"/>
        </w:rPr>
        <w:t xml:space="preserve"> </w:t>
      </w:r>
      <w:r>
        <w:rPr>
          <w:b/>
          <w:bCs/>
          <w:u w:val="single"/>
          <w:rtl/>
        </w:rPr>
        <w:t>ללא</w:t>
      </w:r>
      <w:r>
        <w:rPr>
          <w:b/>
          <w:bCs/>
          <w:rtl/>
          <w:lang w:bidi="ar-SA"/>
        </w:rPr>
        <w:t xml:space="preserve"> </w:t>
      </w:r>
      <w:r>
        <w:rPr>
          <w:rtl/>
        </w:rPr>
        <w:t>כל</w:t>
      </w:r>
      <w:r>
        <w:rPr>
          <w:rtl/>
          <w:lang w:bidi="ar-SA"/>
        </w:rPr>
        <w:t xml:space="preserve"> </w:t>
      </w:r>
      <w:r>
        <w:rPr>
          <w:rtl/>
        </w:rPr>
        <w:t>תוצאות</w:t>
      </w:r>
      <w:r>
        <w:rPr>
          <w:rtl/>
          <w:lang w:bidi="ar-SA"/>
        </w:rPr>
        <w:t xml:space="preserve">]", </w:t>
      </w:r>
      <w:r>
        <w:rPr>
          <w:rtl/>
        </w:rPr>
        <w:t>עכ</w:t>
      </w:r>
      <w:r>
        <w:rPr>
          <w:rtl/>
          <w:lang w:bidi="ar-SA"/>
        </w:rPr>
        <w:t>"</w:t>
      </w:r>
      <w:r>
        <w:rPr>
          <w:rtl/>
        </w:rPr>
        <w:t>ל</w:t>
      </w:r>
      <w:r>
        <w:rPr>
          <w:rtl/>
          <w:lang w:bidi="ar-SA"/>
        </w:rPr>
        <w:t xml:space="preserve">. </w:t>
      </w:r>
      <w:r>
        <w:rPr>
          <w:rtl/>
        </w:rPr>
        <w:t>היינו</w:t>
      </w:r>
      <w:r>
        <w:rPr>
          <w:rtl/>
          <w:lang w:bidi="ar-SA"/>
        </w:rPr>
        <w:t xml:space="preserve">, </w:t>
      </w:r>
      <w:r>
        <w:rPr>
          <w:rtl/>
        </w:rPr>
        <w:t>שיש</w:t>
      </w:r>
      <w:r>
        <w:rPr>
          <w:rtl/>
          <w:lang w:bidi="ar-SA"/>
        </w:rPr>
        <w:t xml:space="preserve"> </w:t>
      </w:r>
      <w:r>
        <w:rPr>
          <w:rtl/>
        </w:rPr>
        <w:t>חיסרון</w:t>
      </w:r>
      <w:r>
        <w:rPr>
          <w:rtl/>
          <w:lang w:bidi="ar-SA"/>
        </w:rPr>
        <w:t xml:space="preserve"> </w:t>
      </w:r>
      <w:r>
        <w:rPr>
          <w:rtl/>
        </w:rPr>
        <w:t>בפעולה</w:t>
      </w:r>
      <w:r>
        <w:rPr>
          <w:rtl/>
          <w:lang w:bidi="ar-SA"/>
        </w:rPr>
        <w:t xml:space="preserve"> </w:t>
      </w:r>
      <w:r>
        <w:rPr>
          <w:rtl/>
        </w:rPr>
        <w:t>נמשכת</w:t>
      </w:r>
      <w:r>
        <w:rPr>
          <w:rtl/>
          <w:lang w:bidi="ar-SA"/>
        </w:rPr>
        <w:t xml:space="preserve">, </w:t>
      </w:r>
      <w:r>
        <w:rPr>
          <w:rtl/>
        </w:rPr>
        <w:t>כנ</w:t>
      </w:r>
      <w:r>
        <w:rPr>
          <w:rtl/>
          <w:lang w:bidi="ar-SA"/>
        </w:rPr>
        <w:t>"</w:t>
      </w:r>
      <w:r>
        <w:rPr>
          <w:rtl/>
        </w:rPr>
        <w:t>ל</w:t>
      </w:r>
      <w:r>
        <w:rPr>
          <w:rtl/>
          <w:lang w:bidi="ar-SA"/>
        </w:rPr>
        <w:t xml:space="preserve">.  </w:t>
      </w:r>
      <w:r>
        <w:rPr>
          <w:rtl/>
        </w:rPr>
        <w:t>וביותר</w:t>
      </w:r>
      <w:r>
        <w:rPr>
          <w:rtl/>
          <w:lang w:bidi="ar-SA"/>
        </w:rPr>
        <w:t xml:space="preserve"> </w:t>
      </w:r>
      <w:r>
        <w:rPr>
          <w:rtl/>
        </w:rPr>
        <w:t>נראה</w:t>
      </w:r>
      <w:r>
        <w:rPr>
          <w:rtl/>
          <w:lang w:bidi="ar-SA"/>
        </w:rPr>
        <w:t xml:space="preserve"> </w:t>
      </w:r>
      <w:r>
        <w:rPr>
          <w:rtl/>
        </w:rPr>
        <w:t>מהגהות</w:t>
      </w:r>
      <w:r>
        <w:rPr>
          <w:rtl/>
          <w:lang w:bidi="ar-SA"/>
        </w:rPr>
        <w:t xml:space="preserve"> </w:t>
      </w:r>
      <w:r>
        <w:rPr>
          <w:rtl/>
        </w:rPr>
        <w:t>רבינו</w:t>
      </w:r>
      <w:r>
        <w:rPr>
          <w:rtl/>
          <w:lang w:bidi="ar-SA"/>
        </w:rPr>
        <w:t xml:space="preserve"> </w:t>
      </w:r>
      <w:r>
        <w:rPr>
          <w:rtl/>
        </w:rPr>
        <w:t>על</w:t>
      </w:r>
      <w:r>
        <w:rPr>
          <w:rtl/>
          <w:lang w:bidi="ar-SA"/>
        </w:rPr>
        <w:t xml:space="preserve"> </w:t>
      </w:r>
      <w:r>
        <w:rPr>
          <w:rtl/>
        </w:rPr>
        <w:t>שאלת</w:t>
      </w:r>
      <w:r>
        <w:rPr>
          <w:rtl/>
          <w:lang w:bidi="ar-SA"/>
        </w:rPr>
        <w:t xml:space="preserve"> </w:t>
      </w:r>
      <w:r>
        <w:rPr>
          <w:rtl/>
        </w:rPr>
        <w:t>המניחים</w:t>
      </w:r>
      <w:r>
        <w:rPr>
          <w:rtl/>
          <w:lang w:bidi="ar-SA"/>
        </w:rPr>
        <w:t xml:space="preserve"> (</w:t>
      </w:r>
      <w:r>
        <w:rPr>
          <w:rtl/>
        </w:rPr>
        <w:t>שלא</w:t>
      </w:r>
      <w:r>
        <w:rPr>
          <w:rtl/>
          <w:lang w:bidi="ar-SA"/>
        </w:rPr>
        <w:t xml:space="preserve"> </w:t>
      </w:r>
      <w:r>
        <w:rPr>
          <w:rtl/>
        </w:rPr>
        <w:t>הובא</w:t>
      </w:r>
      <w:r>
        <w:rPr>
          <w:rtl/>
          <w:lang w:bidi="ar-SA"/>
        </w:rPr>
        <w:t xml:space="preserve"> </w:t>
      </w:r>
      <w:r>
        <w:rPr>
          <w:rtl/>
        </w:rPr>
        <w:t>בתו</w:t>
      </w:r>
      <w:r>
        <w:rPr>
          <w:rtl/>
          <w:lang w:bidi="ar-SA"/>
        </w:rPr>
        <w:t>"</w:t>
      </w:r>
      <w:r>
        <w:rPr>
          <w:rtl/>
        </w:rPr>
        <w:t>מ</w:t>
      </w:r>
      <w:r>
        <w:rPr>
          <w:rtl/>
          <w:lang w:bidi="ar-SA"/>
        </w:rPr>
        <w:t xml:space="preserve"> </w:t>
      </w:r>
      <w:r>
        <w:rPr>
          <w:rtl/>
        </w:rPr>
        <w:t>הנ</w:t>
      </w:r>
      <w:r>
        <w:rPr>
          <w:rtl/>
          <w:lang w:bidi="ar-SA"/>
        </w:rPr>
        <w:t>"</w:t>
      </w:r>
      <w:r>
        <w:rPr>
          <w:rtl/>
        </w:rPr>
        <w:t>ל</w:t>
      </w:r>
      <w:r>
        <w:rPr>
          <w:rtl/>
          <w:lang w:bidi="ar-SA"/>
        </w:rPr>
        <w:t xml:space="preserve">, </w:t>
      </w:r>
      <w:r>
        <w:rPr>
          <w:rtl/>
        </w:rPr>
        <w:t>והצילום</w:t>
      </w:r>
      <w:r>
        <w:rPr>
          <w:rtl/>
          <w:lang w:bidi="ar-SA"/>
        </w:rPr>
        <w:t xml:space="preserve"> </w:t>
      </w:r>
      <w:r>
        <w:rPr>
          <w:rtl/>
        </w:rPr>
        <w:t>ממנו</w:t>
      </w:r>
      <w:r>
        <w:rPr>
          <w:rtl/>
          <w:lang w:bidi="ar-SA"/>
        </w:rPr>
        <w:t xml:space="preserve"> </w:t>
      </w:r>
      <w:r>
        <w:rPr>
          <w:rtl/>
        </w:rPr>
        <w:t>בהערות</w:t>
      </w:r>
      <w:r>
        <w:rPr>
          <w:rtl/>
          <w:lang w:bidi="ar-SA"/>
        </w:rPr>
        <w:t xml:space="preserve"> </w:t>
      </w:r>
      <w:r>
        <w:rPr>
          <w:rtl/>
        </w:rPr>
        <w:t>התמימים</w:t>
      </w:r>
      <w:r>
        <w:rPr>
          <w:rtl/>
          <w:lang w:bidi="ar-SA"/>
        </w:rPr>
        <w:t xml:space="preserve"> </w:t>
      </w:r>
      <w:r>
        <w:rPr>
          <w:rtl/>
        </w:rPr>
        <w:t>ואנ</w:t>
      </w:r>
      <w:r>
        <w:rPr>
          <w:rtl/>
          <w:lang w:bidi="ar-SA"/>
        </w:rPr>
        <w:t>"</w:t>
      </w:r>
      <w:r>
        <w:rPr>
          <w:rtl/>
        </w:rPr>
        <w:t>ש</w:t>
      </w:r>
      <w:r>
        <w:rPr>
          <w:rtl/>
          <w:lang w:bidi="ar-SA"/>
        </w:rPr>
        <w:t xml:space="preserve"> </w:t>
      </w:r>
      <w:r>
        <w:rPr>
          <w:rtl/>
        </w:rPr>
        <w:t>דמיאמי</w:t>
      </w:r>
      <w:r>
        <w:rPr>
          <w:rtl/>
          <w:lang w:bidi="ar-SA"/>
        </w:rPr>
        <w:t xml:space="preserve"> </w:t>
      </w:r>
      <w:r>
        <w:rPr>
          <w:rtl/>
        </w:rPr>
        <w:t>תשנ</w:t>
      </w:r>
      <w:r>
        <w:rPr>
          <w:rtl/>
          <w:lang w:bidi="ar-SA"/>
        </w:rPr>
        <w:t>"</w:t>
      </w:r>
      <w:r>
        <w:rPr>
          <w:rtl/>
        </w:rPr>
        <w:t>ו</w:t>
      </w:r>
      <w:r>
        <w:rPr>
          <w:rtl/>
          <w:lang w:bidi="ar-SA"/>
        </w:rPr>
        <w:t xml:space="preserve">, </w:t>
      </w:r>
      <w:r>
        <w:rPr>
          <w:rtl/>
        </w:rPr>
        <w:t>גליון</w:t>
      </w:r>
      <w:r>
        <w:rPr>
          <w:rtl/>
          <w:lang w:bidi="ar-SA"/>
        </w:rPr>
        <w:t xml:space="preserve"> </w:t>
      </w:r>
      <w:r>
        <w:rPr>
          <w:rtl/>
        </w:rPr>
        <w:t>א</w:t>
      </w:r>
      <w:r>
        <w:rPr>
          <w:rtl/>
          <w:lang w:bidi="ar-SA"/>
        </w:rPr>
        <w:t>' (</w:t>
      </w:r>
      <w:r>
        <w:rPr>
          <w:rtl/>
        </w:rPr>
        <w:t>ובאתר</w:t>
      </w:r>
      <w:r>
        <w:rPr>
          <w:rtl/>
          <w:lang w:bidi="ar-SA"/>
        </w:rPr>
        <w:t xml:space="preserve"> </w:t>
      </w:r>
      <w:r>
        <w:rPr>
          <w:lang w:bidi="ar-SA"/>
        </w:rPr>
        <w:t>hagaos.com</w:t>
      </w:r>
      <w:r>
        <w:rPr>
          <w:rtl/>
          <w:lang w:bidi="ar-SA"/>
        </w:rPr>
        <w:t xml:space="preserve"> </w:t>
      </w:r>
      <w:r>
        <w:rPr>
          <w:rtl/>
        </w:rPr>
        <w:t>במקומו</w:t>
      </w:r>
      <w:r>
        <w:rPr>
          <w:rtl/>
          <w:lang w:bidi="ar-SA"/>
        </w:rPr>
        <w:t xml:space="preserve">)) </w:t>
      </w:r>
      <w:r>
        <w:rPr>
          <w:rtl/>
        </w:rPr>
        <w:t>וז</w:t>
      </w:r>
      <w:r>
        <w:rPr>
          <w:rtl/>
          <w:lang w:bidi="ar-SA"/>
        </w:rPr>
        <w:t>"</w:t>
      </w:r>
      <w:r>
        <w:rPr>
          <w:rtl/>
        </w:rPr>
        <w:t>ל</w:t>
      </w:r>
      <w:r>
        <w:rPr>
          <w:rtl/>
          <w:lang w:bidi="ar-SA"/>
        </w:rPr>
        <w:t xml:space="preserve"> </w:t>
      </w:r>
      <w:r>
        <w:rPr>
          <w:rtl/>
        </w:rPr>
        <w:t>שם</w:t>
      </w:r>
      <w:r>
        <w:rPr>
          <w:rtl/>
          <w:lang w:bidi="ar-SA"/>
        </w:rPr>
        <w:t xml:space="preserve"> (</w:t>
      </w:r>
      <w:r>
        <w:rPr>
          <w:rtl/>
        </w:rPr>
        <w:t>המודגש</w:t>
      </w:r>
      <w:r>
        <w:rPr>
          <w:rtl/>
          <w:lang w:bidi="ar-SA"/>
        </w:rPr>
        <w:t xml:space="preserve"> </w:t>
      </w:r>
      <w:r>
        <w:rPr>
          <w:rtl/>
        </w:rPr>
        <w:t>הוא</w:t>
      </w:r>
      <w:r>
        <w:rPr>
          <w:rtl/>
          <w:lang w:bidi="ar-SA"/>
        </w:rPr>
        <w:t xml:space="preserve"> </w:t>
      </w:r>
      <w:r>
        <w:rPr>
          <w:rtl/>
        </w:rPr>
        <w:t>הוספת</w:t>
      </w:r>
      <w:r>
        <w:rPr>
          <w:rtl/>
          <w:lang w:bidi="ar-SA"/>
        </w:rPr>
        <w:t xml:space="preserve"> </w:t>
      </w:r>
      <w:r>
        <w:rPr>
          <w:rtl/>
        </w:rPr>
        <w:t>רבינו</w:t>
      </w:r>
      <w:r>
        <w:rPr>
          <w:rtl/>
          <w:lang w:bidi="ar-SA"/>
        </w:rPr>
        <w:t xml:space="preserve"> </w:t>
      </w:r>
      <w:r>
        <w:rPr>
          <w:rtl/>
        </w:rPr>
        <w:t>על</w:t>
      </w:r>
      <w:r>
        <w:rPr>
          <w:rtl/>
          <w:lang w:bidi="ar-SA"/>
        </w:rPr>
        <w:t xml:space="preserve"> </w:t>
      </w:r>
      <w:r>
        <w:rPr>
          <w:rtl/>
        </w:rPr>
        <w:t>לשון</w:t>
      </w:r>
      <w:r>
        <w:rPr>
          <w:rtl/>
          <w:lang w:bidi="ar-SA"/>
        </w:rPr>
        <w:t xml:space="preserve"> </w:t>
      </w:r>
      <w:r>
        <w:rPr>
          <w:rtl/>
        </w:rPr>
        <w:t>השאלה</w:t>
      </w:r>
      <w:r>
        <w:rPr>
          <w:rtl/>
          <w:lang w:bidi="ar-SA"/>
        </w:rPr>
        <w:t>) "</w:t>
      </w:r>
      <w:r>
        <w:rPr>
          <w:rtl/>
        </w:rPr>
        <w:t>ולפי</w:t>
      </w:r>
      <w:r>
        <w:rPr>
          <w:rtl/>
          <w:lang w:bidi="ar-SA"/>
        </w:rPr>
        <w:t>"</w:t>
      </w:r>
      <w:r>
        <w:rPr>
          <w:rtl/>
        </w:rPr>
        <w:t>ז</w:t>
      </w:r>
      <w:r>
        <w:rPr>
          <w:rtl/>
          <w:lang w:bidi="ar-SA"/>
        </w:rPr>
        <w:t xml:space="preserve"> </w:t>
      </w:r>
      <w:r>
        <w:rPr>
          <w:rtl/>
        </w:rPr>
        <w:t>נמצא</w:t>
      </w:r>
      <w:r>
        <w:rPr>
          <w:rtl/>
          <w:lang w:bidi="ar-SA"/>
        </w:rPr>
        <w:t xml:space="preserve"> </w:t>
      </w:r>
      <w:r>
        <w:rPr>
          <w:rtl/>
        </w:rPr>
        <w:t>לכאורה</w:t>
      </w:r>
      <w:r>
        <w:rPr>
          <w:rtl/>
          <w:lang w:bidi="ar-SA"/>
        </w:rPr>
        <w:t xml:space="preserve">, </w:t>
      </w:r>
      <w:r>
        <w:rPr>
          <w:rtl/>
        </w:rPr>
        <w:t>שענין</w:t>
      </w:r>
      <w:r>
        <w:rPr>
          <w:rtl/>
          <w:lang w:bidi="ar-SA"/>
        </w:rPr>
        <w:t xml:space="preserve"> </w:t>
      </w:r>
      <w:r>
        <w:rPr>
          <w:rtl/>
        </w:rPr>
        <w:t>פעולה</w:t>
      </w:r>
      <w:r>
        <w:rPr>
          <w:rtl/>
          <w:lang w:bidi="ar-SA"/>
        </w:rPr>
        <w:t xml:space="preserve"> </w:t>
      </w:r>
      <w:r>
        <w:rPr>
          <w:rtl/>
        </w:rPr>
        <w:t>נמשכת</w:t>
      </w:r>
      <w:r>
        <w:rPr>
          <w:rtl/>
          <w:lang w:bidi="ar-SA"/>
        </w:rPr>
        <w:t xml:space="preserve"> </w:t>
      </w:r>
      <w:r>
        <w:rPr>
          <w:rtl/>
        </w:rPr>
        <w:t>שייכת</w:t>
      </w:r>
      <w:r>
        <w:rPr>
          <w:rtl/>
          <w:lang w:bidi="ar-SA"/>
        </w:rPr>
        <w:t xml:space="preserve"> </w:t>
      </w:r>
      <w:r>
        <w:rPr>
          <w:rtl/>
        </w:rPr>
        <w:t>רק</w:t>
      </w:r>
      <w:r>
        <w:rPr>
          <w:rtl/>
          <w:lang w:bidi="ar-SA"/>
        </w:rPr>
        <w:t xml:space="preserve"> </w:t>
      </w:r>
      <w:r>
        <w:rPr>
          <w:rtl/>
        </w:rPr>
        <w:t>מפעולה</w:t>
      </w:r>
      <w:r>
        <w:rPr>
          <w:rtl/>
          <w:lang w:bidi="ar-SA"/>
        </w:rPr>
        <w:t xml:space="preserve"> </w:t>
      </w:r>
      <w:r>
        <w:rPr>
          <w:rtl/>
        </w:rPr>
        <w:t>כזו</w:t>
      </w:r>
      <w:r>
        <w:rPr>
          <w:rtl/>
          <w:lang w:bidi="ar-SA"/>
        </w:rPr>
        <w:t xml:space="preserve"> </w:t>
      </w:r>
      <w:r>
        <w:rPr>
          <w:rtl/>
        </w:rPr>
        <w:t>שהיא</w:t>
      </w:r>
      <w:r>
        <w:rPr>
          <w:rtl/>
          <w:lang w:bidi="ar-SA"/>
        </w:rPr>
        <w:t xml:space="preserve"> </w:t>
      </w:r>
      <w:r>
        <w:rPr>
          <w:rtl/>
        </w:rPr>
        <w:t>היפך</w:t>
      </w:r>
      <w:r>
        <w:rPr>
          <w:rtl/>
          <w:lang w:bidi="ar-SA"/>
        </w:rPr>
        <w:t xml:space="preserve"> </w:t>
      </w:r>
      <w:r>
        <w:rPr>
          <w:rtl/>
        </w:rPr>
        <w:t>הטבע</w:t>
      </w:r>
      <w:r>
        <w:rPr>
          <w:rtl/>
          <w:lang w:bidi="ar-SA"/>
        </w:rPr>
        <w:t xml:space="preserve"> </w:t>
      </w:r>
      <w:r>
        <w:rPr>
          <w:b/>
          <w:bCs/>
          <w:u w:val="single"/>
          <w:rtl/>
        </w:rPr>
        <w:t>או</w:t>
      </w:r>
      <w:r>
        <w:rPr>
          <w:b/>
          <w:bCs/>
          <w:u w:val="single"/>
          <w:rtl/>
          <w:lang w:bidi="ar-SA"/>
        </w:rPr>
        <w:t xml:space="preserve"> </w:t>
      </w:r>
      <w:r>
        <w:rPr>
          <w:b/>
          <w:bCs/>
          <w:u w:val="single"/>
          <w:rtl/>
        </w:rPr>
        <w:t>שהפעולה</w:t>
      </w:r>
      <w:r>
        <w:rPr>
          <w:b/>
          <w:bCs/>
          <w:u w:val="single"/>
          <w:rtl/>
          <w:lang w:bidi="ar-SA"/>
        </w:rPr>
        <w:t xml:space="preserve"> </w:t>
      </w:r>
      <w:r>
        <w:rPr>
          <w:b/>
          <w:bCs/>
          <w:u w:val="single"/>
          <w:rtl/>
        </w:rPr>
        <w:t>חלשה</w:t>
      </w:r>
      <w:r>
        <w:rPr>
          <w:b/>
          <w:bCs/>
          <w:u w:val="single"/>
          <w:rtl/>
          <w:lang w:bidi="ar-SA"/>
        </w:rPr>
        <w:t xml:space="preserve"> </w:t>
      </w:r>
      <w:r>
        <w:rPr>
          <w:b/>
          <w:bCs/>
          <w:u w:val="single"/>
          <w:rtl/>
        </w:rPr>
        <w:t>ורק</w:t>
      </w:r>
      <w:r>
        <w:rPr>
          <w:b/>
          <w:bCs/>
          <w:u w:val="single"/>
          <w:rtl/>
          <w:lang w:bidi="ar-SA"/>
        </w:rPr>
        <w:t xml:space="preserve"> </w:t>
      </w:r>
      <w:r>
        <w:rPr>
          <w:b/>
          <w:bCs/>
          <w:u w:val="single"/>
          <w:rtl/>
        </w:rPr>
        <w:t>לרגע</w:t>
      </w:r>
      <w:r>
        <w:rPr>
          <w:b/>
          <w:bCs/>
          <w:u w:val="single"/>
          <w:rtl/>
          <w:lang w:bidi="ar-SA"/>
        </w:rPr>
        <w:t xml:space="preserve"> </w:t>
      </w:r>
      <w:r>
        <w:rPr>
          <w:b/>
          <w:bCs/>
          <w:u w:val="single"/>
          <w:rtl/>
        </w:rPr>
        <w:t>ובלי</w:t>
      </w:r>
      <w:r>
        <w:rPr>
          <w:b/>
          <w:bCs/>
          <w:u w:val="single"/>
          <w:rtl/>
          <w:lang w:bidi="ar-SA"/>
        </w:rPr>
        <w:t xml:space="preserve"> </w:t>
      </w:r>
      <w:r>
        <w:rPr>
          <w:b/>
          <w:bCs/>
          <w:u w:val="single"/>
          <w:rtl/>
        </w:rPr>
        <w:t>תוצאות</w:t>
      </w:r>
      <w:r>
        <w:rPr>
          <w:b/>
          <w:bCs/>
          <w:u w:val="single"/>
          <w:rtl/>
          <w:lang w:bidi="ar-SA"/>
        </w:rPr>
        <w:t xml:space="preserve"> </w:t>
      </w:r>
      <w:r>
        <w:rPr>
          <w:rtl/>
        </w:rPr>
        <w:t>שאז</w:t>
      </w:r>
      <w:r>
        <w:rPr>
          <w:rtl/>
          <w:lang w:bidi="ar-SA"/>
        </w:rPr>
        <w:t xml:space="preserve"> </w:t>
      </w:r>
      <w:r>
        <w:rPr>
          <w:rtl/>
        </w:rPr>
        <w:lastRenderedPageBreak/>
        <w:t>צריכה</w:t>
      </w:r>
      <w:r>
        <w:rPr>
          <w:rtl/>
          <w:lang w:bidi="ar-SA"/>
        </w:rPr>
        <w:t xml:space="preserve"> </w:t>
      </w:r>
      <w:r>
        <w:rPr>
          <w:rtl/>
        </w:rPr>
        <w:t>תמיד</w:t>
      </w:r>
      <w:r>
        <w:rPr>
          <w:rtl/>
          <w:lang w:bidi="ar-SA"/>
        </w:rPr>
        <w:t xml:space="preserve"> </w:t>
      </w:r>
      <w:r>
        <w:rPr>
          <w:rtl/>
        </w:rPr>
        <w:t>לכח</w:t>
      </w:r>
      <w:r>
        <w:rPr>
          <w:rtl/>
          <w:lang w:bidi="ar-SA"/>
        </w:rPr>
        <w:t xml:space="preserve"> </w:t>
      </w:r>
      <w:r>
        <w:rPr>
          <w:rtl/>
        </w:rPr>
        <w:t>הפעולה</w:t>
      </w:r>
      <w:r>
        <w:rPr>
          <w:rtl/>
          <w:lang w:bidi="ar-SA"/>
        </w:rPr>
        <w:t xml:space="preserve">." </w:t>
      </w:r>
      <w:r>
        <w:rPr>
          <w:rtl/>
        </w:rPr>
        <w:t>ולא</w:t>
      </w:r>
      <w:r>
        <w:rPr>
          <w:rtl/>
          <w:lang w:bidi="ar-SA"/>
        </w:rPr>
        <w:t xml:space="preserve"> </w:t>
      </w:r>
      <w:r>
        <w:rPr>
          <w:rtl/>
        </w:rPr>
        <w:t>באתי</w:t>
      </w:r>
      <w:r>
        <w:rPr>
          <w:rtl/>
          <w:lang w:bidi="ar-SA"/>
        </w:rPr>
        <w:t xml:space="preserve"> </w:t>
      </w:r>
      <w:r>
        <w:rPr>
          <w:rtl/>
        </w:rPr>
        <w:t>אלא</w:t>
      </w:r>
      <w:r>
        <w:rPr>
          <w:rtl/>
          <w:lang w:bidi="ar-SA"/>
        </w:rPr>
        <w:t xml:space="preserve"> </w:t>
      </w:r>
      <w:r>
        <w:rPr>
          <w:rtl/>
        </w:rPr>
        <w:t>להעיר</w:t>
      </w:r>
      <w:r>
        <w:rPr>
          <w:rtl/>
          <w:lang w:bidi="ar-SA"/>
        </w:rPr>
        <w:t>.</w:t>
      </w:r>
    </w:p>
    <w:p w:rsidR="00970EBE" w:rsidRDefault="00970EBE" w:rsidP="009F0D7D">
      <w:pPr>
        <w:pStyle w:val="a3"/>
        <w:jc w:val="center"/>
      </w:pPr>
      <w:r>
        <w:t>* * *</w:t>
      </w:r>
    </w:p>
    <w:p w:rsidR="00970EBE" w:rsidRDefault="00970EBE" w:rsidP="00F146A6">
      <w:pPr>
        <w:pStyle w:val="11"/>
        <w:bidi/>
        <w:rPr>
          <w:lang w:bidi="ar-SA"/>
        </w:rPr>
      </w:pPr>
      <w:r>
        <w:rPr>
          <w:rtl/>
        </w:rPr>
        <w:t>כמה</w:t>
      </w:r>
      <w:r>
        <w:rPr>
          <w:rtl/>
          <w:lang w:bidi="ar-SA"/>
        </w:rPr>
        <w:t xml:space="preserve"> </w:t>
      </w:r>
      <w:r>
        <w:rPr>
          <w:rtl/>
        </w:rPr>
        <w:t>תיקונים</w:t>
      </w:r>
      <w:r>
        <w:rPr>
          <w:rtl/>
          <w:lang w:bidi="ar-SA"/>
        </w:rPr>
        <w:t xml:space="preserve"> (</w:t>
      </w:r>
      <w:r>
        <w:rPr>
          <w:rtl/>
        </w:rPr>
        <w:t>בדרך</w:t>
      </w:r>
      <w:r>
        <w:rPr>
          <w:rtl/>
          <w:lang w:bidi="ar-SA"/>
        </w:rPr>
        <w:t xml:space="preserve"> </w:t>
      </w:r>
      <w:r>
        <w:rPr>
          <w:rtl/>
        </w:rPr>
        <w:t>אפשר</w:t>
      </w:r>
      <w:r>
        <w:rPr>
          <w:rtl/>
          <w:lang w:bidi="ar-SA"/>
        </w:rPr>
        <w:t xml:space="preserve">) </w:t>
      </w:r>
      <w:r>
        <w:rPr>
          <w:rtl/>
        </w:rPr>
        <w:t>בלקוטי</w:t>
      </w:r>
      <w:r>
        <w:rPr>
          <w:rtl/>
          <w:lang w:bidi="ar-SA"/>
        </w:rPr>
        <w:t xml:space="preserve"> </w:t>
      </w:r>
      <w:r>
        <w:rPr>
          <w:rtl/>
        </w:rPr>
        <w:t>שיחות</w:t>
      </w:r>
      <w:r>
        <w:rPr>
          <w:rtl/>
          <w:lang w:bidi="ar-SA"/>
        </w:rPr>
        <w:t xml:space="preserve"> </w:t>
      </w:r>
      <w:r>
        <w:rPr>
          <w:rtl/>
        </w:rPr>
        <w:t>ובלקו</w:t>
      </w:r>
      <w:r>
        <w:rPr>
          <w:rtl/>
          <w:lang w:bidi="ar-SA"/>
        </w:rPr>
        <w:t>"</w:t>
      </w:r>
      <w:r>
        <w:rPr>
          <w:rtl/>
        </w:rPr>
        <w:t>ש</w:t>
      </w:r>
      <w:r>
        <w:rPr>
          <w:rtl/>
          <w:lang w:bidi="ar-SA"/>
        </w:rPr>
        <w:t xml:space="preserve"> </w:t>
      </w:r>
      <w:r>
        <w:rPr>
          <w:rtl/>
        </w:rPr>
        <w:t>מתורגם</w:t>
      </w:r>
      <w:r>
        <w:rPr>
          <w:rtl/>
          <w:lang w:bidi="ar-SA"/>
        </w:rPr>
        <w:t xml:space="preserve"> </w:t>
      </w:r>
      <w:r>
        <w:rPr>
          <w:rtl/>
        </w:rPr>
        <w:t>חט</w:t>
      </w:r>
      <w:r>
        <w:rPr>
          <w:rtl/>
          <w:lang w:bidi="ar-SA"/>
        </w:rPr>
        <w:t>"</w:t>
      </w:r>
      <w:r>
        <w:rPr>
          <w:rtl/>
        </w:rPr>
        <w:t>ז</w:t>
      </w:r>
      <w:r>
        <w:rPr>
          <w:rtl/>
          <w:lang w:bidi="ar-SA"/>
        </w:rPr>
        <w:t xml:space="preserve"> </w:t>
      </w:r>
      <w:r>
        <w:rPr>
          <w:rtl/>
        </w:rPr>
        <w:t>פרשת</w:t>
      </w:r>
      <w:r>
        <w:rPr>
          <w:rtl/>
          <w:lang w:bidi="ar-SA"/>
        </w:rPr>
        <w:t xml:space="preserve"> </w:t>
      </w:r>
      <w:r>
        <w:rPr>
          <w:rtl/>
        </w:rPr>
        <w:t>פרה</w:t>
      </w:r>
      <w:r>
        <w:rPr>
          <w:rtl/>
          <w:lang w:bidi="ar-SA"/>
        </w:rPr>
        <w:t xml:space="preserve"> (</w:t>
      </w:r>
      <w:r>
        <w:rPr>
          <w:rtl/>
        </w:rPr>
        <w:t>בדרך</w:t>
      </w:r>
      <w:r>
        <w:rPr>
          <w:rtl/>
          <w:lang w:bidi="ar-SA"/>
        </w:rPr>
        <w:t xml:space="preserve"> </w:t>
      </w:r>
      <w:r>
        <w:rPr>
          <w:rtl/>
        </w:rPr>
        <w:t>אפשר</w:t>
      </w:r>
      <w:r>
        <w:rPr>
          <w:rtl/>
          <w:lang w:bidi="ar-SA"/>
        </w:rPr>
        <w:t>)</w:t>
      </w:r>
    </w:p>
    <w:p w:rsidR="00970EBE" w:rsidRDefault="00970EBE" w:rsidP="00F146A6">
      <w:pPr>
        <w:pStyle w:val="a3"/>
        <w:rPr>
          <w:lang w:bidi="ar-SA"/>
        </w:rPr>
      </w:pPr>
      <w:r>
        <w:rPr>
          <w:rtl/>
        </w:rPr>
        <w:t>א</w:t>
      </w:r>
      <w:r>
        <w:rPr>
          <w:rtl/>
          <w:lang w:bidi="ar-SA"/>
        </w:rPr>
        <w:t xml:space="preserve">. </w:t>
      </w:r>
      <w:r>
        <w:rPr>
          <w:rtl/>
        </w:rPr>
        <w:t>ראה</w:t>
      </w:r>
      <w:r>
        <w:rPr>
          <w:rtl/>
          <w:lang w:bidi="ar-SA"/>
        </w:rPr>
        <w:t xml:space="preserve"> </w:t>
      </w:r>
      <w:r>
        <w:rPr>
          <w:rtl/>
        </w:rPr>
        <w:t>בלקו</w:t>
      </w:r>
      <w:r>
        <w:rPr>
          <w:rtl/>
          <w:lang w:bidi="ar-SA"/>
        </w:rPr>
        <w:t>"</w:t>
      </w:r>
      <w:r>
        <w:rPr>
          <w:rtl/>
        </w:rPr>
        <w:t>ש</w:t>
      </w:r>
      <w:r>
        <w:rPr>
          <w:rtl/>
          <w:lang w:bidi="ar-SA"/>
        </w:rPr>
        <w:t xml:space="preserve"> </w:t>
      </w:r>
      <w:r>
        <w:rPr>
          <w:rtl/>
        </w:rPr>
        <w:t>חט</w:t>
      </w:r>
      <w:r>
        <w:rPr>
          <w:rtl/>
          <w:lang w:bidi="ar-SA"/>
        </w:rPr>
        <w:t>"</w:t>
      </w:r>
      <w:r>
        <w:rPr>
          <w:rtl/>
        </w:rPr>
        <w:t>ז</w:t>
      </w:r>
      <w:r>
        <w:rPr>
          <w:rtl/>
          <w:lang w:bidi="ar-SA"/>
        </w:rPr>
        <w:t xml:space="preserve">, </w:t>
      </w:r>
      <w:r>
        <w:rPr>
          <w:rtl/>
        </w:rPr>
        <w:t>פ</w:t>
      </w:r>
      <w:r>
        <w:rPr>
          <w:rtl/>
          <w:lang w:bidi="ar-SA"/>
        </w:rPr>
        <w:t xml:space="preserve">' </w:t>
      </w:r>
      <w:r>
        <w:rPr>
          <w:rtl/>
        </w:rPr>
        <w:t>פרה</w:t>
      </w:r>
      <w:r>
        <w:rPr>
          <w:rtl/>
          <w:lang w:bidi="ar-SA"/>
        </w:rPr>
        <w:t xml:space="preserve">, </w:t>
      </w:r>
      <w:r>
        <w:rPr>
          <w:rtl/>
        </w:rPr>
        <w:t>אות</w:t>
      </w:r>
      <w:r>
        <w:rPr>
          <w:rtl/>
          <w:lang w:bidi="ar-SA"/>
        </w:rPr>
        <w:t xml:space="preserve"> </w:t>
      </w:r>
      <w:r>
        <w:rPr>
          <w:rtl/>
        </w:rPr>
        <w:t>ג</w:t>
      </w:r>
      <w:r>
        <w:rPr>
          <w:rtl/>
          <w:lang w:bidi="ar-SA"/>
        </w:rPr>
        <w:t xml:space="preserve">', </w:t>
      </w:r>
      <w:r>
        <w:rPr>
          <w:rtl/>
        </w:rPr>
        <w:t>בפיסקא</w:t>
      </w:r>
      <w:r>
        <w:rPr>
          <w:rtl/>
          <w:lang w:bidi="ar-SA"/>
        </w:rPr>
        <w:t xml:space="preserve"> </w:t>
      </w:r>
      <w:r>
        <w:rPr>
          <w:rtl/>
        </w:rPr>
        <w:t>המתחלת</w:t>
      </w:r>
      <w:r>
        <w:rPr>
          <w:rtl/>
          <w:lang w:bidi="ar-SA"/>
        </w:rPr>
        <w:t xml:space="preserve"> "</w:t>
      </w:r>
      <w:r>
        <w:rPr>
          <w:rtl/>
        </w:rPr>
        <w:t>וואס</w:t>
      </w:r>
      <w:r>
        <w:rPr>
          <w:rtl/>
          <w:lang w:bidi="ar-SA"/>
        </w:rPr>
        <w:t xml:space="preserve"> </w:t>
      </w:r>
      <w:r>
        <w:rPr>
          <w:rtl/>
        </w:rPr>
        <w:t>לפ</w:t>
      </w:r>
      <w:r>
        <w:rPr>
          <w:rtl/>
          <w:lang w:bidi="ar-SA"/>
        </w:rPr>
        <w:t>"</w:t>
      </w:r>
      <w:r>
        <w:rPr>
          <w:rtl/>
        </w:rPr>
        <w:t>ז</w:t>
      </w:r>
      <w:r>
        <w:rPr>
          <w:rtl/>
          <w:lang w:bidi="ar-SA"/>
        </w:rPr>
        <w:t xml:space="preserve"> </w:t>
      </w:r>
      <w:r>
        <w:rPr>
          <w:rtl/>
        </w:rPr>
        <w:t>קומט</w:t>
      </w:r>
      <w:r>
        <w:rPr>
          <w:rtl/>
          <w:lang w:bidi="ar-SA"/>
        </w:rPr>
        <w:t xml:space="preserve"> </w:t>
      </w:r>
      <w:r>
        <w:rPr>
          <w:rtl/>
        </w:rPr>
        <w:t>אויס</w:t>
      </w:r>
      <w:r>
        <w:rPr>
          <w:rtl/>
          <w:lang w:bidi="ar-SA"/>
        </w:rPr>
        <w:t xml:space="preserve">", </w:t>
      </w:r>
      <w:r>
        <w:rPr>
          <w:rtl/>
        </w:rPr>
        <w:t>דנראה</w:t>
      </w:r>
      <w:r>
        <w:rPr>
          <w:rtl/>
          <w:lang w:bidi="ar-SA"/>
        </w:rPr>
        <w:t xml:space="preserve"> </w:t>
      </w:r>
      <w:r>
        <w:rPr>
          <w:rtl/>
        </w:rPr>
        <w:t>דחסר</w:t>
      </w:r>
      <w:r>
        <w:rPr>
          <w:rtl/>
          <w:lang w:bidi="ar-SA"/>
        </w:rPr>
        <w:t xml:space="preserve"> </w:t>
      </w:r>
      <w:r>
        <w:rPr>
          <w:rtl/>
        </w:rPr>
        <w:t>שם</w:t>
      </w:r>
      <w:r>
        <w:rPr>
          <w:rtl/>
          <w:lang w:bidi="ar-SA"/>
        </w:rPr>
        <w:t xml:space="preserve"> </w:t>
      </w:r>
      <w:r>
        <w:rPr>
          <w:rtl/>
        </w:rPr>
        <w:t>כמה</w:t>
      </w:r>
      <w:r>
        <w:rPr>
          <w:rtl/>
          <w:lang w:bidi="ar-SA"/>
        </w:rPr>
        <w:t xml:space="preserve"> </w:t>
      </w:r>
      <w:r>
        <w:rPr>
          <w:rtl/>
        </w:rPr>
        <w:t>תיבות</w:t>
      </w:r>
      <w:r>
        <w:rPr>
          <w:rtl/>
          <w:lang w:bidi="ar-SA"/>
        </w:rPr>
        <w:t xml:space="preserve">, </w:t>
      </w:r>
      <w:r>
        <w:rPr>
          <w:rtl/>
        </w:rPr>
        <w:t>ואולי</w:t>
      </w:r>
      <w:r>
        <w:rPr>
          <w:rtl/>
          <w:lang w:bidi="ar-SA"/>
        </w:rPr>
        <w:t xml:space="preserve"> </w:t>
      </w:r>
      <w:r>
        <w:rPr>
          <w:rtl/>
        </w:rPr>
        <w:t>צריך</w:t>
      </w:r>
      <w:r>
        <w:rPr>
          <w:rtl/>
          <w:lang w:bidi="ar-SA"/>
        </w:rPr>
        <w:t xml:space="preserve"> </w:t>
      </w:r>
      <w:r>
        <w:rPr>
          <w:rtl/>
        </w:rPr>
        <w:t>להיות</w:t>
      </w:r>
      <w:r>
        <w:rPr>
          <w:rtl/>
          <w:lang w:bidi="ar-SA"/>
        </w:rPr>
        <w:t xml:space="preserve"> </w:t>
      </w:r>
      <w:r>
        <w:rPr>
          <w:rtl/>
        </w:rPr>
        <w:t>כעין</w:t>
      </w:r>
      <w:r>
        <w:rPr>
          <w:rtl/>
          <w:lang w:bidi="ar-SA"/>
        </w:rPr>
        <w:t xml:space="preserve"> </w:t>
      </w:r>
      <w:r>
        <w:rPr>
          <w:rtl/>
        </w:rPr>
        <w:t>התיבות</w:t>
      </w:r>
      <w:r>
        <w:rPr>
          <w:rtl/>
          <w:lang w:bidi="ar-SA"/>
        </w:rPr>
        <w:t xml:space="preserve"> </w:t>
      </w:r>
      <w:r>
        <w:rPr>
          <w:rtl/>
        </w:rPr>
        <w:t>המודגשות</w:t>
      </w:r>
      <w:r>
        <w:rPr>
          <w:rtl/>
          <w:lang w:bidi="ar-SA"/>
        </w:rPr>
        <w:t xml:space="preserve"> "</w:t>
      </w:r>
      <w:r>
        <w:rPr>
          <w:rtl/>
        </w:rPr>
        <w:t>דלכאורה</w:t>
      </w:r>
      <w:r>
        <w:rPr>
          <w:rtl/>
          <w:lang w:bidi="ar-SA"/>
        </w:rPr>
        <w:t xml:space="preserve"> </w:t>
      </w:r>
      <w:r>
        <w:rPr>
          <w:b/>
          <w:bCs/>
          <w:rtl/>
        </w:rPr>
        <w:t>עפ</w:t>
      </w:r>
      <w:r>
        <w:rPr>
          <w:b/>
          <w:bCs/>
          <w:rtl/>
          <w:lang w:bidi="ar-SA"/>
        </w:rPr>
        <w:t>"</w:t>
      </w:r>
      <w:r>
        <w:rPr>
          <w:b/>
          <w:bCs/>
          <w:rtl/>
        </w:rPr>
        <w:t>ז</w:t>
      </w:r>
      <w:r>
        <w:rPr>
          <w:b/>
          <w:bCs/>
          <w:rtl/>
          <w:lang w:bidi="ar-SA"/>
        </w:rPr>
        <w:t xml:space="preserve"> </w:t>
      </w:r>
      <w:r>
        <w:rPr>
          <w:b/>
          <w:bCs/>
          <w:rtl/>
        </w:rPr>
        <w:t>איז</w:t>
      </w:r>
      <w:r>
        <w:rPr>
          <w:b/>
          <w:bCs/>
          <w:rtl/>
          <w:lang w:bidi="ar-SA"/>
        </w:rPr>
        <w:t xml:space="preserve"> </w:t>
      </w:r>
      <w:r>
        <w:rPr>
          <w:b/>
          <w:bCs/>
          <w:rtl/>
        </w:rPr>
        <w:t>ניט</w:t>
      </w:r>
      <w:r>
        <w:rPr>
          <w:b/>
          <w:bCs/>
          <w:rtl/>
          <w:lang w:bidi="ar-SA"/>
        </w:rPr>
        <w:t xml:space="preserve"> </w:t>
      </w:r>
      <w:r>
        <w:rPr>
          <w:b/>
          <w:bCs/>
          <w:rtl/>
        </w:rPr>
        <w:t>פארשטאנדיק</w:t>
      </w:r>
      <w:r>
        <w:rPr>
          <w:rtl/>
          <w:lang w:bidi="ar-SA"/>
        </w:rPr>
        <w:t xml:space="preserve">, </w:t>
      </w:r>
      <w:r>
        <w:rPr>
          <w:rtl/>
        </w:rPr>
        <w:t>ווי</w:t>
      </w:r>
      <w:r>
        <w:rPr>
          <w:rtl/>
          <w:lang w:bidi="ar-SA"/>
        </w:rPr>
        <w:t xml:space="preserve"> </w:t>
      </w:r>
      <w:r>
        <w:rPr>
          <w:rtl/>
        </w:rPr>
        <w:t>קען</w:t>
      </w:r>
      <w:r>
        <w:rPr>
          <w:rtl/>
          <w:lang w:bidi="ar-SA"/>
        </w:rPr>
        <w:t xml:space="preserve"> </w:t>
      </w:r>
      <w:r>
        <w:rPr>
          <w:rtl/>
        </w:rPr>
        <w:t>מען</w:t>
      </w:r>
      <w:r>
        <w:rPr>
          <w:rtl/>
          <w:lang w:bidi="ar-SA"/>
        </w:rPr>
        <w:t xml:space="preserve"> </w:t>
      </w:r>
      <w:r>
        <w:rPr>
          <w:rtl/>
        </w:rPr>
        <w:t>זאגן</w:t>
      </w:r>
      <w:r>
        <w:rPr>
          <w:rtl/>
          <w:lang w:bidi="ar-SA"/>
        </w:rPr>
        <w:t xml:space="preserve"> . . .", </w:t>
      </w:r>
      <w:r>
        <w:rPr>
          <w:rtl/>
        </w:rPr>
        <w:t>ע</w:t>
      </w:r>
      <w:r>
        <w:rPr>
          <w:rtl/>
          <w:lang w:bidi="ar-SA"/>
        </w:rPr>
        <w:t>"</w:t>
      </w:r>
      <w:r>
        <w:rPr>
          <w:rtl/>
        </w:rPr>
        <w:t>ש</w:t>
      </w:r>
      <w:r>
        <w:rPr>
          <w:rtl/>
          <w:lang w:bidi="ar-SA"/>
        </w:rPr>
        <w:t>.</w:t>
      </w:r>
    </w:p>
    <w:p w:rsidR="00970EBE" w:rsidRDefault="00970EBE" w:rsidP="00F146A6">
      <w:pPr>
        <w:pStyle w:val="a3"/>
        <w:rPr>
          <w:lang w:bidi="ar-SA"/>
        </w:rPr>
      </w:pPr>
      <w:r>
        <w:rPr>
          <w:rtl/>
        </w:rPr>
        <w:t>ב</w:t>
      </w:r>
      <w:r>
        <w:rPr>
          <w:rtl/>
          <w:lang w:bidi="ar-SA"/>
        </w:rPr>
        <w:t xml:space="preserve">. </w:t>
      </w:r>
      <w:r>
        <w:rPr>
          <w:rtl/>
        </w:rPr>
        <w:t>בשיחה</w:t>
      </w:r>
      <w:r>
        <w:rPr>
          <w:rtl/>
          <w:lang w:bidi="ar-SA"/>
        </w:rPr>
        <w:t xml:space="preserve"> </w:t>
      </w:r>
      <w:r>
        <w:rPr>
          <w:rtl/>
        </w:rPr>
        <w:t>הנ</w:t>
      </w:r>
      <w:r>
        <w:rPr>
          <w:rtl/>
          <w:lang w:bidi="ar-SA"/>
        </w:rPr>
        <w:t>"</w:t>
      </w:r>
      <w:r>
        <w:rPr>
          <w:rtl/>
        </w:rPr>
        <w:t>ל</w:t>
      </w:r>
      <w:r>
        <w:rPr>
          <w:rtl/>
          <w:lang w:bidi="ar-SA"/>
        </w:rPr>
        <w:t xml:space="preserve"> </w:t>
      </w:r>
      <w:r>
        <w:rPr>
          <w:rtl/>
        </w:rPr>
        <w:t>שבלקו</w:t>
      </w:r>
      <w:r>
        <w:rPr>
          <w:rtl/>
          <w:lang w:bidi="ar-SA"/>
        </w:rPr>
        <w:t>"</w:t>
      </w:r>
      <w:r>
        <w:rPr>
          <w:rtl/>
        </w:rPr>
        <w:t>ש</w:t>
      </w:r>
      <w:r>
        <w:rPr>
          <w:rtl/>
          <w:lang w:bidi="ar-SA"/>
        </w:rPr>
        <w:t xml:space="preserve"> </w:t>
      </w:r>
      <w:r>
        <w:rPr>
          <w:rtl/>
        </w:rPr>
        <w:t>מתורגם</w:t>
      </w:r>
      <w:r>
        <w:rPr>
          <w:rtl/>
          <w:lang w:bidi="ar-SA"/>
        </w:rPr>
        <w:t xml:space="preserve"> </w:t>
      </w:r>
      <w:r>
        <w:rPr>
          <w:rtl/>
        </w:rPr>
        <w:t>כתב</w:t>
      </w:r>
      <w:r>
        <w:rPr>
          <w:rtl/>
          <w:lang w:bidi="ar-SA"/>
        </w:rPr>
        <w:t xml:space="preserve">, </w:t>
      </w:r>
      <w:r>
        <w:rPr>
          <w:rtl/>
        </w:rPr>
        <w:t>וז</w:t>
      </w:r>
      <w:r>
        <w:rPr>
          <w:rtl/>
          <w:lang w:bidi="ar-SA"/>
        </w:rPr>
        <w:t>"</w:t>
      </w:r>
      <w:r>
        <w:rPr>
          <w:rtl/>
        </w:rPr>
        <w:t>ל</w:t>
      </w:r>
      <w:r>
        <w:rPr>
          <w:rtl/>
          <w:lang w:bidi="ar-SA"/>
        </w:rPr>
        <w:t xml:space="preserve"> (</w:t>
      </w:r>
      <w:r>
        <w:rPr>
          <w:rtl/>
        </w:rPr>
        <w:t>בתוס</w:t>
      </w:r>
      <w:r>
        <w:rPr>
          <w:rtl/>
          <w:lang w:bidi="ar-SA"/>
        </w:rPr>
        <w:t xml:space="preserve">' </w:t>
      </w:r>
      <w:r>
        <w:rPr>
          <w:rtl/>
        </w:rPr>
        <w:t>הדגשה</w:t>
      </w:r>
      <w:r>
        <w:rPr>
          <w:rtl/>
          <w:lang w:bidi="ar-SA"/>
        </w:rPr>
        <w:t xml:space="preserve">):  </w:t>
      </w:r>
      <w:r>
        <w:rPr>
          <w:rtl/>
        </w:rPr>
        <w:t>ישנם</w:t>
      </w:r>
      <w:r>
        <w:rPr>
          <w:rtl/>
          <w:lang w:bidi="ar-SA"/>
        </w:rPr>
        <w:t xml:space="preserve"> </w:t>
      </w:r>
      <w:r>
        <w:rPr>
          <w:rtl/>
        </w:rPr>
        <w:t>אחרונים</w:t>
      </w:r>
      <w:r>
        <w:rPr>
          <w:rtl/>
          <w:lang w:bidi="ar-SA"/>
        </w:rPr>
        <w:t xml:space="preserve"> </w:t>
      </w:r>
      <w:r>
        <w:rPr>
          <w:rtl/>
        </w:rPr>
        <w:t>המנסים</w:t>
      </w:r>
      <w:r>
        <w:rPr>
          <w:rtl/>
          <w:lang w:bidi="ar-SA"/>
        </w:rPr>
        <w:t xml:space="preserve"> </w:t>
      </w:r>
      <w:r>
        <w:rPr>
          <w:rtl/>
        </w:rPr>
        <w:t>לדייק</w:t>
      </w:r>
      <w:r>
        <w:rPr>
          <w:rtl/>
          <w:lang w:bidi="ar-SA"/>
        </w:rPr>
        <w:t xml:space="preserve"> </w:t>
      </w:r>
      <w:r>
        <w:rPr>
          <w:rtl/>
        </w:rPr>
        <w:t>בדבריו</w:t>
      </w:r>
      <w:r>
        <w:rPr>
          <w:rtl/>
          <w:lang w:bidi="ar-SA"/>
        </w:rPr>
        <w:t xml:space="preserve"> </w:t>
      </w:r>
      <w:r>
        <w:rPr>
          <w:rtl/>
        </w:rPr>
        <w:t>של</w:t>
      </w:r>
      <w:r>
        <w:rPr>
          <w:rtl/>
          <w:lang w:bidi="ar-SA"/>
        </w:rPr>
        <w:t xml:space="preserve"> </w:t>
      </w:r>
      <w:r>
        <w:rPr>
          <w:rtl/>
        </w:rPr>
        <w:t>הרס</w:t>
      </w:r>
      <w:r>
        <w:rPr>
          <w:rtl/>
          <w:lang w:bidi="ar-SA"/>
        </w:rPr>
        <w:t>"</w:t>
      </w:r>
      <w:r>
        <w:rPr>
          <w:rtl/>
        </w:rPr>
        <w:t>ג</w:t>
      </w:r>
      <w:r>
        <w:rPr>
          <w:rtl/>
          <w:lang w:bidi="ar-SA"/>
        </w:rPr>
        <w:t>, "</w:t>
      </w:r>
      <w:r>
        <w:rPr>
          <w:rtl/>
        </w:rPr>
        <w:t>ופרה</w:t>
      </w:r>
      <w:r>
        <w:rPr>
          <w:rtl/>
          <w:lang w:bidi="ar-SA"/>
        </w:rPr>
        <w:t xml:space="preserve"> </w:t>
      </w:r>
      <w:r>
        <w:rPr>
          <w:rtl/>
        </w:rPr>
        <w:t>למשמרת</w:t>
      </w:r>
      <w:r>
        <w:rPr>
          <w:rtl/>
          <w:lang w:bidi="ar-SA"/>
        </w:rPr>
        <w:t xml:space="preserve"> </w:t>
      </w:r>
      <w:r>
        <w:rPr>
          <w:rtl/>
        </w:rPr>
        <w:t>בתדר</w:t>
      </w:r>
      <w:r>
        <w:rPr>
          <w:rtl/>
          <w:lang w:bidi="ar-SA"/>
        </w:rPr>
        <w:t xml:space="preserve">", </w:t>
      </w:r>
      <w:r>
        <w:rPr>
          <w:rtl/>
        </w:rPr>
        <w:t>ולומר</w:t>
      </w:r>
      <w:r>
        <w:rPr>
          <w:rtl/>
          <w:lang w:bidi="ar-SA"/>
        </w:rPr>
        <w:t xml:space="preserve"> </w:t>
      </w:r>
      <w:r>
        <w:rPr>
          <w:rtl/>
        </w:rPr>
        <w:t>שהכוונה</w:t>
      </w:r>
      <w:r>
        <w:rPr>
          <w:rtl/>
          <w:lang w:bidi="ar-SA"/>
        </w:rPr>
        <w:t xml:space="preserve"> </w:t>
      </w:r>
      <w:r>
        <w:rPr>
          <w:rtl/>
        </w:rPr>
        <w:t>איננה</w:t>
      </w:r>
      <w:r>
        <w:rPr>
          <w:rtl/>
          <w:lang w:bidi="ar-SA"/>
        </w:rPr>
        <w:t xml:space="preserve"> </w:t>
      </w:r>
      <w:r>
        <w:rPr>
          <w:b/>
          <w:bCs/>
          <w:u w:val="single"/>
          <w:rtl/>
        </w:rPr>
        <w:t>רק</w:t>
      </w:r>
      <w:r>
        <w:rPr>
          <w:b/>
          <w:bCs/>
          <w:rtl/>
          <w:lang w:bidi="ar-SA"/>
        </w:rPr>
        <w:t xml:space="preserve"> </w:t>
      </w:r>
      <w:r>
        <w:rPr>
          <w:rtl/>
        </w:rPr>
        <w:t>לחלק</w:t>
      </w:r>
      <w:r>
        <w:rPr>
          <w:rtl/>
          <w:lang w:bidi="ar-SA"/>
        </w:rPr>
        <w:t xml:space="preserve"> </w:t>
      </w:r>
      <w:r>
        <w:rPr>
          <w:rtl/>
        </w:rPr>
        <w:t>מן</w:t>
      </w:r>
      <w:r>
        <w:rPr>
          <w:rtl/>
          <w:lang w:bidi="ar-SA"/>
        </w:rPr>
        <w:t xml:space="preserve"> </w:t>
      </w:r>
      <w:r>
        <w:rPr>
          <w:rtl/>
        </w:rPr>
        <w:t>האפר</w:t>
      </w:r>
      <w:r>
        <w:rPr>
          <w:rtl/>
          <w:lang w:bidi="ar-SA"/>
        </w:rPr>
        <w:t xml:space="preserve"> </w:t>
      </w:r>
      <w:r>
        <w:rPr>
          <w:rtl/>
        </w:rPr>
        <w:t>שהיו</w:t>
      </w:r>
      <w:r>
        <w:rPr>
          <w:rtl/>
          <w:lang w:bidi="ar-SA"/>
        </w:rPr>
        <w:t xml:space="preserve"> </w:t>
      </w:r>
      <w:r>
        <w:rPr>
          <w:rtl/>
        </w:rPr>
        <w:t>ישראל</w:t>
      </w:r>
      <w:r>
        <w:rPr>
          <w:rtl/>
          <w:lang w:bidi="ar-SA"/>
        </w:rPr>
        <w:t xml:space="preserve"> </w:t>
      </w:r>
      <w:r>
        <w:rPr>
          <w:rtl/>
        </w:rPr>
        <w:t>מזין</w:t>
      </w:r>
      <w:r>
        <w:rPr>
          <w:rtl/>
          <w:lang w:bidi="ar-SA"/>
        </w:rPr>
        <w:t xml:space="preserve"> </w:t>
      </w:r>
      <w:r>
        <w:rPr>
          <w:rtl/>
        </w:rPr>
        <w:t>הימנו</w:t>
      </w:r>
      <w:r>
        <w:rPr>
          <w:rtl/>
          <w:lang w:bidi="ar-SA"/>
        </w:rPr>
        <w:t xml:space="preserve">, </w:t>
      </w:r>
      <w:r>
        <w:rPr>
          <w:rtl/>
        </w:rPr>
        <w:t>אלא</w:t>
      </w:r>
      <w:r>
        <w:rPr>
          <w:rtl/>
          <w:lang w:bidi="ar-SA"/>
        </w:rPr>
        <w:t xml:space="preserve"> </w:t>
      </w:r>
      <w:r>
        <w:rPr>
          <w:b/>
          <w:bCs/>
          <w:u w:val="single"/>
          <w:rtl/>
        </w:rPr>
        <w:t>גם</w:t>
      </w:r>
      <w:r>
        <w:rPr>
          <w:b/>
          <w:bCs/>
          <w:rtl/>
          <w:lang w:bidi="ar-SA"/>
        </w:rPr>
        <w:t xml:space="preserve"> </w:t>
      </w:r>
      <w:r>
        <w:rPr>
          <w:rtl/>
        </w:rPr>
        <w:t>לחלק</w:t>
      </w:r>
      <w:r>
        <w:rPr>
          <w:rtl/>
          <w:lang w:bidi="ar-SA"/>
        </w:rPr>
        <w:t xml:space="preserve"> </w:t>
      </w:r>
      <w:r>
        <w:rPr>
          <w:rtl/>
        </w:rPr>
        <w:t>מן</w:t>
      </w:r>
      <w:r>
        <w:rPr>
          <w:rtl/>
          <w:lang w:bidi="ar-SA"/>
        </w:rPr>
        <w:t xml:space="preserve"> </w:t>
      </w:r>
      <w:r>
        <w:rPr>
          <w:rtl/>
        </w:rPr>
        <w:t>האפר</w:t>
      </w:r>
      <w:r>
        <w:rPr>
          <w:rtl/>
          <w:lang w:bidi="ar-SA"/>
        </w:rPr>
        <w:t xml:space="preserve"> </w:t>
      </w:r>
      <w:r>
        <w:rPr>
          <w:rtl/>
        </w:rPr>
        <w:t>שהוא</w:t>
      </w:r>
      <w:r>
        <w:rPr>
          <w:rtl/>
          <w:lang w:bidi="ar-SA"/>
        </w:rPr>
        <w:t xml:space="preserve"> </w:t>
      </w:r>
      <w:r>
        <w:rPr>
          <w:rtl/>
        </w:rPr>
        <w:t>נותן</w:t>
      </w:r>
      <w:r>
        <w:rPr>
          <w:rtl/>
          <w:lang w:bidi="ar-SA"/>
        </w:rPr>
        <w:t xml:space="preserve"> </w:t>
      </w:r>
      <w:r>
        <w:rPr>
          <w:rtl/>
        </w:rPr>
        <w:t>בחיל</w:t>
      </w:r>
      <w:r>
        <w:rPr>
          <w:rtl/>
          <w:lang w:bidi="ar-SA"/>
        </w:rPr>
        <w:t xml:space="preserve">, </w:t>
      </w:r>
      <w:r>
        <w:rPr>
          <w:rtl/>
        </w:rPr>
        <w:t>שהרי</w:t>
      </w:r>
      <w:r>
        <w:rPr>
          <w:rtl/>
          <w:lang w:bidi="ar-SA"/>
        </w:rPr>
        <w:t xml:space="preserve"> </w:t>
      </w:r>
      <w:r>
        <w:rPr>
          <w:rtl/>
        </w:rPr>
        <w:t>דוקא</w:t>
      </w:r>
      <w:r>
        <w:rPr>
          <w:rtl/>
          <w:lang w:bidi="ar-SA"/>
        </w:rPr>
        <w:t xml:space="preserve"> </w:t>
      </w:r>
      <w:r>
        <w:rPr>
          <w:rtl/>
        </w:rPr>
        <w:t>על</w:t>
      </w:r>
      <w:r>
        <w:rPr>
          <w:rtl/>
          <w:lang w:bidi="ar-SA"/>
        </w:rPr>
        <w:t xml:space="preserve"> </w:t>
      </w:r>
      <w:r>
        <w:rPr>
          <w:rtl/>
        </w:rPr>
        <w:t>חלק</w:t>
      </w:r>
      <w:r>
        <w:rPr>
          <w:rtl/>
          <w:lang w:bidi="ar-SA"/>
        </w:rPr>
        <w:t xml:space="preserve"> </w:t>
      </w:r>
      <w:r>
        <w:rPr>
          <w:rtl/>
        </w:rPr>
        <w:t>זה</w:t>
      </w:r>
      <w:r>
        <w:rPr>
          <w:rtl/>
          <w:lang w:bidi="ar-SA"/>
        </w:rPr>
        <w:t xml:space="preserve"> </w:t>
      </w:r>
      <w:r>
        <w:rPr>
          <w:rtl/>
        </w:rPr>
        <w:t>של</w:t>
      </w:r>
      <w:r>
        <w:rPr>
          <w:rtl/>
          <w:lang w:bidi="ar-SA"/>
        </w:rPr>
        <w:t xml:space="preserve"> </w:t>
      </w:r>
      <w:r>
        <w:rPr>
          <w:rtl/>
        </w:rPr>
        <w:t>האפר</w:t>
      </w:r>
      <w:r>
        <w:rPr>
          <w:rtl/>
          <w:lang w:bidi="ar-SA"/>
        </w:rPr>
        <w:t xml:space="preserve"> (</w:t>
      </w:r>
      <w:r>
        <w:rPr>
          <w:rtl/>
        </w:rPr>
        <w:t>שאותו</w:t>
      </w:r>
      <w:r>
        <w:rPr>
          <w:rtl/>
          <w:lang w:bidi="ar-SA"/>
        </w:rPr>
        <w:t xml:space="preserve"> </w:t>
      </w:r>
      <w:r>
        <w:rPr>
          <w:rtl/>
        </w:rPr>
        <w:t>הוא</w:t>
      </w:r>
      <w:r>
        <w:rPr>
          <w:rtl/>
          <w:lang w:bidi="ar-SA"/>
        </w:rPr>
        <w:t xml:space="preserve"> </w:t>
      </w:r>
      <w:r>
        <w:rPr>
          <w:rtl/>
        </w:rPr>
        <w:t>נותן</w:t>
      </w:r>
      <w:r>
        <w:rPr>
          <w:rtl/>
          <w:lang w:bidi="ar-SA"/>
        </w:rPr>
        <w:t xml:space="preserve"> </w:t>
      </w:r>
      <w:r>
        <w:rPr>
          <w:rtl/>
        </w:rPr>
        <w:t>בחיל</w:t>
      </w:r>
      <w:r>
        <w:rPr>
          <w:rtl/>
          <w:lang w:bidi="ar-SA"/>
        </w:rPr>
        <w:t xml:space="preserve">) </w:t>
      </w:r>
      <w:r>
        <w:rPr>
          <w:rtl/>
        </w:rPr>
        <w:t>נכתב</w:t>
      </w:r>
      <w:r>
        <w:rPr>
          <w:rtl/>
          <w:lang w:bidi="ar-SA"/>
        </w:rPr>
        <w:t xml:space="preserve"> </w:t>
      </w:r>
      <w:r>
        <w:rPr>
          <w:rtl/>
        </w:rPr>
        <w:t>הביטוי</w:t>
      </w:r>
      <w:r>
        <w:rPr>
          <w:rtl/>
          <w:lang w:bidi="ar-SA"/>
        </w:rPr>
        <w:t xml:space="preserve"> "</w:t>
      </w:r>
      <w:r>
        <w:rPr>
          <w:rtl/>
        </w:rPr>
        <w:t>והיתה</w:t>
      </w:r>
      <w:r>
        <w:rPr>
          <w:rtl/>
          <w:lang w:bidi="ar-SA"/>
        </w:rPr>
        <w:t xml:space="preserve"> </w:t>
      </w:r>
      <w:r>
        <w:rPr>
          <w:rtl/>
        </w:rPr>
        <w:t>לעדת</w:t>
      </w:r>
      <w:r>
        <w:rPr>
          <w:rtl/>
          <w:lang w:bidi="ar-SA"/>
        </w:rPr>
        <w:t xml:space="preserve"> </w:t>
      </w:r>
      <w:r>
        <w:rPr>
          <w:rtl/>
        </w:rPr>
        <w:t>בני</w:t>
      </w:r>
      <w:r>
        <w:rPr>
          <w:rtl/>
          <w:lang w:bidi="ar-SA"/>
        </w:rPr>
        <w:t xml:space="preserve"> </w:t>
      </w:r>
      <w:r>
        <w:rPr>
          <w:rtl/>
        </w:rPr>
        <w:t>ישראל</w:t>
      </w:r>
      <w:r>
        <w:rPr>
          <w:rtl/>
          <w:lang w:bidi="ar-SA"/>
        </w:rPr>
        <w:t xml:space="preserve"> </w:t>
      </w:r>
      <w:r>
        <w:rPr>
          <w:rtl/>
        </w:rPr>
        <w:t>למשמרת</w:t>
      </w:r>
      <w:r>
        <w:rPr>
          <w:rtl/>
          <w:lang w:bidi="ar-SA"/>
        </w:rPr>
        <w:t xml:space="preserve">" </w:t>
      </w:r>
      <w:r>
        <w:rPr>
          <w:rtl/>
        </w:rPr>
        <w:t>עכ</w:t>
      </w:r>
      <w:r>
        <w:rPr>
          <w:rtl/>
          <w:lang w:bidi="ar-SA"/>
        </w:rPr>
        <w:t>"</w:t>
      </w:r>
      <w:r>
        <w:rPr>
          <w:rtl/>
        </w:rPr>
        <w:t>ל</w:t>
      </w:r>
      <w:r>
        <w:rPr>
          <w:rtl/>
          <w:lang w:bidi="ar-SA"/>
        </w:rPr>
        <w:t xml:space="preserve">.  </w:t>
      </w:r>
      <w:r>
        <w:rPr>
          <w:rtl/>
        </w:rPr>
        <w:t>והוא</w:t>
      </w:r>
      <w:r>
        <w:rPr>
          <w:rtl/>
          <w:lang w:bidi="ar-SA"/>
        </w:rPr>
        <w:t xml:space="preserve"> </w:t>
      </w:r>
      <w:r>
        <w:rPr>
          <w:rtl/>
        </w:rPr>
        <w:t>שיבוש</w:t>
      </w:r>
      <w:r>
        <w:rPr>
          <w:rtl/>
          <w:lang w:bidi="ar-SA"/>
        </w:rPr>
        <w:t xml:space="preserve">, </w:t>
      </w:r>
      <w:r>
        <w:rPr>
          <w:rtl/>
        </w:rPr>
        <w:t>וצריך</w:t>
      </w:r>
      <w:r>
        <w:rPr>
          <w:rtl/>
          <w:lang w:bidi="ar-SA"/>
        </w:rPr>
        <w:t xml:space="preserve"> </w:t>
      </w:r>
      <w:r>
        <w:rPr>
          <w:rtl/>
        </w:rPr>
        <w:t>להסיר</w:t>
      </w:r>
      <w:r>
        <w:rPr>
          <w:rtl/>
          <w:lang w:bidi="ar-SA"/>
        </w:rPr>
        <w:t xml:space="preserve"> </w:t>
      </w:r>
      <w:r>
        <w:rPr>
          <w:rtl/>
        </w:rPr>
        <w:t>התיבות</w:t>
      </w:r>
      <w:r>
        <w:rPr>
          <w:rtl/>
          <w:lang w:bidi="ar-SA"/>
        </w:rPr>
        <w:t xml:space="preserve"> </w:t>
      </w:r>
      <w:r>
        <w:rPr>
          <w:rtl/>
        </w:rPr>
        <w:t>המודגשות</w:t>
      </w:r>
      <w:r>
        <w:rPr>
          <w:rtl/>
          <w:lang w:bidi="ar-SA"/>
        </w:rPr>
        <w:t>.</w:t>
      </w:r>
    </w:p>
    <w:p w:rsidR="00364372" w:rsidRDefault="00364372" w:rsidP="0036437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970EBE" w:rsidRPr="00970EBE" w:rsidRDefault="00970EBE" w:rsidP="00970EBE">
      <w:pPr>
        <w:pStyle w:val="a0"/>
        <w:rPr>
          <w:rtl/>
        </w:rPr>
      </w:pPr>
      <w:bookmarkStart w:id="119" w:name="_Toc43963093"/>
      <w:r w:rsidRPr="001C7D6D">
        <w:rPr>
          <w:rFonts w:hint="cs"/>
          <w:rtl/>
        </w:rPr>
        <w:t>ההתייחסות לטבע</w:t>
      </w:r>
      <w:bookmarkEnd w:id="119"/>
      <w:r w:rsidRPr="00970EBE">
        <w:rPr>
          <w:rFonts w:hint="cs"/>
          <w:rtl/>
        </w:rPr>
        <w:t xml:space="preserve"> </w:t>
      </w:r>
    </w:p>
    <w:p w:rsidR="001C7D6D" w:rsidRDefault="001C7D6D" w:rsidP="00F146A6">
      <w:pPr>
        <w:pStyle w:val="a"/>
        <w:rPr>
          <w:shd w:val="clear" w:color="auto" w:fill="FFFFFF"/>
          <w:rtl/>
        </w:rPr>
      </w:pPr>
      <w:bookmarkStart w:id="120" w:name="_Toc43963094"/>
      <w:r>
        <w:rPr>
          <w:rFonts w:hint="cs"/>
          <w:shd w:val="clear" w:color="auto" w:fill="FFFFFF"/>
          <w:rtl/>
        </w:rPr>
        <w:t xml:space="preserve">הת' </w:t>
      </w:r>
      <w:r>
        <w:rPr>
          <w:shd w:val="clear" w:color="auto" w:fill="FFFFFF"/>
          <w:rtl/>
        </w:rPr>
        <w:t>יועז קמפבל</w:t>
      </w:r>
      <w:bookmarkEnd w:id="120"/>
    </w:p>
    <w:p w:rsidR="001C7D6D" w:rsidRPr="001C7D6D" w:rsidRDefault="001C7D6D" w:rsidP="001C7D6D">
      <w:pPr>
        <w:pStyle w:val="a1"/>
        <w:rPr>
          <w:rtl/>
        </w:rPr>
      </w:pPr>
      <w:r>
        <w:rPr>
          <w:shd w:val="clear" w:color="auto" w:fill="FFFFFF"/>
          <w:rtl/>
        </w:rPr>
        <w:t xml:space="preserve">שליח </w:t>
      </w:r>
      <w:r>
        <w:rPr>
          <w:rFonts w:hint="cs"/>
          <w:shd w:val="clear" w:color="auto" w:fill="FFFFFF"/>
          <w:rtl/>
        </w:rPr>
        <w:t xml:space="preserve">בישיבת </w:t>
      </w:r>
      <w:r>
        <w:rPr>
          <w:shd w:val="clear" w:color="auto" w:fill="FFFFFF"/>
          <w:rtl/>
        </w:rPr>
        <w:t>בתות"ל המרכזית לוד</w:t>
      </w:r>
    </w:p>
    <w:p w:rsidR="00970EBE" w:rsidRPr="00970EBE" w:rsidRDefault="00970EBE" w:rsidP="00F146A6">
      <w:pPr>
        <w:pStyle w:val="11"/>
        <w:rPr>
          <w:rtl/>
        </w:rPr>
      </w:pPr>
      <w:r w:rsidRPr="00970EBE">
        <w:rPr>
          <w:rtl/>
        </w:rPr>
        <w:t>א.</w:t>
      </w:r>
    </w:p>
    <w:p w:rsidR="00970EBE" w:rsidRPr="00970EBE" w:rsidRDefault="00970EBE" w:rsidP="00F146A6">
      <w:pPr>
        <w:pStyle w:val="11"/>
      </w:pPr>
      <w:r w:rsidRPr="00970EBE">
        <w:rPr>
          <w:rFonts w:hint="cs"/>
          <w:rtl/>
        </w:rPr>
        <w:t>ביאור הרבי בשתי הטעויות של העכו"מ</w:t>
      </w:r>
    </w:p>
    <w:p w:rsidR="00970EBE" w:rsidRPr="00970EBE" w:rsidRDefault="00970EBE" w:rsidP="00F146A6">
      <w:pPr>
        <w:pStyle w:val="a3"/>
        <w:rPr>
          <w:rtl/>
        </w:rPr>
      </w:pPr>
      <w:r w:rsidRPr="00970EBE">
        <w:rPr>
          <w:rtl/>
        </w:rPr>
        <w:t xml:space="preserve">במאמר </w:t>
      </w:r>
      <w:r w:rsidRPr="00970EBE">
        <w:rPr>
          <w:rFonts w:hint="cs"/>
          <w:rtl/>
        </w:rPr>
        <w:t>"</w:t>
      </w:r>
      <w:r w:rsidRPr="00970EBE">
        <w:rPr>
          <w:rtl/>
        </w:rPr>
        <w:t>ביום עשתי עשר</w:t>
      </w:r>
      <w:r w:rsidRPr="00970EBE">
        <w:rPr>
          <w:rFonts w:hint="cs"/>
          <w:rtl/>
        </w:rPr>
        <w:t>"</w:t>
      </w:r>
      <w:r w:rsidRPr="00970EBE">
        <w:rPr>
          <w:rtl/>
        </w:rPr>
        <w:t xml:space="preserve"> תשל"א</w:t>
      </w:r>
      <w:r w:rsidRPr="00970EBE">
        <w:rPr>
          <w:vertAlign w:val="superscript"/>
          <w:rtl/>
        </w:rPr>
        <w:footnoteReference w:id="67"/>
      </w:r>
      <w:r w:rsidRPr="00970EBE">
        <w:rPr>
          <w:rtl/>
        </w:rPr>
        <w:t xml:space="preserve">, מדבר בנוגע לטעות של עובדי ע"ז, וז"ל: </w:t>
      </w:r>
    </w:p>
    <w:p w:rsidR="00970EBE" w:rsidRPr="00970EBE" w:rsidRDefault="00970EBE" w:rsidP="00F146A6">
      <w:pPr>
        <w:pStyle w:val="a3"/>
        <w:rPr>
          <w:rFonts w:ascii="Times New Roman" w:hAnsi="Times New Roman" w:cs="Times New Roman"/>
          <w:sz w:val="20"/>
          <w:szCs w:val="20"/>
        </w:rPr>
      </w:pPr>
      <w:r w:rsidRPr="00970EBE">
        <w:rPr>
          <w:rtl/>
        </w:rPr>
        <w:t xml:space="preserve">"והנה לכאורה הי׳ אפשר לבאר זה על פי הידוע שבדורות הראשונים, אלו שעבדו לכוכבים ומזלות, ידעו שהשפע שנשפע בארץ ע״י הכו״מ (ממגד תבואות שמש וממגד גרש ירחים) הוא (לא שהם עצמם משפיעים, אלא) שהקב״ה משפיע על ידם, אלא שטעו וחשבו שהשפע שנשפע ממנו ית׳ ע״י הכו״מ הוא בבחירתם, ולא ידעו את האמת שאין להם בחירה כלל, והם רק כגרזן ביד החוצב ולכן השתחוו להכו״מ ועבדו אותם, כי לפי טעותם (שהשפע שנשפע ע״י הכו״מ הוא בבחירתם) ראוי להודות להם על זה, ע״ד חמרא למרא טיבותא לשקיי״. וגם כי לפי טעותם שהכו״מ הם בעלי בחירה חשבו שע״י שיעבדו אותם ישפיעו להם יותר. ומזה נשתלשל אח״כ שבאו לטעות </w:t>
      </w:r>
      <w:r w:rsidRPr="00970EBE">
        <w:rPr>
          <w:rtl/>
        </w:rPr>
        <w:lastRenderedPageBreak/>
        <w:t>גדולה יותר, שחשבו שעזב ה׳ את הארץ בידי הכוכבים ומזלות, והנהגת הארץ תלוי' רק בהם. וכדוגמת מלך שמינה שרים להנהיג את המדינה, דהגם שזה שבכחם להנהיג את המדינה הוא מפני שהמלך מינה אותם על זה, מ״מ, לאחרי שנתמנו, הנהגת המדינה היא ע״י השרים, ואין המלך מתערב בזה (מלבד לפרקים רחוקים, בשביל צורך גדול).</w:t>
      </w:r>
      <w:r w:rsidRPr="00970EBE">
        <w:rPr>
          <w:rFonts w:ascii="Cambria" w:hAnsi="Cambria" w:cs="Cambria" w:hint="cs"/>
          <w:rtl/>
        </w:rPr>
        <w:t> </w:t>
      </w:r>
    </w:p>
    <w:p w:rsidR="00970EBE" w:rsidRPr="00970EBE" w:rsidRDefault="00970EBE" w:rsidP="00F146A6">
      <w:pPr>
        <w:pStyle w:val="a3"/>
        <w:rPr>
          <w:rFonts w:ascii="Times New Roman" w:hAnsi="Times New Roman" w:cs="Times New Roman"/>
          <w:sz w:val="20"/>
          <w:szCs w:val="20"/>
          <w:rtl/>
        </w:rPr>
      </w:pPr>
      <w:r w:rsidRPr="00970EBE">
        <w:rPr>
          <w:rtl/>
        </w:rPr>
        <w:t>[ויש לומר, דזה שאומות העולם קוראין אותו ית׳ בשם אלקא ד'אלקייא' נכללים בזה שני הסוגים. שגם אלו שחושבים שעזב ה׳ את הארץ בידי הכו״מ קוראין אותו ית׳ בשם אלקא ד'אלקייא', דנוסף לזה שהוא ית׳ גבוה מהם ושליט עליהם, הנה גם בזה גופא שהכו״מ הם ״'אלקייא'״ (לדעתם), היינו שיש להם כח להנהיג את הארץ ולהשפיע בה, הוא לא מצד עצמם אלא מפני שהקב״ה נתן להם כח על זה, בדוגמת שרי המלך שמנהיגים את המדינה מפני שהמלך מינה אותם על זה. ולאידך, גם הטעות שהשפע שנשפע מהקב״ה ע״י הכו״מ הוא בבחירתם נכלל (בדקות) באלקא ד'אלקייא', כי גם זה שיכולים לעשות כרצונם (להשפיע או לאו) הו״ע של שליטה, 'אלקייא', ושלילת הענין דאלקים אחרים בתכלית הוא דוקא ע״י הידיעה שכל הממוצעים הם רק כגרזן ביד החוצב]". עכ"ל בהנוגע לענייננו.</w:t>
      </w:r>
    </w:p>
    <w:p w:rsidR="00970EBE" w:rsidRPr="00970EBE" w:rsidRDefault="00970EBE" w:rsidP="00F146A6">
      <w:pPr>
        <w:pStyle w:val="a3"/>
        <w:rPr>
          <w:rFonts w:ascii="Times New Roman" w:hAnsi="Times New Roman" w:cs="Times New Roman"/>
          <w:sz w:val="20"/>
          <w:szCs w:val="20"/>
          <w:rtl/>
        </w:rPr>
      </w:pPr>
      <w:r w:rsidRPr="00970EBE">
        <w:rPr>
          <w:rtl/>
        </w:rPr>
        <w:t>היינו, שבתחילה טעו העובדי כוכבים ומזלות בשתים: א. מכיוון שה</w:t>
      </w:r>
      <w:r w:rsidRPr="00970EBE">
        <w:rPr>
          <w:rFonts w:hint="cs"/>
          <w:rtl/>
        </w:rPr>
        <w:t>כוכבי</w:t>
      </w:r>
      <w:r w:rsidRPr="00970EBE">
        <w:rPr>
          <w:rtl/>
        </w:rPr>
        <w:t>ם</w:t>
      </w:r>
      <w:r w:rsidRPr="00970EBE">
        <w:rPr>
          <w:rFonts w:hint="cs"/>
          <w:rtl/>
        </w:rPr>
        <w:t xml:space="preserve"> ומזלות הם</w:t>
      </w:r>
      <w:r w:rsidRPr="00970EBE">
        <w:rPr>
          <w:rtl/>
        </w:rPr>
        <w:t xml:space="preserve"> בעלי בחירה </w:t>
      </w:r>
      <w:r w:rsidRPr="00970EBE">
        <w:rPr>
          <w:rFonts w:hint="cs"/>
          <w:rtl/>
        </w:rPr>
        <w:t>לכן</w:t>
      </w:r>
      <w:r w:rsidRPr="00970EBE">
        <w:rPr>
          <w:rtl/>
        </w:rPr>
        <w:t xml:space="preserve"> </w:t>
      </w:r>
      <w:r w:rsidRPr="00970EBE">
        <w:rPr>
          <w:rFonts w:hint="cs"/>
          <w:rtl/>
        </w:rPr>
        <w:t xml:space="preserve">צריך </w:t>
      </w:r>
      <w:r w:rsidRPr="00970EBE">
        <w:rPr>
          <w:rtl/>
        </w:rPr>
        <w:t>להודות ל</w:t>
      </w:r>
      <w:r w:rsidRPr="00970EBE">
        <w:rPr>
          <w:rFonts w:hint="cs"/>
          <w:rtl/>
        </w:rPr>
        <w:t>הם על השפע.</w:t>
      </w:r>
      <w:r w:rsidRPr="00970EBE">
        <w:rPr>
          <w:rtl/>
        </w:rPr>
        <w:t xml:space="preserve"> ב. </w:t>
      </w:r>
      <w:r w:rsidRPr="00970EBE">
        <w:rPr>
          <w:rFonts w:hint="cs"/>
          <w:rtl/>
        </w:rPr>
        <w:t xml:space="preserve">בחירתם היא לא רק על </w:t>
      </w:r>
      <w:r w:rsidRPr="00970EBE">
        <w:rPr>
          <w:rFonts w:hint="cs"/>
          <w:b/>
          <w:bCs/>
          <w:rtl/>
        </w:rPr>
        <w:t>עצם ההשפעה</w:t>
      </w:r>
      <w:r w:rsidRPr="00970EBE">
        <w:rPr>
          <w:rFonts w:hint="cs"/>
          <w:rtl/>
        </w:rPr>
        <w:t xml:space="preserve"> אם להשפיע או לא, אלא גם על </w:t>
      </w:r>
      <w:r w:rsidRPr="00970EBE">
        <w:rPr>
          <w:rFonts w:hint="cs"/>
          <w:b/>
          <w:bCs/>
          <w:rtl/>
        </w:rPr>
        <w:t>כמות השפע</w:t>
      </w:r>
      <w:r w:rsidRPr="00970EBE">
        <w:rPr>
          <w:rFonts w:hint="cs"/>
          <w:rtl/>
        </w:rPr>
        <w:t xml:space="preserve"> - ש</w:t>
      </w:r>
      <w:r w:rsidRPr="00970EBE">
        <w:rPr>
          <w:rtl/>
        </w:rPr>
        <w:t xml:space="preserve">ע"י שיעבדו אותם ישפיעו להם יותר. ואח"כ באו לטעות גדולה יותר שלא רק שיש להם </w:t>
      </w:r>
      <w:r w:rsidRPr="00970EBE">
        <w:rPr>
          <w:b/>
          <w:bCs/>
          <w:rtl/>
        </w:rPr>
        <w:t>בחירה</w:t>
      </w:r>
      <w:r w:rsidRPr="00970EBE">
        <w:rPr>
          <w:rtl/>
        </w:rPr>
        <w:t xml:space="preserve">, אלא יש להם גם </w:t>
      </w:r>
      <w:r w:rsidRPr="00970EBE">
        <w:rPr>
          <w:b/>
          <w:bCs/>
          <w:rtl/>
        </w:rPr>
        <w:t>שליטה</w:t>
      </w:r>
      <w:r w:rsidRPr="00970EBE">
        <w:rPr>
          <w:rtl/>
        </w:rPr>
        <w:t xml:space="preserve"> והנהג</w:t>
      </w:r>
      <w:r w:rsidRPr="00970EBE">
        <w:rPr>
          <w:rFonts w:hint="cs"/>
          <w:rtl/>
        </w:rPr>
        <w:t>ת העולם</w:t>
      </w:r>
      <w:r w:rsidRPr="00970EBE">
        <w:rPr>
          <w:rtl/>
        </w:rPr>
        <w:t xml:space="preserve"> תלויה בהם (והמלך מתערב רק בדברים גדולים ולעיתים רחוקות). והאמת היא שהם רק כגרזן ביד החוצב, שאין להם אפילו </w:t>
      </w:r>
      <w:r w:rsidRPr="00970EBE">
        <w:rPr>
          <w:b/>
          <w:bCs/>
          <w:rtl/>
        </w:rPr>
        <w:t>בחירה</w:t>
      </w:r>
      <w:r w:rsidRPr="00970EBE">
        <w:rPr>
          <w:rtl/>
        </w:rPr>
        <w:t xml:space="preserve"> בנוגע לעבודתם.</w:t>
      </w:r>
    </w:p>
    <w:p w:rsidR="00970EBE" w:rsidRPr="00970EBE" w:rsidRDefault="00970EBE" w:rsidP="00F146A6">
      <w:pPr>
        <w:pStyle w:val="a3"/>
        <w:rPr>
          <w:rFonts w:ascii="Times New Roman" w:hAnsi="Times New Roman" w:cs="Times New Roman"/>
          <w:sz w:val="20"/>
          <w:szCs w:val="20"/>
          <w:rtl/>
        </w:rPr>
      </w:pPr>
      <w:r w:rsidRPr="00970EBE">
        <w:rPr>
          <w:rtl/>
        </w:rPr>
        <w:t>ומחדש הרבי בסוגריים, שש</w:t>
      </w:r>
      <w:r w:rsidRPr="00970EBE">
        <w:rPr>
          <w:rFonts w:hint="cs"/>
          <w:rtl/>
        </w:rPr>
        <w:t>תי השיטות</w:t>
      </w:r>
      <w:r w:rsidRPr="00970EBE">
        <w:rPr>
          <w:rtl/>
        </w:rPr>
        <w:t xml:space="preserve"> נכלל</w:t>
      </w:r>
      <w:r w:rsidRPr="00970EBE">
        <w:rPr>
          <w:rFonts w:hint="cs"/>
          <w:rtl/>
        </w:rPr>
        <w:t>ות</w:t>
      </w:r>
      <w:r w:rsidRPr="00970EBE">
        <w:rPr>
          <w:rtl/>
        </w:rPr>
        <w:t xml:space="preserve"> בסוג של "</w:t>
      </w:r>
      <w:r w:rsidRPr="00970EBE">
        <w:rPr>
          <w:u w:val="single"/>
          <w:rtl/>
        </w:rPr>
        <w:t>אלקא</w:t>
      </w:r>
      <w:r w:rsidRPr="00970EBE">
        <w:rPr>
          <w:rtl/>
        </w:rPr>
        <w:t xml:space="preserve"> </w:t>
      </w:r>
      <w:r w:rsidRPr="00970EBE">
        <w:rPr>
          <w:u w:val="single"/>
          <w:rtl/>
        </w:rPr>
        <w:t>דאלקייא</w:t>
      </w:r>
      <w:r w:rsidRPr="00970EBE">
        <w:rPr>
          <w:rtl/>
        </w:rPr>
        <w:t>": גם ל</w:t>
      </w:r>
      <w:r w:rsidRPr="00970EBE">
        <w:rPr>
          <w:rFonts w:hint="cs"/>
          <w:rtl/>
        </w:rPr>
        <w:t>שיטה</w:t>
      </w:r>
      <w:r w:rsidRPr="00970EBE">
        <w:rPr>
          <w:rtl/>
        </w:rPr>
        <w:t xml:space="preserve"> השניה, למרות שיש להם שליטה, סוכ"ס </w:t>
      </w:r>
      <w:r w:rsidRPr="00970EBE">
        <w:rPr>
          <w:rFonts w:hint="cs"/>
          <w:rtl/>
        </w:rPr>
        <w:t>הם מודים ש</w:t>
      </w:r>
      <w:r w:rsidRPr="00970EBE">
        <w:rPr>
          <w:rtl/>
        </w:rPr>
        <w:t>הקב"ה הוא 'אלקא' - השולט עליהם</w:t>
      </w:r>
      <w:r w:rsidRPr="00970EBE">
        <w:rPr>
          <w:rFonts w:hint="cs"/>
          <w:rtl/>
        </w:rPr>
        <w:t>;</w:t>
      </w:r>
      <w:r w:rsidRPr="00970EBE">
        <w:rPr>
          <w:rtl/>
        </w:rPr>
        <w:t xml:space="preserve"> וגם לפי ה</w:t>
      </w:r>
      <w:r w:rsidRPr="00970EBE">
        <w:rPr>
          <w:rFonts w:hint="cs"/>
          <w:rtl/>
        </w:rPr>
        <w:t>ש</w:t>
      </w:r>
      <w:r w:rsidRPr="00970EBE">
        <w:rPr>
          <w:rtl/>
        </w:rPr>
        <w:t>י</w:t>
      </w:r>
      <w:r w:rsidRPr="00970EBE">
        <w:rPr>
          <w:rFonts w:hint="cs"/>
          <w:rtl/>
        </w:rPr>
        <w:t>ט</w:t>
      </w:r>
      <w:r w:rsidRPr="00970EBE">
        <w:rPr>
          <w:rtl/>
        </w:rPr>
        <w:t>ה הראשונה</w:t>
      </w:r>
      <w:r w:rsidRPr="00970EBE">
        <w:rPr>
          <w:rFonts w:hint="cs"/>
          <w:rtl/>
        </w:rPr>
        <w:t>,</w:t>
      </w:r>
      <w:r w:rsidRPr="00970EBE">
        <w:rPr>
          <w:rtl/>
        </w:rPr>
        <w:t xml:space="preserve"> הכו"מ הם נקראים (בדקות) ''אלקייא'', אע"פ שלא הם עצמם המשפיעים, כי עצם זה שאומרים שיש להם </w:t>
      </w:r>
      <w:r w:rsidRPr="00970EBE">
        <w:rPr>
          <w:b/>
          <w:bCs/>
          <w:rtl/>
        </w:rPr>
        <w:t>בחירה</w:t>
      </w:r>
      <w:r w:rsidRPr="00970EBE">
        <w:rPr>
          <w:rtl/>
        </w:rPr>
        <w:t xml:space="preserve"> (לא שליטה) זה כבר מראה על כח - 'אלקייא'.</w:t>
      </w:r>
      <w:r w:rsidRPr="00970EBE">
        <w:rPr>
          <w:rFonts w:ascii="Cambria" w:hAnsi="Cambria" w:cs="Cambria" w:hint="cs"/>
          <w:rtl/>
        </w:rPr>
        <w:t> </w:t>
      </w:r>
    </w:p>
    <w:p w:rsidR="00970EBE" w:rsidRPr="00970EBE" w:rsidRDefault="00970EBE" w:rsidP="00F146A6">
      <w:pPr>
        <w:pStyle w:val="11"/>
        <w:bidi/>
        <w:rPr>
          <w:rFonts w:ascii="Times New Roman" w:hAnsi="Times New Roman" w:cs="Times New Roman"/>
          <w:rtl/>
        </w:rPr>
      </w:pPr>
      <w:r w:rsidRPr="00970EBE">
        <w:rPr>
          <w:rtl/>
        </w:rPr>
        <w:t>ב.</w:t>
      </w:r>
    </w:p>
    <w:p w:rsidR="00970EBE" w:rsidRPr="00970EBE" w:rsidRDefault="00970EBE" w:rsidP="00F146A6">
      <w:pPr>
        <w:pStyle w:val="11"/>
      </w:pPr>
      <w:r w:rsidRPr="00970EBE">
        <w:rPr>
          <w:rFonts w:hint="cs"/>
          <w:rtl/>
        </w:rPr>
        <w:t>ביאור שני האופנים בהסתכלות על הטבע</w:t>
      </w:r>
    </w:p>
    <w:p w:rsidR="00970EBE" w:rsidRPr="00970EBE" w:rsidRDefault="00970EBE" w:rsidP="00F146A6">
      <w:pPr>
        <w:pStyle w:val="a3"/>
        <w:rPr>
          <w:rFonts w:ascii="Times New Roman" w:hAnsi="Times New Roman" w:cs="Times New Roman"/>
          <w:sz w:val="20"/>
          <w:szCs w:val="20"/>
        </w:rPr>
      </w:pPr>
      <w:r w:rsidRPr="00970EBE">
        <w:rPr>
          <w:rtl/>
        </w:rPr>
        <w:t>וי"ל בביאור עניינים אלו, ולהסביר את החידוש שבסוגריים, ובהקדים</w:t>
      </w:r>
      <w:r w:rsidRPr="00970EBE">
        <w:rPr>
          <w:vertAlign w:val="superscript"/>
          <w:rtl/>
        </w:rPr>
        <w:footnoteReference w:id="68"/>
      </w:r>
      <w:r w:rsidRPr="00970EBE">
        <w:rPr>
          <w:rtl/>
        </w:rPr>
        <w:t xml:space="preserve">: </w:t>
      </w:r>
    </w:p>
    <w:p w:rsidR="00970EBE" w:rsidRPr="00970EBE" w:rsidRDefault="00970EBE" w:rsidP="00F146A6">
      <w:pPr>
        <w:pStyle w:val="a3"/>
        <w:rPr>
          <w:rFonts w:ascii="Times New Roman" w:hAnsi="Times New Roman" w:cs="Times New Roman"/>
          <w:sz w:val="20"/>
          <w:szCs w:val="20"/>
        </w:rPr>
      </w:pPr>
      <w:r w:rsidRPr="00970EBE">
        <w:rPr>
          <w:rtl/>
        </w:rPr>
        <w:lastRenderedPageBreak/>
        <w:t>מבואר</w:t>
      </w:r>
      <w:r w:rsidRPr="00970EBE">
        <w:rPr>
          <w:vertAlign w:val="superscript"/>
          <w:rtl/>
        </w:rPr>
        <w:footnoteReference w:id="69"/>
      </w:r>
      <w:r w:rsidRPr="00970EBE">
        <w:rPr>
          <w:rtl/>
        </w:rPr>
        <w:t>, שחידוש הבעש"ט ו</w:t>
      </w:r>
      <w:r w:rsidRPr="00970EBE">
        <w:rPr>
          <w:rFonts w:hint="cs"/>
          <w:rtl/>
        </w:rPr>
        <w:t xml:space="preserve">הסבר </w:t>
      </w:r>
      <w:r w:rsidRPr="00970EBE">
        <w:rPr>
          <w:rtl/>
        </w:rPr>
        <w:t>אדה"ז בשער היחוד והאמונה שהקב"ה מהווה את העולם כל רגע ורגע יש מאין (- לעולם ה' דברך ניצב בשמים)</w:t>
      </w:r>
      <w:r w:rsidRPr="00970EBE">
        <w:rPr>
          <w:rFonts w:hint="cs"/>
          <w:rtl/>
        </w:rPr>
        <w:t>,</w:t>
      </w:r>
      <w:r w:rsidRPr="00970EBE">
        <w:rPr>
          <w:rtl/>
        </w:rPr>
        <w:t xml:space="preserve"> </w:t>
      </w:r>
      <w:r w:rsidRPr="00970EBE">
        <w:rPr>
          <w:rFonts w:hint="cs"/>
          <w:rtl/>
        </w:rPr>
        <w:t>ו</w:t>
      </w:r>
      <w:r w:rsidRPr="00970EBE">
        <w:rPr>
          <w:rtl/>
        </w:rPr>
        <w:t>חידוש הבעש"ט בנוגע להשגחה פרטית</w:t>
      </w:r>
      <w:r w:rsidRPr="00970EBE">
        <w:rPr>
          <w:rFonts w:hint="cs"/>
          <w:rtl/>
        </w:rPr>
        <w:t>,</w:t>
      </w:r>
      <w:r w:rsidRPr="00970EBE">
        <w:rPr>
          <w:rtl/>
        </w:rPr>
        <w:t xml:space="preserve"> שכל דבר שקורה בעולם ואפילו עלה שעף ברוח זה בהשגחה פרטית </w:t>
      </w:r>
      <w:r w:rsidRPr="00970EBE">
        <w:rPr>
          <w:rFonts w:hint="cs"/>
          <w:rtl/>
        </w:rPr>
        <w:t>(</w:t>
      </w:r>
      <w:r w:rsidRPr="00970EBE">
        <w:rPr>
          <w:rtl/>
        </w:rPr>
        <w:t>ובזה גופא לא רק עצם זה שהוא עף אלא אפילו הדרך בה הוא עף אם ע"י רגלי אדם או רגלי בהמה וכיו"ב</w:t>
      </w:r>
      <w:r w:rsidRPr="00970EBE">
        <w:rPr>
          <w:rFonts w:hint="cs"/>
          <w:rtl/>
        </w:rPr>
        <w:t xml:space="preserve">) </w:t>
      </w:r>
      <w:r w:rsidRPr="00970EBE">
        <w:rPr>
          <w:rtl/>
        </w:rPr>
        <w:t>–</w:t>
      </w:r>
      <w:r w:rsidRPr="00970EBE">
        <w:rPr>
          <w:rFonts w:hint="cs"/>
          <w:rtl/>
        </w:rPr>
        <w:t xml:space="preserve"> לא מחוייבים אחד מהשני. היינו, שאפשר לומר שהקב"ה מהווה את הבריאה כל רגע מאין ליש ולא משגיח עליה בהשגחה פרטית (ח"ו).</w:t>
      </w:r>
    </w:p>
    <w:p w:rsidR="00970EBE" w:rsidRPr="00970EBE" w:rsidRDefault="00970EBE" w:rsidP="00F146A6">
      <w:pPr>
        <w:pStyle w:val="a3"/>
        <w:rPr>
          <w:rtl/>
        </w:rPr>
      </w:pPr>
      <w:r w:rsidRPr="00970EBE">
        <w:rPr>
          <w:rtl/>
        </w:rPr>
        <w:t>וההסברה בזה</w:t>
      </w:r>
      <w:r w:rsidRPr="00970EBE">
        <w:rPr>
          <w:rFonts w:hint="cs"/>
          <w:rtl/>
        </w:rPr>
        <w:t xml:space="preserve"> ובהקדים </w:t>
      </w:r>
      <w:r w:rsidRPr="00970EBE">
        <w:rPr>
          <w:rtl/>
        </w:rPr>
        <w:t xml:space="preserve">דוגמא פשוטה: יש שולחן ועליו ספרים, </w:t>
      </w:r>
      <w:r w:rsidRPr="00970EBE">
        <w:rPr>
          <w:rFonts w:hint="cs"/>
          <w:rtl/>
        </w:rPr>
        <w:t>ו</w:t>
      </w:r>
      <w:r w:rsidRPr="00970EBE">
        <w:rPr>
          <w:rtl/>
        </w:rPr>
        <w:t xml:space="preserve">אדם </w:t>
      </w:r>
      <w:r w:rsidRPr="00970EBE">
        <w:rPr>
          <w:rFonts w:hint="cs"/>
          <w:rtl/>
        </w:rPr>
        <w:t>מ</w:t>
      </w:r>
      <w:r w:rsidRPr="00970EBE">
        <w:rPr>
          <w:rtl/>
        </w:rPr>
        <w:t xml:space="preserve">זיז את השולחן, </w:t>
      </w:r>
      <w:r w:rsidRPr="00970EBE">
        <w:rPr>
          <w:rFonts w:hint="cs"/>
          <w:rtl/>
        </w:rPr>
        <w:t>הנה למרות שכוונתו היא רק להזיז את השולחן בכ"ז גם</w:t>
      </w:r>
      <w:r w:rsidRPr="00970EBE">
        <w:rPr>
          <w:rtl/>
        </w:rPr>
        <w:t xml:space="preserve"> הספרים זזים ו</w:t>
      </w:r>
      <w:r w:rsidRPr="00970EBE">
        <w:rPr>
          <w:rFonts w:hint="cs"/>
          <w:rtl/>
        </w:rPr>
        <w:t>אין צורך ב</w:t>
      </w:r>
      <w:r w:rsidRPr="00970EBE">
        <w:rPr>
          <w:rtl/>
        </w:rPr>
        <w:t xml:space="preserve">פעולה </w:t>
      </w:r>
      <w:r w:rsidRPr="00970EBE">
        <w:rPr>
          <w:rFonts w:hint="cs"/>
          <w:rtl/>
        </w:rPr>
        <w:t>נוספת להזזת הספרים</w:t>
      </w:r>
      <w:r w:rsidRPr="00970EBE">
        <w:rPr>
          <w:rtl/>
        </w:rPr>
        <w:t>; נכון אמנם שמטר</w:t>
      </w:r>
      <w:r w:rsidRPr="00970EBE">
        <w:rPr>
          <w:rFonts w:hint="cs"/>
          <w:rtl/>
        </w:rPr>
        <w:t>תו</w:t>
      </w:r>
      <w:r w:rsidRPr="00970EBE">
        <w:rPr>
          <w:rtl/>
        </w:rPr>
        <w:t xml:space="preserve"> היא הזזת השולחן, אבל הספרים זזים בדרך ממילא. </w:t>
      </w:r>
    </w:p>
    <w:p w:rsidR="00970EBE" w:rsidRPr="00970EBE" w:rsidRDefault="00970EBE" w:rsidP="00F146A6">
      <w:pPr>
        <w:pStyle w:val="a3"/>
        <w:rPr>
          <w:rFonts w:ascii="Times New Roman" w:hAnsi="Times New Roman" w:cs="Times New Roman"/>
          <w:sz w:val="20"/>
          <w:szCs w:val="20"/>
          <w:rtl/>
        </w:rPr>
      </w:pPr>
      <w:r w:rsidRPr="00970EBE">
        <w:rPr>
          <w:rFonts w:hint="cs"/>
          <w:rtl/>
        </w:rPr>
        <w:t xml:space="preserve">כמו"כ הוא בנוגע לענייננו בדוגמא הפשוטה של השגח"פ מעלה שעף ברוח: </w:t>
      </w:r>
      <w:r w:rsidRPr="00970EBE">
        <w:rPr>
          <w:rtl/>
        </w:rPr>
        <w:t xml:space="preserve">העלה מתהווה כל רגע ורגע יש מאין ובלעדי רצון הקב"ה שהוא יתהווה הוא היה אין ואפס ממש, והקב"ה רוצה שתהיה רוח באזור </w:t>
      </w:r>
      <w:r w:rsidRPr="00970EBE">
        <w:rPr>
          <w:rFonts w:hint="cs"/>
          <w:rtl/>
        </w:rPr>
        <w:t>העלה</w:t>
      </w:r>
      <w:r w:rsidRPr="00970EBE">
        <w:rPr>
          <w:rtl/>
        </w:rPr>
        <w:t xml:space="preserve"> (ומהווה גם אותה כל רגע יש מאין), ומכיוון שהקב"ה לא עביד ניסא למגנא והרוח </w:t>
      </w:r>
      <w:r w:rsidRPr="00970EBE">
        <w:rPr>
          <w:rFonts w:hint="cs"/>
          <w:rtl/>
        </w:rPr>
        <w:t>נושבת</w:t>
      </w:r>
      <w:r w:rsidRPr="00970EBE">
        <w:rPr>
          <w:rtl/>
        </w:rPr>
        <w:t xml:space="preserve"> במקום העלה</w:t>
      </w:r>
      <w:r w:rsidRPr="00970EBE">
        <w:rPr>
          <w:rFonts w:hint="cs"/>
          <w:rtl/>
        </w:rPr>
        <w:t xml:space="preserve"> </w:t>
      </w:r>
      <w:r w:rsidRPr="00970EBE">
        <w:rPr>
          <w:rtl/>
        </w:rPr>
        <w:t xml:space="preserve">– </w:t>
      </w:r>
      <w:r w:rsidRPr="00970EBE">
        <w:rPr>
          <w:rFonts w:hint="cs"/>
          <w:b/>
          <w:bCs/>
          <w:rtl/>
        </w:rPr>
        <w:t>ממילא</w:t>
      </w:r>
      <w:r w:rsidRPr="00970EBE">
        <w:rPr>
          <w:rFonts w:hint="cs"/>
          <w:rtl/>
        </w:rPr>
        <w:t xml:space="preserve"> </w:t>
      </w:r>
      <w:r w:rsidRPr="00970EBE">
        <w:rPr>
          <w:rtl/>
        </w:rPr>
        <w:t xml:space="preserve">בדרך הטבע העלה עף. אבל </w:t>
      </w:r>
      <w:r w:rsidRPr="00970EBE">
        <w:rPr>
          <w:rFonts w:hint="cs"/>
          <w:rtl/>
        </w:rPr>
        <w:t>אין זה</w:t>
      </w:r>
      <w:r w:rsidRPr="00970EBE">
        <w:rPr>
          <w:rtl/>
        </w:rPr>
        <w:t xml:space="preserve"> </w:t>
      </w:r>
      <w:r w:rsidRPr="00970EBE">
        <w:rPr>
          <w:rFonts w:hint="cs"/>
          <w:rtl/>
        </w:rPr>
        <w:t xml:space="preserve">מחייב </w:t>
      </w:r>
      <w:r w:rsidRPr="00970EBE">
        <w:rPr>
          <w:rtl/>
        </w:rPr>
        <w:t xml:space="preserve">עדיין לומר </w:t>
      </w:r>
      <w:r w:rsidRPr="00970EBE">
        <w:rPr>
          <w:rFonts w:hint="cs"/>
          <w:rtl/>
        </w:rPr>
        <w:t>שיש כוונה ותכלית בעצם זה שהעלה</w:t>
      </w:r>
      <w:r w:rsidRPr="00970EBE">
        <w:rPr>
          <w:rtl/>
        </w:rPr>
        <w:t xml:space="preserve"> עף </w:t>
      </w:r>
      <w:r w:rsidRPr="00970EBE">
        <w:rPr>
          <w:rFonts w:hint="cs"/>
          <w:rtl/>
        </w:rPr>
        <w:t>(</w:t>
      </w:r>
      <w:r w:rsidRPr="00970EBE">
        <w:rPr>
          <w:rtl/>
        </w:rPr>
        <w:t>ובאופן מסויים דווקא</w:t>
      </w:r>
      <w:r w:rsidRPr="00970EBE">
        <w:rPr>
          <w:rFonts w:hint="cs"/>
          <w:rtl/>
        </w:rPr>
        <w:t>).</w:t>
      </w:r>
    </w:p>
    <w:p w:rsidR="00970EBE" w:rsidRPr="00970EBE" w:rsidRDefault="00970EBE" w:rsidP="00F146A6">
      <w:pPr>
        <w:pStyle w:val="a3"/>
        <w:rPr>
          <w:rtl/>
        </w:rPr>
      </w:pPr>
      <w:r w:rsidRPr="00970EBE">
        <w:rPr>
          <w:rtl/>
        </w:rPr>
        <w:t xml:space="preserve">הסתכלות זו היא הטעות הראשונה המובאת במאמר בנוגע לעובדי ע"ז, שכמו </w:t>
      </w:r>
      <w:r w:rsidRPr="00970EBE">
        <w:rPr>
          <w:rFonts w:hint="cs"/>
          <w:rtl/>
        </w:rPr>
        <w:t xml:space="preserve">שהם חושבים </w:t>
      </w:r>
      <w:r w:rsidRPr="00970EBE">
        <w:rPr>
          <w:rtl/>
        </w:rPr>
        <w:t>בנוגע לכוכבים ומזלות ש</w:t>
      </w:r>
      <w:r w:rsidRPr="00970EBE">
        <w:rPr>
          <w:rFonts w:hint="cs"/>
          <w:rtl/>
        </w:rPr>
        <w:t xml:space="preserve">הקב"ה </w:t>
      </w:r>
      <w:r w:rsidRPr="00970EBE">
        <w:rPr>
          <w:rtl/>
        </w:rPr>
        <w:t>בחר בהם מצד מעל</w:t>
      </w:r>
      <w:r w:rsidRPr="00970EBE">
        <w:rPr>
          <w:rFonts w:hint="cs"/>
          <w:rtl/>
        </w:rPr>
        <w:t>תם</w:t>
      </w:r>
      <w:r w:rsidRPr="00970EBE">
        <w:rPr>
          <w:rtl/>
        </w:rPr>
        <w:t xml:space="preserve"> הם, </w:t>
      </w:r>
      <w:r w:rsidRPr="00970EBE">
        <w:rPr>
          <w:rFonts w:hint="cs"/>
          <w:rtl/>
        </w:rPr>
        <w:t>כן הוא</w:t>
      </w:r>
      <w:r w:rsidRPr="00970EBE">
        <w:rPr>
          <w:rtl/>
        </w:rPr>
        <w:t xml:space="preserve"> </w:t>
      </w:r>
      <w:r w:rsidRPr="00970EBE">
        <w:rPr>
          <w:rFonts w:hint="cs"/>
          <w:rtl/>
        </w:rPr>
        <w:t>בטבע ש</w:t>
      </w:r>
      <w:r w:rsidRPr="00970EBE">
        <w:rPr>
          <w:rtl/>
        </w:rPr>
        <w:t xml:space="preserve">הקב"ה בחר </w:t>
      </w:r>
      <w:r w:rsidRPr="00970EBE">
        <w:rPr>
          <w:rFonts w:hint="cs"/>
          <w:rtl/>
        </w:rPr>
        <w:t>בו מצד</w:t>
      </w:r>
      <w:r w:rsidRPr="00970EBE">
        <w:rPr>
          <w:rtl/>
        </w:rPr>
        <w:t xml:space="preserve"> </w:t>
      </w:r>
      <w:r w:rsidRPr="00970EBE">
        <w:rPr>
          <w:rFonts w:hint="cs"/>
          <w:rtl/>
        </w:rPr>
        <w:t>מעלתו הוא;</w:t>
      </w:r>
      <w:r w:rsidRPr="00970EBE">
        <w:rPr>
          <w:rtl/>
        </w:rPr>
        <w:t xml:space="preserve"> שנכון אמנם </w:t>
      </w:r>
      <w:r w:rsidRPr="00970EBE">
        <w:rPr>
          <w:b/>
          <w:bCs/>
          <w:rtl/>
        </w:rPr>
        <w:t>שהקב"ה</w:t>
      </w:r>
      <w:r w:rsidRPr="00970EBE">
        <w:rPr>
          <w:rtl/>
        </w:rPr>
        <w:t xml:space="preserve"> מהווה את הטבע</w:t>
      </w:r>
      <w:r w:rsidRPr="00970EBE">
        <w:rPr>
          <w:rFonts w:hint="cs"/>
          <w:rtl/>
        </w:rPr>
        <w:t xml:space="preserve"> כל רגע ורגע והוא קיים בזכותו, עדיין </w:t>
      </w:r>
      <w:r w:rsidRPr="00970EBE">
        <w:rPr>
          <w:rtl/>
        </w:rPr>
        <w:t xml:space="preserve">יש לו מעלה מצד עצמו. (כפי </w:t>
      </w:r>
      <w:r w:rsidRPr="00970EBE">
        <w:rPr>
          <w:rFonts w:hint="cs"/>
          <w:rtl/>
        </w:rPr>
        <w:t>המובא</w:t>
      </w:r>
      <w:r w:rsidRPr="00970EBE">
        <w:rPr>
          <w:rtl/>
        </w:rPr>
        <w:t xml:space="preserve"> בסוף האות ש</w:t>
      </w:r>
      <w:r w:rsidRPr="00970EBE">
        <w:rPr>
          <w:rFonts w:hint="cs"/>
          <w:rtl/>
        </w:rPr>
        <w:t xml:space="preserve">הפיקח לא </w:t>
      </w:r>
      <w:r w:rsidRPr="00970EBE">
        <w:rPr>
          <w:rtl/>
        </w:rPr>
        <w:t xml:space="preserve">בוחר </w:t>
      </w:r>
      <w:r w:rsidRPr="00970EBE">
        <w:rPr>
          <w:rFonts w:hint="cs"/>
          <w:rtl/>
        </w:rPr>
        <w:t>בכוכבים ומזלות למרות שיש להם</w:t>
      </w:r>
      <w:r w:rsidRPr="00970EBE">
        <w:rPr>
          <w:rtl/>
        </w:rPr>
        <w:t xml:space="preserve"> </w:t>
      </w:r>
      <w:r w:rsidRPr="00970EBE">
        <w:rPr>
          <w:b/>
          <w:bCs/>
          <w:rtl/>
        </w:rPr>
        <w:t>מעלה</w:t>
      </w:r>
      <w:r w:rsidRPr="00970EBE">
        <w:rPr>
          <w:rFonts w:hint="cs"/>
          <w:rtl/>
        </w:rPr>
        <w:t>, כי יודע שהם רק כגרזן ביד החוצב</w:t>
      </w:r>
      <w:r w:rsidRPr="00970EBE">
        <w:rPr>
          <w:vertAlign w:val="superscript"/>
          <w:rtl/>
        </w:rPr>
        <w:footnoteReference w:id="70"/>
      </w:r>
      <w:r w:rsidRPr="00970EBE">
        <w:rPr>
          <w:rtl/>
        </w:rPr>
        <w:t xml:space="preserve">). </w:t>
      </w:r>
    </w:p>
    <w:p w:rsidR="00970EBE" w:rsidRPr="00970EBE" w:rsidRDefault="00970EBE" w:rsidP="00F146A6">
      <w:pPr>
        <w:pStyle w:val="a3"/>
        <w:rPr>
          <w:rFonts w:ascii="Times New Roman" w:hAnsi="Times New Roman" w:cs="Times New Roman"/>
          <w:sz w:val="20"/>
          <w:szCs w:val="20"/>
          <w:rtl/>
        </w:rPr>
      </w:pPr>
      <w:r w:rsidRPr="00970EBE">
        <w:rPr>
          <w:rFonts w:hint="cs"/>
          <w:rtl/>
        </w:rPr>
        <w:t>מ</w:t>
      </w:r>
      <w:r w:rsidRPr="00970EBE">
        <w:rPr>
          <w:rtl/>
        </w:rPr>
        <w:t xml:space="preserve">הסתכלות זו </w:t>
      </w:r>
      <w:r w:rsidRPr="00970EBE">
        <w:rPr>
          <w:rFonts w:hint="cs"/>
          <w:rtl/>
        </w:rPr>
        <w:t>יוצא</w:t>
      </w:r>
      <w:r w:rsidRPr="00970EBE">
        <w:rPr>
          <w:rtl/>
        </w:rPr>
        <w:t xml:space="preserve"> שה</w:t>
      </w:r>
      <w:r w:rsidRPr="00970EBE">
        <w:rPr>
          <w:rFonts w:hint="cs"/>
          <w:rtl/>
        </w:rPr>
        <w:t>יחס בין ה</w:t>
      </w:r>
      <w:r w:rsidRPr="00970EBE">
        <w:rPr>
          <w:rtl/>
        </w:rPr>
        <w:t xml:space="preserve">קב"ה </w:t>
      </w:r>
      <w:r w:rsidRPr="00970EBE">
        <w:rPr>
          <w:rFonts w:hint="cs"/>
          <w:rtl/>
        </w:rPr>
        <w:t>ל</w:t>
      </w:r>
      <w:r w:rsidRPr="00970EBE">
        <w:rPr>
          <w:rtl/>
        </w:rPr>
        <w:t xml:space="preserve">עולם זה כמו </w:t>
      </w:r>
      <w:r w:rsidRPr="00970EBE">
        <w:rPr>
          <w:rFonts w:hint="cs"/>
          <w:rtl/>
        </w:rPr>
        <w:t xml:space="preserve">היחס שבין </w:t>
      </w:r>
      <w:r w:rsidRPr="00970EBE">
        <w:rPr>
          <w:rtl/>
        </w:rPr>
        <w:t>נפש וגוף</w:t>
      </w:r>
      <w:r w:rsidRPr="00970EBE">
        <w:rPr>
          <w:rFonts w:hint="cs"/>
          <w:rtl/>
        </w:rPr>
        <w:t>:</w:t>
      </w:r>
      <w:r w:rsidRPr="00970EBE">
        <w:rPr>
          <w:rtl/>
        </w:rPr>
        <w:t xml:space="preserve"> שנכון </w:t>
      </w:r>
      <w:r w:rsidRPr="00970EBE">
        <w:rPr>
          <w:rFonts w:hint="cs"/>
          <w:rtl/>
        </w:rPr>
        <w:t xml:space="preserve">אמנם </w:t>
      </w:r>
      <w:r w:rsidRPr="00970EBE">
        <w:rPr>
          <w:rtl/>
        </w:rPr>
        <w:t>שהגוף הוא רק כלי לגילוי הנפש,</w:t>
      </w:r>
      <w:r w:rsidRPr="00970EBE">
        <w:rPr>
          <w:rFonts w:hint="cs"/>
          <w:rtl/>
        </w:rPr>
        <w:t xml:space="preserve"> בסופו של דבר יש מעלה לגוף שהנפש מתלבשת דווקא בו (ולא בגוף של בהמה וכיו"ב).</w:t>
      </w:r>
      <w:r w:rsidRPr="00970EBE">
        <w:rPr>
          <w:rtl/>
        </w:rPr>
        <w:t xml:space="preserve"> ו</w:t>
      </w:r>
      <w:r w:rsidRPr="00970EBE">
        <w:rPr>
          <w:rFonts w:hint="cs"/>
          <w:rtl/>
        </w:rPr>
        <w:t>כן הוא בנוגע לאיברים פרטיים, כמו לדוגמא</w:t>
      </w:r>
      <w:r w:rsidRPr="00970EBE">
        <w:rPr>
          <w:rtl/>
        </w:rPr>
        <w:t xml:space="preserve"> בכח הראיה</w:t>
      </w:r>
      <w:r w:rsidRPr="00970EBE">
        <w:rPr>
          <w:rFonts w:hint="cs"/>
          <w:rtl/>
        </w:rPr>
        <w:t xml:space="preserve"> </w:t>
      </w:r>
      <w:r w:rsidRPr="00970EBE">
        <w:rPr>
          <w:rtl/>
        </w:rPr>
        <w:t xml:space="preserve">– </w:t>
      </w:r>
      <w:r w:rsidRPr="00970EBE">
        <w:rPr>
          <w:rFonts w:hint="cs"/>
          <w:rtl/>
        </w:rPr>
        <w:t>שאמנם ראיית האדם מגיעה מ</w:t>
      </w:r>
      <w:r w:rsidRPr="00970EBE">
        <w:rPr>
          <w:rtl/>
        </w:rPr>
        <w:t xml:space="preserve">כח הראיה ולא </w:t>
      </w:r>
      <w:r w:rsidRPr="00970EBE">
        <w:rPr>
          <w:rFonts w:hint="cs"/>
          <w:rtl/>
        </w:rPr>
        <w:t>מ</w:t>
      </w:r>
      <w:r w:rsidRPr="00970EBE">
        <w:rPr>
          <w:rtl/>
        </w:rPr>
        <w:t xml:space="preserve">העין </w:t>
      </w:r>
      <w:r w:rsidRPr="00970EBE">
        <w:rPr>
          <w:rFonts w:hint="cs"/>
          <w:rtl/>
        </w:rPr>
        <w:t xml:space="preserve">לבד, </w:t>
      </w:r>
      <w:r w:rsidRPr="00970EBE">
        <w:rPr>
          <w:rtl/>
        </w:rPr>
        <w:t xml:space="preserve">והעין היא </w:t>
      </w:r>
      <w:r w:rsidRPr="00970EBE">
        <w:rPr>
          <w:rFonts w:hint="cs"/>
          <w:rtl/>
        </w:rPr>
        <w:t>בסך הכל</w:t>
      </w:r>
      <w:r w:rsidRPr="00970EBE">
        <w:rPr>
          <w:rtl/>
        </w:rPr>
        <w:t xml:space="preserve"> כלי לגילוי הנפש</w:t>
      </w:r>
      <w:r w:rsidRPr="00970EBE">
        <w:rPr>
          <w:rFonts w:hint="cs"/>
          <w:rtl/>
        </w:rPr>
        <w:t>;</w:t>
      </w:r>
      <w:r w:rsidRPr="00970EBE">
        <w:rPr>
          <w:rtl/>
        </w:rPr>
        <w:t xml:space="preserve"> </w:t>
      </w:r>
      <w:r w:rsidRPr="00970EBE">
        <w:rPr>
          <w:rFonts w:hint="cs"/>
          <w:rtl/>
        </w:rPr>
        <w:t>מ"מ</w:t>
      </w:r>
      <w:r w:rsidRPr="00970EBE">
        <w:rPr>
          <w:rtl/>
        </w:rPr>
        <w:t xml:space="preserve"> זה שכח הראיה מתלבש בעין ולא ב</w:t>
      </w:r>
      <w:r w:rsidRPr="00970EBE">
        <w:rPr>
          <w:rFonts w:hint="cs"/>
          <w:rtl/>
        </w:rPr>
        <w:t xml:space="preserve">איבר אחר כמו האוזן, </w:t>
      </w:r>
      <w:r w:rsidRPr="00970EBE">
        <w:rPr>
          <w:rtl/>
        </w:rPr>
        <w:t xml:space="preserve">זה בגלל שיש מעלה בעין שדווקא היא כלי לקבל את כח הראיה, ועד"ז </w:t>
      </w:r>
      <w:r w:rsidRPr="00970EBE">
        <w:rPr>
          <w:rtl/>
        </w:rPr>
        <w:lastRenderedPageBreak/>
        <w:t xml:space="preserve">האוזן </w:t>
      </w:r>
      <w:r w:rsidRPr="00970EBE">
        <w:rPr>
          <w:rFonts w:hint="cs"/>
          <w:rtl/>
        </w:rPr>
        <w:t xml:space="preserve">היא כלי </w:t>
      </w:r>
      <w:r w:rsidRPr="00970EBE">
        <w:rPr>
          <w:rtl/>
        </w:rPr>
        <w:t>ל</w:t>
      </w:r>
      <w:r w:rsidRPr="00970EBE">
        <w:rPr>
          <w:rFonts w:hint="cs"/>
          <w:rtl/>
        </w:rPr>
        <w:t xml:space="preserve">קבל את </w:t>
      </w:r>
      <w:r w:rsidRPr="00970EBE">
        <w:rPr>
          <w:rtl/>
        </w:rPr>
        <w:t>כח השמיעה וכו'.</w:t>
      </w:r>
      <w:r w:rsidRPr="00970EBE">
        <w:rPr>
          <w:rFonts w:ascii="Cambria" w:hAnsi="Cambria" w:cs="Cambria" w:hint="cs"/>
          <w:rtl/>
        </w:rPr>
        <w:t> </w:t>
      </w:r>
    </w:p>
    <w:p w:rsidR="00970EBE" w:rsidRPr="00970EBE" w:rsidRDefault="00970EBE" w:rsidP="00F146A6">
      <w:pPr>
        <w:pStyle w:val="a3"/>
        <w:rPr>
          <w:rFonts w:ascii="Times New Roman" w:hAnsi="Times New Roman" w:cs="Times New Roman"/>
          <w:sz w:val="20"/>
          <w:szCs w:val="20"/>
          <w:rtl/>
        </w:rPr>
      </w:pPr>
      <w:r w:rsidRPr="00970EBE">
        <w:rPr>
          <w:rtl/>
        </w:rPr>
        <w:t>הסתכלות יותר עמוקה היא שבאמת אין שום מעלה לטבע, אלא ש</w:t>
      </w:r>
      <w:r w:rsidRPr="00970EBE">
        <w:rPr>
          <w:rFonts w:hint="cs"/>
          <w:b/>
          <w:bCs/>
          <w:rtl/>
        </w:rPr>
        <w:t xml:space="preserve">רצון </w:t>
      </w:r>
      <w:r w:rsidRPr="00970EBE">
        <w:rPr>
          <w:b/>
          <w:bCs/>
          <w:rtl/>
        </w:rPr>
        <w:t xml:space="preserve">הקב"ה </w:t>
      </w:r>
      <w:r w:rsidRPr="00970EBE">
        <w:rPr>
          <w:rFonts w:hint="cs"/>
          <w:rtl/>
        </w:rPr>
        <w:t>הוא</w:t>
      </w:r>
      <w:r w:rsidRPr="00970EBE">
        <w:rPr>
          <w:rtl/>
        </w:rPr>
        <w:t xml:space="preserve"> שההנהגה שלו תעבור דרך הטבע, </w:t>
      </w:r>
      <w:r w:rsidRPr="00970EBE">
        <w:rPr>
          <w:rFonts w:hint="cs"/>
          <w:rtl/>
        </w:rPr>
        <w:t xml:space="preserve">היינו, שזה לא מצד </w:t>
      </w:r>
      <w:r w:rsidRPr="00970EBE">
        <w:rPr>
          <w:rtl/>
        </w:rPr>
        <w:t>המעלה שלו</w:t>
      </w:r>
      <w:r w:rsidRPr="00970EBE">
        <w:rPr>
          <w:rFonts w:hint="cs"/>
          <w:rtl/>
        </w:rPr>
        <w:t xml:space="preserve"> שהקב"ה 'החשיב' אותו,</w:t>
      </w:r>
      <w:r w:rsidRPr="00970EBE">
        <w:rPr>
          <w:rtl/>
        </w:rPr>
        <w:t xml:space="preserve"> אלא </w:t>
      </w:r>
      <w:r w:rsidRPr="00970EBE">
        <w:rPr>
          <w:rFonts w:hint="cs"/>
          <w:rtl/>
        </w:rPr>
        <w:t>הקב"ה רצה</w:t>
      </w:r>
      <w:r w:rsidRPr="00970EBE">
        <w:rPr>
          <w:rtl/>
        </w:rPr>
        <w:t xml:space="preserve"> ש</w:t>
      </w:r>
      <w:r w:rsidRPr="00970EBE">
        <w:rPr>
          <w:rFonts w:hint="cs"/>
          <w:rtl/>
        </w:rPr>
        <w:t>ההנהגה תעבור דרכו</w:t>
      </w:r>
      <w:r w:rsidRPr="00970EBE">
        <w:rPr>
          <w:rtl/>
        </w:rPr>
        <w:t>.</w:t>
      </w:r>
    </w:p>
    <w:p w:rsidR="00970EBE" w:rsidRPr="00970EBE" w:rsidRDefault="00970EBE" w:rsidP="00F146A6">
      <w:pPr>
        <w:pStyle w:val="a3"/>
        <w:rPr>
          <w:rFonts w:ascii="Times New Roman" w:hAnsi="Times New Roman" w:cs="Times New Roman"/>
          <w:sz w:val="20"/>
          <w:szCs w:val="20"/>
          <w:rtl/>
        </w:rPr>
      </w:pPr>
      <w:r w:rsidRPr="00970EBE">
        <w:rPr>
          <w:rtl/>
        </w:rPr>
        <w:t>לפי הסתכלות זו</w:t>
      </w:r>
      <w:r w:rsidRPr="00970EBE">
        <w:rPr>
          <w:rFonts w:hint="cs"/>
          <w:rtl/>
        </w:rPr>
        <w:t>,</w:t>
      </w:r>
      <w:r w:rsidRPr="00970EBE">
        <w:rPr>
          <w:rtl/>
        </w:rPr>
        <w:t xml:space="preserve"> שייך</w:t>
      </w:r>
      <w:r w:rsidRPr="00970EBE">
        <w:rPr>
          <w:rFonts w:hint="cs"/>
          <w:rtl/>
        </w:rPr>
        <w:t xml:space="preserve"> </w:t>
      </w:r>
      <w:r w:rsidRPr="00970EBE">
        <w:rPr>
          <w:rtl/>
        </w:rPr>
        <w:t xml:space="preserve">לומר בדקות </w:t>
      </w:r>
      <w:r w:rsidRPr="00970EBE">
        <w:rPr>
          <w:rFonts w:hint="cs"/>
          <w:rtl/>
        </w:rPr>
        <w:t xml:space="preserve">על ההסתכלות הראשונה </w:t>
      </w:r>
      <w:r w:rsidRPr="00970EBE">
        <w:rPr>
          <w:rtl/>
        </w:rPr>
        <w:t>ש"עזב ה' את הארץ בידי הכוכבים ומזלות"</w:t>
      </w:r>
      <w:r w:rsidRPr="00970EBE">
        <w:rPr>
          <w:rFonts w:hint="cs"/>
          <w:rtl/>
        </w:rPr>
        <w:t>,</w:t>
      </w:r>
      <w:r w:rsidRPr="00970EBE">
        <w:rPr>
          <w:rtl/>
        </w:rPr>
        <w:t xml:space="preserve"> "עזב ה' את הארץ בידי הנהגת הטבע"</w:t>
      </w:r>
      <w:r w:rsidRPr="00970EBE">
        <w:rPr>
          <w:rFonts w:hint="cs"/>
          <w:rtl/>
        </w:rPr>
        <w:t xml:space="preserve"> -</w:t>
      </w:r>
      <w:r w:rsidRPr="00970EBE">
        <w:rPr>
          <w:rtl/>
        </w:rPr>
        <w:t xml:space="preserve"> כי עצם זה אומרים שיש לטבע חשיבות כשלעצמו זה כבר אומר שהקב"ה כביכול הפקיד את העולם בידי הטבע.</w:t>
      </w:r>
      <w:r w:rsidRPr="00970EBE">
        <w:rPr>
          <w:rFonts w:ascii="Cambria" w:hAnsi="Cambria" w:cs="Cambria" w:hint="cs"/>
          <w:rtl/>
        </w:rPr>
        <w:t> </w:t>
      </w:r>
    </w:p>
    <w:p w:rsidR="00970EBE" w:rsidRPr="00970EBE" w:rsidRDefault="00970EBE" w:rsidP="00F146A6">
      <w:pPr>
        <w:pStyle w:val="a3"/>
        <w:rPr>
          <w:rFonts w:ascii="Times New Roman" w:hAnsi="Times New Roman" w:cs="Times New Roman"/>
          <w:sz w:val="20"/>
          <w:szCs w:val="20"/>
          <w:rtl/>
        </w:rPr>
      </w:pPr>
      <w:r w:rsidRPr="00970EBE">
        <w:rPr>
          <w:rtl/>
        </w:rPr>
        <w:t xml:space="preserve">ליתר ביאור: </w:t>
      </w:r>
      <w:r w:rsidRPr="00970EBE">
        <w:rPr>
          <w:rFonts w:hint="cs"/>
          <w:rtl/>
        </w:rPr>
        <w:t>מובא בשיחותיו של הרבי</w:t>
      </w:r>
      <w:r w:rsidRPr="00970EBE">
        <w:rPr>
          <w:rtl/>
        </w:rPr>
        <w:t xml:space="preserve"> כו"כ פעמים</w:t>
      </w:r>
      <w:r w:rsidRPr="00970EBE">
        <w:rPr>
          <w:vertAlign w:val="superscript"/>
          <w:rtl/>
        </w:rPr>
        <w:footnoteReference w:id="71"/>
      </w:r>
      <w:r w:rsidRPr="00970EBE">
        <w:rPr>
          <w:rtl/>
        </w:rPr>
        <w:t xml:space="preserve"> על </w:t>
      </w:r>
      <w:r w:rsidRPr="00970EBE">
        <w:rPr>
          <w:rFonts w:hint="cs"/>
          <w:rtl/>
        </w:rPr>
        <w:t>דברי</w:t>
      </w:r>
      <w:r w:rsidRPr="00970EBE">
        <w:rPr>
          <w:rtl/>
        </w:rPr>
        <w:t xml:space="preserve"> </w:t>
      </w:r>
      <w:r w:rsidRPr="00970EBE">
        <w:rPr>
          <w:rFonts w:hint="cs"/>
          <w:rtl/>
        </w:rPr>
        <w:t>ה</w:t>
      </w:r>
      <w:r w:rsidRPr="00970EBE">
        <w:rPr>
          <w:rtl/>
        </w:rPr>
        <w:t>גמ'</w:t>
      </w:r>
      <w:r w:rsidRPr="00970EBE">
        <w:rPr>
          <w:vertAlign w:val="superscript"/>
          <w:rtl/>
        </w:rPr>
        <w:footnoteReference w:id="72"/>
      </w:r>
      <w:r w:rsidRPr="00970EBE">
        <w:rPr>
          <w:rtl/>
        </w:rPr>
        <w:t xml:space="preserve"> שהפסוק</w:t>
      </w:r>
      <w:r w:rsidRPr="00970EBE">
        <w:rPr>
          <w:vertAlign w:val="superscript"/>
          <w:rtl/>
        </w:rPr>
        <w:footnoteReference w:id="73"/>
      </w:r>
      <w:r w:rsidRPr="00970EBE">
        <w:rPr>
          <w:rtl/>
        </w:rPr>
        <w:t xml:space="preserve"> "והיה אמונת עיתיך" וכו' מתייחס לשישה סדרי משנה, ו</w:t>
      </w:r>
      <w:r w:rsidRPr="00970EBE">
        <w:rPr>
          <w:rFonts w:hint="cs"/>
          <w:rtl/>
        </w:rPr>
        <w:t>יוצא ש</w:t>
      </w:r>
      <w:r w:rsidRPr="00970EBE">
        <w:rPr>
          <w:rtl/>
        </w:rPr>
        <w:t xml:space="preserve">המילה אמונה מתייחסת לסדר זרעים. </w:t>
      </w:r>
      <w:r w:rsidRPr="00970EBE">
        <w:rPr>
          <w:rFonts w:hint="cs"/>
          <w:rtl/>
        </w:rPr>
        <w:t xml:space="preserve">ונשאלת השאלה: מהו הקשר בין "אמונה" לסדר זרעים? </w:t>
      </w:r>
      <w:r w:rsidRPr="00970EBE">
        <w:rPr>
          <w:rtl/>
        </w:rPr>
        <w:t>ומביא תוס' מ</w:t>
      </w:r>
      <w:r w:rsidRPr="00970EBE">
        <w:rPr>
          <w:rFonts w:hint="cs"/>
          <w:rtl/>
        </w:rPr>
        <w:t>ה</w:t>
      </w:r>
      <w:r w:rsidRPr="00970EBE">
        <w:rPr>
          <w:rtl/>
        </w:rPr>
        <w:t>ירושלמי שאמונה קשור לסדר זרעים מכיוון ש"מאמין בחי העולמים וזורע"</w:t>
      </w:r>
      <w:r w:rsidRPr="00970EBE">
        <w:rPr>
          <w:rFonts w:hint="cs"/>
          <w:rtl/>
        </w:rPr>
        <w:t>, שיהודי זורע מכיוון שמאמין בקב"ה</w:t>
      </w:r>
      <w:r w:rsidRPr="00970EBE">
        <w:rPr>
          <w:rtl/>
        </w:rPr>
        <w:t>. ונשאלת השאלה: לכאורה האמונה שלו צריכה להתבטא בזה שלא יעשה כלום ורק יתפלל לקב"ה שהתבואה תצמח, במה מתבטאת האמונה בזה שהוא זורע, הרי גם גוי - להבדיל - זורע? ומסביר הרבי שדווקא פה טמונה האמונה הכי גדולה: גם כשהוא זורע שז</w:t>
      </w:r>
      <w:r w:rsidRPr="00970EBE">
        <w:rPr>
          <w:rFonts w:hint="cs"/>
          <w:rtl/>
        </w:rPr>
        <w:t>ו</w:t>
      </w:r>
      <w:r w:rsidRPr="00970EBE">
        <w:rPr>
          <w:rtl/>
        </w:rPr>
        <w:t>ה</w:t>
      </w:r>
      <w:r w:rsidRPr="00970EBE">
        <w:rPr>
          <w:rFonts w:hint="cs"/>
          <w:rtl/>
        </w:rPr>
        <w:t>י</w:t>
      </w:r>
      <w:r w:rsidRPr="00970EBE">
        <w:rPr>
          <w:rtl/>
        </w:rPr>
        <w:t xml:space="preserve"> לכאורה פעולה טבעית</w:t>
      </w:r>
      <w:r w:rsidRPr="00970EBE">
        <w:rPr>
          <w:rFonts w:hint="cs"/>
          <w:rtl/>
        </w:rPr>
        <w:t>,</w:t>
      </w:r>
      <w:r w:rsidRPr="00970EBE">
        <w:rPr>
          <w:rtl/>
        </w:rPr>
        <w:t xml:space="preserve"> </w:t>
      </w:r>
      <w:r w:rsidRPr="00970EBE">
        <w:rPr>
          <w:rFonts w:hint="cs"/>
          <w:rtl/>
        </w:rPr>
        <w:t xml:space="preserve">הוא לא עושה את זה </w:t>
      </w:r>
      <w:r w:rsidRPr="00970EBE">
        <w:rPr>
          <w:rtl/>
        </w:rPr>
        <w:t xml:space="preserve">בגלל שהוא סומך על חוקי הטבע שיצמיחו, אלא אך ורק בגלל שסומך על </w:t>
      </w:r>
      <w:r w:rsidRPr="00970EBE">
        <w:rPr>
          <w:b/>
          <w:bCs/>
          <w:rtl/>
        </w:rPr>
        <w:t>הקב"ה</w:t>
      </w:r>
      <w:r w:rsidRPr="00970EBE">
        <w:rPr>
          <w:rtl/>
        </w:rPr>
        <w:t xml:space="preserve"> שיצמיח את התבואה</w:t>
      </w:r>
      <w:r w:rsidRPr="00970EBE">
        <w:rPr>
          <w:rFonts w:hint="cs"/>
          <w:rtl/>
        </w:rPr>
        <w:t>.</w:t>
      </w:r>
      <w:r w:rsidRPr="00970EBE">
        <w:rPr>
          <w:rtl/>
        </w:rPr>
        <w:t xml:space="preserve"> למרות שר</w:t>
      </w:r>
      <w:r w:rsidRPr="00970EBE">
        <w:rPr>
          <w:rFonts w:hint="cs"/>
          <w:rtl/>
        </w:rPr>
        <w:t>ו</w:t>
      </w:r>
      <w:r w:rsidRPr="00970EBE">
        <w:rPr>
          <w:rtl/>
        </w:rPr>
        <w:t xml:space="preserve">אה </w:t>
      </w:r>
      <w:r w:rsidRPr="00970EBE">
        <w:rPr>
          <w:rFonts w:hint="cs"/>
          <w:rtl/>
        </w:rPr>
        <w:t>שנה אחרי שנה שכשזורעים צומח</w:t>
      </w:r>
      <w:r w:rsidRPr="00970EBE">
        <w:rPr>
          <w:rtl/>
        </w:rPr>
        <w:t xml:space="preserve">, בכל זאת הוא מאמין שמה שגורם לצמיחה זה לא הזריעה אלא </w:t>
      </w:r>
      <w:r w:rsidRPr="00970EBE">
        <w:rPr>
          <w:rFonts w:hint="cs"/>
          <w:rtl/>
        </w:rPr>
        <w:t xml:space="preserve">זה </w:t>
      </w:r>
      <w:r w:rsidRPr="00970EBE">
        <w:rPr>
          <w:rtl/>
        </w:rPr>
        <w:t xml:space="preserve">שהקב"ה רוצה שזה יצמח. </w:t>
      </w:r>
      <w:r w:rsidRPr="00970EBE">
        <w:rPr>
          <w:rFonts w:hint="cs"/>
          <w:rtl/>
        </w:rPr>
        <w:t>מי שחושב שהזרע צומח מצד חוקי הטבע, זה נובע מטעותו שחושב של</w:t>
      </w:r>
      <w:r w:rsidRPr="00970EBE">
        <w:rPr>
          <w:rtl/>
        </w:rPr>
        <w:t>ארץ יש לה מעלה</w:t>
      </w:r>
      <w:r w:rsidRPr="00970EBE">
        <w:rPr>
          <w:rFonts w:hint="cs"/>
          <w:rtl/>
        </w:rPr>
        <w:t xml:space="preserve"> שהיא יכולה להצמיח,</w:t>
      </w:r>
      <w:r w:rsidRPr="00970EBE">
        <w:rPr>
          <w:rtl/>
        </w:rPr>
        <w:t xml:space="preserve"> ולזרע יש מעלה </w:t>
      </w:r>
      <w:r w:rsidRPr="00970EBE">
        <w:rPr>
          <w:rFonts w:hint="cs"/>
          <w:rtl/>
        </w:rPr>
        <w:t>שהוא יכול לצמוח -</w:t>
      </w:r>
      <w:r w:rsidRPr="00970EBE">
        <w:rPr>
          <w:rtl/>
        </w:rPr>
        <w:t xml:space="preserve"> </w:t>
      </w:r>
      <w:r w:rsidRPr="00970EBE">
        <w:rPr>
          <w:b/>
          <w:bCs/>
          <w:rtl/>
        </w:rPr>
        <w:t>ולכן</w:t>
      </w:r>
      <w:r w:rsidRPr="00970EBE">
        <w:rPr>
          <w:rtl/>
        </w:rPr>
        <w:t xml:space="preserve"> </w:t>
      </w:r>
      <w:r w:rsidRPr="00970EBE">
        <w:rPr>
          <w:rFonts w:hint="cs"/>
          <w:rtl/>
        </w:rPr>
        <w:t xml:space="preserve">זה </w:t>
      </w:r>
      <w:r w:rsidRPr="00970EBE">
        <w:rPr>
          <w:rtl/>
        </w:rPr>
        <w:t>צומח</w:t>
      </w:r>
      <w:r w:rsidRPr="00970EBE">
        <w:rPr>
          <w:rFonts w:hint="cs"/>
          <w:rtl/>
        </w:rPr>
        <w:t xml:space="preserve"> </w:t>
      </w:r>
      <w:r w:rsidRPr="00970EBE">
        <w:rPr>
          <w:rtl/>
        </w:rPr>
        <w:t>(</w:t>
      </w:r>
      <w:r w:rsidRPr="00970EBE">
        <w:rPr>
          <w:rFonts w:hint="cs"/>
          <w:rtl/>
        </w:rPr>
        <w:t>למרות ש</w:t>
      </w:r>
      <w:r w:rsidRPr="00970EBE">
        <w:rPr>
          <w:rtl/>
        </w:rPr>
        <w:t xml:space="preserve">ודאי </w:t>
      </w:r>
      <w:r w:rsidRPr="00970EBE">
        <w:rPr>
          <w:rFonts w:hint="cs"/>
          <w:rtl/>
        </w:rPr>
        <w:t xml:space="preserve">סובר </w:t>
      </w:r>
      <w:r w:rsidRPr="00970EBE">
        <w:rPr>
          <w:rtl/>
        </w:rPr>
        <w:t>ש</w:t>
      </w:r>
      <w:r w:rsidRPr="00970EBE">
        <w:rPr>
          <w:rFonts w:hint="cs"/>
          <w:rtl/>
        </w:rPr>
        <w:t>מי שנתן להם מעלות אלה זה הקב"ה</w:t>
      </w:r>
      <w:r w:rsidRPr="00970EBE">
        <w:rPr>
          <w:rtl/>
        </w:rPr>
        <w:t>)</w:t>
      </w:r>
      <w:r w:rsidRPr="00970EBE">
        <w:rPr>
          <w:rFonts w:hint="cs"/>
          <w:rtl/>
        </w:rPr>
        <w:t>.</w:t>
      </w:r>
      <w:r w:rsidRPr="00970EBE">
        <w:rPr>
          <w:rtl/>
        </w:rPr>
        <w:t xml:space="preserve"> </w:t>
      </w:r>
      <w:r w:rsidRPr="00970EBE">
        <w:rPr>
          <w:rFonts w:hint="cs"/>
          <w:rtl/>
        </w:rPr>
        <w:t>יהודי זה מאמין שהצמיחה היא לא מצד מעלת הגרעין והקרקע, אלא מצד רצון הקב"ה שרצה שהצמיחה תיפעל ע"י הגרעין והקרקע</w:t>
      </w:r>
      <w:r w:rsidRPr="00970EBE">
        <w:rPr>
          <w:rtl/>
        </w:rPr>
        <w:t xml:space="preserve">. </w:t>
      </w:r>
      <w:r w:rsidRPr="00970EBE">
        <w:rPr>
          <w:rFonts w:hint="cs"/>
          <w:rtl/>
        </w:rPr>
        <w:t>יוצא שזה</w:t>
      </w:r>
      <w:r w:rsidRPr="00970EBE">
        <w:rPr>
          <w:rtl/>
        </w:rPr>
        <w:t xml:space="preserve"> שהוא זורע </w:t>
      </w:r>
      <w:r w:rsidRPr="00970EBE">
        <w:rPr>
          <w:rFonts w:hint="cs"/>
          <w:rtl/>
        </w:rPr>
        <w:t xml:space="preserve">זה </w:t>
      </w:r>
      <w:r w:rsidRPr="00970EBE">
        <w:rPr>
          <w:b/>
          <w:bCs/>
          <w:rtl/>
        </w:rPr>
        <w:t>רק בגלל שזה רצון הקב"ה</w:t>
      </w:r>
      <w:r w:rsidRPr="00970EBE">
        <w:rPr>
          <w:rFonts w:hint="cs"/>
          <w:rtl/>
        </w:rPr>
        <w:t>,</w:t>
      </w:r>
      <w:r w:rsidRPr="00970EBE">
        <w:rPr>
          <w:rtl/>
        </w:rPr>
        <w:t xml:space="preserve"> בדיוק כמו שמניח תפילין </w:t>
      </w:r>
      <w:r w:rsidRPr="00970EBE">
        <w:rPr>
          <w:rFonts w:hint="cs"/>
          <w:rtl/>
        </w:rPr>
        <w:t xml:space="preserve">רק </w:t>
      </w:r>
      <w:r w:rsidRPr="00970EBE">
        <w:rPr>
          <w:rtl/>
        </w:rPr>
        <w:t>בגלל שזה רצון הקב"ה.</w:t>
      </w:r>
    </w:p>
    <w:p w:rsidR="00970EBE" w:rsidRPr="00970EBE" w:rsidRDefault="00970EBE" w:rsidP="00F146A6">
      <w:pPr>
        <w:pStyle w:val="a3"/>
        <w:rPr>
          <w:rFonts w:ascii="Times New Roman" w:hAnsi="Times New Roman" w:cs="Times New Roman"/>
          <w:sz w:val="20"/>
          <w:szCs w:val="20"/>
          <w:rtl/>
        </w:rPr>
      </w:pPr>
      <w:r w:rsidRPr="00970EBE">
        <w:rPr>
          <w:rtl/>
        </w:rPr>
        <w:t xml:space="preserve">ההבדל </w:t>
      </w:r>
      <w:r w:rsidRPr="00970EBE">
        <w:rPr>
          <w:b/>
          <w:bCs/>
          <w:rtl/>
        </w:rPr>
        <w:t>למעשה</w:t>
      </w:r>
      <w:r w:rsidRPr="00970EBE">
        <w:rPr>
          <w:rtl/>
        </w:rPr>
        <w:t xml:space="preserve"> בין ההסתכלות באופן הא' ל</w:t>
      </w:r>
      <w:r w:rsidRPr="00970EBE">
        <w:rPr>
          <w:rFonts w:hint="cs"/>
          <w:rtl/>
        </w:rPr>
        <w:t>הסתכלות ב</w:t>
      </w:r>
      <w:r w:rsidRPr="00970EBE">
        <w:rPr>
          <w:rtl/>
        </w:rPr>
        <w:t>אופן הב': לאופן הא' הוא יעבוד אפילו יותר ממה ש</w:t>
      </w:r>
      <w:r w:rsidRPr="00970EBE">
        <w:rPr>
          <w:rFonts w:hint="cs"/>
          <w:rtl/>
        </w:rPr>
        <w:t>נצרך</w:t>
      </w:r>
      <w:r w:rsidRPr="00970EBE">
        <w:rPr>
          <w:rtl/>
        </w:rPr>
        <w:t xml:space="preserve"> כי בסופו של דבר יש בזה מעלה שלכן זה כלי, ו</w:t>
      </w:r>
      <w:r w:rsidRPr="00970EBE">
        <w:rPr>
          <w:rFonts w:hint="cs"/>
          <w:rtl/>
        </w:rPr>
        <w:t xml:space="preserve">ממילא </w:t>
      </w:r>
      <w:r w:rsidRPr="00970EBE">
        <w:rPr>
          <w:rtl/>
        </w:rPr>
        <w:t xml:space="preserve">אם זה יהיה כלי יותר טוב אז </w:t>
      </w:r>
      <w:r w:rsidRPr="00970EBE">
        <w:rPr>
          <w:rFonts w:hint="cs"/>
          <w:rtl/>
        </w:rPr>
        <w:t>הוא ירוויח יותר;</w:t>
      </w:r>
      <w:r w:rsidRPr="00970EBE">
        <w:rPr>
          <w:rtl/>
        </w:rPr>
        <w:t xml:space="preserve"> משא"כ לפי ההסתכלות באופן הב' שאין בכלי שום מעלה מצד עצמו, הוא לא יעשה שום דבר יותר ממה שמוכרח מצד </w:t>
      </w:r>
      <w:r w:rsidRPr="00970EBE">
        <w:rPr>
          <w:rtl/>
        </w:rPr>
        <w:lastRenderedPageBreak/>
        <w:t>רצון הקב"ה</w:t>
      </w:r>
      <w:r w:rsidRPr="00970EBE">
        <w:rPr>
          <w:vertAlign w:val="superscript"/>
          <w:rtl/>
        </w:rPr>
        <w:footnoteReference w:id="74"/>
      </w:r>
      <w:r w:rsidRPr="00970EBE">
        <w:rPr>
          <w:rFonts w:hint="cs"/>
          <w:rtl/>
        </w:rPr>
        <w:t>.</w:t>
      </w:r>
    </w:p>
    <w:p w:rsidR="00970EBE" w:rsidRPr="00970EBE" w:rsidRDefault="00970EBE" w:rsidP="00F146A6">
      <w:pPr>
        <w:pStyle w:val="11"/>
        <w:bidi/>
        <w:rPr>
          <w:rFonts w:ascii="Times New Roman" w:hAnsi="Times New Roman" w:cs="Times New Roman"/>
          <w:rtl/>
        </w:rPr>
      </w:pPr>
      <w:r w:rsidRPr="00970EBE">
        <w:rPr>
          <w:rtl/>
        </w:rPr>
        <w:t>ג.</w:t>
      </w:r>
    </w:p>
    <w:p w:rsidR="00970EBE" w:rsidRPr="00970EBE" w:rsidRDefault="00970EBE" w:rsidP="00F146A6">
      <w:pPr>
        <w:pStyle w:val="11"/>
        <w:bidi/>
      </w:pPr>
      <w:r w:rsidRPr="00970EBE">
        <w:rPr>
          <w:rFonts w:hint="cs"/>
          <w:rtl/>
        </w:rPr>
        <w:t>הסברת המאמר לפ"ז, וביאור ההדגשה 'בעלי בחירה' בנוגע לכו"מ</w:t>
      </w:r>
    </w:p>
    <w:p w:rsidR="00970EBE" w:rsidRPr="00970EBE" w:rsidRDefault="00970EBE" w:rsidP="00F146A6">
      <w:pPr>
        <w:pStyle w:val="a3"/>
        <w:rPr>
          <w:rFonts w:ascii="Times New Roman" w:hAnsi="Times New Roman" w:cs="Times New Roman"/>
          <w:sz w:val="20"/>
          <w:szCs w:val="20"/>
        </w:rPr>
      </w:pPr>
      <w:r w:rsidRPr="00970EBE">
        <w:rPr>
          <w:rtl/>
        </w:rPr>
        <w:t>מכל זה יובן גם בנוגע להמבואר במהמאמר:</w:t>
      </w:r>
    </w:p>
    <w:p w:rsidR="00970EBE" w:rsidRPr="00970EBE" w:rsidRDefault="00970EBE" w:rsidP="00F146A6">
      <w:pPr>
        <w:pStyle w:val="a3"/>
        <w:rPr>
          <w:rFonts w:ascii="Times New Roman" w:hAnsi="Times New Roman" w:cs="Times New Roman"/>
          <w:sz w:val="20"/>
          <w:szCs w:val="20"/>
          <w:rtl/>
        </w:rPr>
      </w:pPr>
      <w:r w:rsidRPr="00970EBE">
        <w:rPr>
          <w:rtl/>
        </w:rPr>
        <w:t>בפשטות מוסבר</w:t>
      </w:r>
      <w:r w:rsidRPr="00970EBE">
        <w:rPr>
          <w:vertAlign w:val="superscript"/>
          <w:rtl/>
        </w:rPr>
        <w:footnoteReference w:id="75"/>
      </w:r>
      <w:r w:rsidRPr="00970EBE">
        <w:rPr>
          <w:rtl/>
        </w:rPr>
        <w:t xml:space="preserve"> שרק השיטה שאומרת </w:t>
      </w:r>
      <w:r w:rsidRPr="00970EBE">
        <w:rPr>
          <w:rFonts w:hint="cs"/>
          <w:rtl/>
        </w:rPr>
        <w:t>ש</w:t>
      </w:r>
      <w:r w:rsidRPr="00970EBE">
        <w:rPr>
          <w:rtl/>
        </w:rPr>
        <w:t>עזב ה' את הארץ בידי הכוכבים ומזלות</w:t>
      </w:r>
      <w:r w:rsidRPr="00970EBE">
        <w:rPr>
          <w:rFonts w:hint="cs"/>
          <w:rtl/>
        </w:rPr>
        <w:t xml:space="preserve"> (אופן הא' דלעיל)</w:t>
      </w:r>
      <w:r w:rsidRPr="00970EBE">
        <w:rPr>
          <w:rtl/>
        </w:rPr>
        <w:t xml:space="preserve"> נק' </w:t>
      </w:r>
      <w:r w:rsidRPr="00970EBE">
        <w:rPr>
          <w:rFonts w:hint="cs"/>
          <w:rtl/>
        </w:rPr>
        <w:t>'</w:t>
      </w:r>
      <w:r w:rsidRPr="00970EBE">
        <w:rPr>
          <w:rtl/>
        </w:rPr>
        <w:t xml:space="preserve">אלקא דאלקייא', כי רק לפי זה מסבירים שהכוכבים ומזלות הם 'אלקייא' - </w:t>
      </w:r>
      <w:r w:rsidRPr="00970EBE">
        <w:rPr>
          <w:rFonts w:hint="cs"/>
          <w:rtl/>
        </w:rPr>
        <w:t>ש</w:t>
      </w:r>
      <w:r w:rsidRPr="00970EBE">
        <w:rPr>
          <w:rtl/>
        </w:rPr>
        <w:t xml:space="preserve">יש להם </w:t>
      </w:r>
      <w:r w:rsidRPr="00970EBE">
        <w:rPr>
          <w:b/>
          <w:bCs/>
          <w:rtl/>
        </w:rPr>
        <w:t>שליטה</w:t>
      </w:r>
      <w:r w:rsidRPr="00970EBE">
        <w:rPr>
          <w:rtl/>
        </w:rPr>
        <w:t xml:space="preserve">. משא"כ אם אומרים שיש להם רק </w:t>
      </w:r>
      <w:r w:rsidRPr="00970EBE">
        <w:rPr>
          <w:b/>
          <w:bCs/>
          <w:rtl/>
        </w:rPr>
        <w:t>בחירה</w:t>
      </w:r>
      <w:r w:rsidRPr="00970EBE">
        <w:rPr>
          <w:rtl/>
        </w:rPr>
        <w:t xml:space="preserve"> זה לא מייחס להם שום כח וחשיבות ולא קוראים להם 'אלקייא'.</w:t>
      </w:r>
    </w:p>
    <w:p w:rsidR="00970EBE" w:rsidRPr="00970EBE" w:rsidRDefault="00970EBE" w:rsidP="00F146A6">
      <w:pPr>
        <w:pStyle w:val="a3"/>
        <w:rPr>
          <w:rFonts w:ascii="Times New Roman" w:hAnsi="Times New Roman" w:cs="Times New Roman"/>
          <w:sz w:val="20"/>
          <w:szCs w:val="20"/>
          <w:rtl/>
        </w:rPr>
      </w:pPr>
      <w:r w:rsidRPr="00970EBE">
        <w:rPr>
          <w:rtl/>
        </w:rPr>
        <w:t>ומחדש הרבי בסוגריים</w:t>
      </w:r>
      <w:r w:rsidRPr="00970EBE">
        <w:rPr>
          <w:vertAlign w:val="superscript"/>
          <w:rtl/>
        </w:rPr>
        <w:footnoteReference w:id="76"/>
      </w:r>
      <w:r w:rsidRPr="00970EBE">
        <w:rPr>
          <w:rtl/>
        </w:rPr>
        <w:t xml:space="preserve"> שגם לפי אופן זה קוראים להם 'אלקייא', כי עצם זה שאומרים שיש </w:t>
      </w:r>
      <w:r w:rsidRPr="00970EBE">
        <w:rPr>
          <w:rFonts w:hint="cs"/>
          <w:rtl/>
        </w:rPr>
        <w:t>להם מעלה</w:t>
      </w:r>
      <w:r w:rsidRPr="00970EBE">
        <w:rPr>
          <w:rtl/>
        </w:rPr>
        <w:t xml:space="preserve"> </w:t>
      </w:r>
      <w:r w:rsidRPr="00970EBE">
        <w:rPr>
          <w:rFonts w:hint="cs"/>
          <w:rtl/>
        </w:rPr>
        <w:t xml:space="preserve">ומצד זה </w:t>
      </w:r>
      <w:r w:rsidRPr="00970EBE">
        <w:rPr>
          <w:rtl/>
        </w:rPr>
        <w:t>הקב"ה בחר בהם להעביר את השפע לעולם (</w:t>
      </w:r>
      <w:r w:rsidRPr="00970EBE">
        <w:rPr>
          <w:rFonts w:hint="cs"/>
          <w:rtl/>
        </w:rPr>
        <w:t>"</w:t>
      </w:r>
      <w:r w:rsidRPr="00970EBE">
        <w:rPr>
          <w:rtl/>
        </w:rPr>
        <w:t>ממגד תבואות שמש</w:t>
      </w:r>
      <w:r w:rsidRPr="00970EBE">
        <w:rPr>
          <w:rFonts w:hint="cs"/>
          <w:rtl/>
        </w:rPr>
        <w:t>"</w:t>
      </w:r>
      <w:r w:rsidRPr="00970EBE">
        <w:rPr>
          <w:rtl/>
        </w:rPr>
        <w:t>)</w:t>
      </w:r>
      <w:r w:rsidRPr="00970EBE">
        <w:rPr>
          <w:rFonts w:hint="cs"/>
          <w:rtl/>
        </w:rPr>
        <w:t xml:space="preserve"> </w:t>
      </w:r>
      <w:r w:rsidRPr="00970EBE">
        <w:rPr>
          <w:rtl/>
        </w:rPr>
        <w:t>- זה כבר נק' 'אלקייא' (אופן הב' דלעיל).</w:t>
      </w:r>
    </w:p>
    <w:p w:rsidR="00970EBE" w:rsidRPr="00970EBE" w:rsidRDefault="00970EBE" w:rsidP="00F146A6">
      <w:pPr>
        <w:pStyle w:val="a3"/>
        <w:rPr>
          <w:rFonts w:ascii="Times New Roman" w:hAnsi="Times New Roman" w:cs="Times New Roman"/>
          <w:sz w:val="20"/>
          <w:szCs w:val="20"/>
          <w:rtl/>
        </w:rPr>
      </w:pPr>
      <w:r w:rsidRPr="00970EBE">
        <w:rPr>
          <w:rtl/>
        </w:rPr>
        <w:t>אלא ש</w:t>
      </w:r>
      <w:r w:rsidRPr="00970EBE">
        <w:rPr>
          <w:rFonts w:hint="cs"/>
          <w:rtl/>
        </w:rPr>
        <w:t>במאמר מדגיש פרט זה שה</w:t>
      </w:r>
      <w:r w:rsidRPr="00970EBE">
        <w:rPr>
          <w:rtl/>
        </w:rPr>
        <w:t xml:space="preserve">כוכבים ומזלות הם </w:t>
      </w:r>
      <w:r w:rsidRPr="00970EBE">
        <w:rPr>
          <w:b/>
          <w:bCs/>
          <w:rtl/>
        </w:rPr>
        <w:t>בעלי בחירה</w:t>
      </w:r>
      <w:r w:rsidRPr="00970EBE">
        <w:rPr>
          <w:rtl/>
        </w:rPr>
        <w:t>, והביאור</w:t>
      </w:r>
      <w:r w:rsidRPr="00970EBE">
        <w:rPr>
          <w:rFonts w:hint="cs"/>
          <w:rtl/>
        </w:rPr>
        <w:t xml:space="preserve"> בזה</w:t>
      </w:r>
      <w:r w:rsidRPr="00970EBE">
        <w:rPr>
          <w:rtl/>
        </w:rPr>
        <w:t>:</w:t>
      </w:r>
    </w:p>
    <w:p w:rsidR="007907A8" w:rsidRDefault="00970EBE" w:rsidP="00F146A6">
      <w:pPr>
        <w:pStyle w:val="a3"/>
        <w:rPr>
          <w:rtl/>
        </w:rPr>
      </w:pPr>
      <w:r w:rsidRPr="00970EBE">
        <w:rPr>
          <w:rtl/>
        </w:rPr>
        <w:t>מכיוון שהכוכבים ומזלות הם בעלי דיעה והשכל כפי ש</w:t>
      </w:r>
      <w:r w:rsidRPr="00970EBE">
        <w:rPr>
          <w:rFonts w:hint="cs"/>
          <w:rtl/>
        </w:rPr>
        <w:t>כותב</w:t>
      </w:r>
      <w:r w:rsidRPr="00970EBE">
        <w:rPr>
          <w:rtl/>
        </w:rPr>
        <w:t xml:space="preserve"> הרמב"ם</w:t>
      </w:r>
      <w:r w:rsidRPr="00970EBE">
        <w:rPr>
          <w:vertAlign w:val="superscript"/>
          <w:rtl/>
        </w:rPr>
        <w:footnoteReference w:id="77"/>
      </w:r>
      <w:r w:rsidRPr="00970EBE">
        <w:rPr>
          <w:rFonts w:hint="cs"/>
          <w:rtl/>
        </w:rPr>
        <w:t>,</w:t>
      </w:r>
      <w:r w:rsidRPr="00970EBE">
        <w:rPr>
          <w:rtl/>
        </w:rPr>
        <w:t xml:space="preserve"> ממילא </w:t>
      </w:r>
      <w:r w:rsidRPr="00970EBE">
        <w:rPr>
          <w:rFonts w:hint="cs"/>
          <w:rtl/>
        </w:rPr>
        <w:t>כש</w:t>
      </w:r>
      <w:r w:rsidRPr="00970EBE">
        <w:rPr>
          <w:rtl/>
        </w:rPr>
        <w:t xml:space="preserve">אומרים שההשפעה עוברת דרכם מצד המעלה שלהם, </w:t>
      </w:r>
      <w:r w:rsidRPr="00970EBE">
        <w:rPr>
          <w:rFonts w:hint="cs"/>
          <w:rtl/>
        </w:rPr>
        <w:t>מוכרח גם לומר שהם ישפיעו בבחירתם הם,</w:t>
      </w:r>
      <w:r w:rsidRPr="00970EBE">
        <w:rPr>
          <w:rtl/>
        </w:rPr>
        <w:t xml:space="preserve"> כי אם מכריחים אותם </w:t>
      </w:r>
      <w:r w:rsidRPr="00970EBE">
        <w:rPr>
          <w:rFonts w:hint="cs"/>
          <w:rtl/>
        </w:rPr>
        <w:t xml:space="preserve">להשפיע </w:t>
      </w:r>
      <w:r w:rsidRPr="00970EBE">
        <w:rPr>
          <w:rtl/>
        </w:rPr>
        <w:t>זה לא נחשב ש</w:t>
      </w:r>
      <w:r w:rsidRPr="00970EBE">
        <w:rPr>
          <w:b/>
          <w:bCs/>
          <w:rtl/>
        </w:rPr>
        <w:t>הם</w:t>
      </w:r>
      <w:r w:rsidRPr="00970EBE">
        <w:rPr>
          <w:rtl/>
        </w:rPr>
        <w:t xml:space="preserve"> עושים את זה</w:t>
      </w:r>
      <w:r w:rsidRPr="00970EBE">
        <w:rPr>
          <w:rFonts w:hint="cs"/>
          <w:rtl/>
        </w:rPr>
        <w:t>.</w:t>
      </w:r>
      <w:r w:rsidRPr="00970EBE">
        <w:rPr>
          <w:rtl/>
        </w:rPr>
        <w:t xml:space="preserve"> וע"ד </w:t>
      </w:r>
      <w:r w:rsidRPr="00970EBE">
        <w:rPr>
          <w:rFonts w:hint="cs"/>
          <w:rtl/>
        </w:rPr>
        <w:t xml:space="preserve">דוגמא, </w:t>
      </w:r>
      <w:r w:rsidRPr="00970EBE">
        <w:rPr>
          <w:rtl/>
        </w:rPr>
        <w:t>ראובן ש</w:t>
      </w:r>
      <w:r w:rsidRPr="00970EBE">
        <w:rPr>
          <w:rFonts w:hint="cs"/>
          <w:rtl/>
        </w:rPr>
        <w:t>מ</w:t>
      </w:r>
      <w:r w:rsidRPr="00970EBE">
        <w:rPr>
          <w:rtl/>
        </w:rPr>
        <w:t>חזיק</w:t>
      </w:r>
      <w:r w:rsidRPr="00970EBE">
        <w:rPr>
          <w:rFonts w:hint="cs"/>
          <w:rtl/>
        </w:rPr>
        <w:t xml:space="preserve"> בכח</w:t>
      </w:r>
      <w:r w:rsidRPr="00970EBE">
        <w:rPr>
          <w:rtl/>
        </w:rPr>
        <w:t xml:space="preserve"> את יד</w:t>
      </w:r>
      <w:r w:rsidRPr="00970EBE">
        <w:rPr>
          <w:rFonts w:hint="cs"/>
          <w:rtl/>
        </w:rPr>
        <w:t>ו</w:t>
      </w:r>
      <w:r w:rsidRPr="00970EBE">
        <w:rPr>
          <w:rtl/>
        </w:rPr>
        <w:t xml:space="preserve"> של שמעון וישבור כוס</w:t>
      </w:r>
      <w:r w:rsidRPr="00970EBE">
        <w:rPr>
          <w:rFonts w:hint="cs"/>
          <w:rtl/>
        </w:rPr>
        <w:t>,</w:t>
      </w:r>
      <w:r w:rsidRPr="00970EBE">
        <w:rPr>
          <w:rtl/>
        </w:rPr>
        <w:t xml:space="preserve"> </w:t>
      </w:r>
      <w:r w:rsidRPr="00970EBE">
        <w:rPr>
          <w:rFonts w:hint="cs"/>
          <w:rtl/>
        </w:rPr>
        <w:t>א"א לומר ששבירת הכוס מתייחסת לשמעון (ולכן ברור שהוא לא יתחייב בנזקים);</w:t>
      </w:r>
      <w:r w:rsidRPr="00970EBE">
        <w:rPr>
          <w:rtl/>
        </w:rPr>
        <w:t xml:space="preserve"> כי בעל בחירה </w:t>
      </w:r>
      <w:r w:rsidRPr="00970EBE">
        <w:rPr>
          <w:rFonts w:hint="cs"/>
          <w:rtl/>
        </w:rPr>
        <w:t>שהכריחו אותו לעשות מעשה שאופן ש</w:t>
      </w:r>
      <w:r w:rsidRPr="00970EBE">
        <w:rPr>
          <w:rtl/>
        </w:rPr>
        <w:t xml:space="preserve">נטלו ממנו את זכות הבחירה, הפעולה לא מתייחסת אליו. ולכן </w:t>
      </w:r>
      <w:r w:rsidRPr="00970EBE">
        <w:rPr>
          <w:rFonts w:hint="cs"/>
          <w:rtl/>
        </w:rPr>
        <w:t>אם אומרים ב</w:t>
      </w:r>
      <w:r w:rsidRPr="00970EBE">
        <w:rPr>
          <w:rtl/>
        </w:rPr>
        <w:t xml:space="preserve">כוכבים ומזלות אם שההשפעה עוברת דרכם מצד </w:t>
      </w:r>
      <w:r w:rsidRPr="00970EBE">
        <w:rPr>
          <w:b/>
          <w:bCs/>
          <w:rtl/>
        </w:rPr>
        <w:t>המעלה</w:t>
      </w:r>
      <w:r w:rsidRPr="00970EBE">
        <w:rPr>
          <w:rtl/>
        </w:rPr>
        <w:t xml:space="preserve"> שלהם</w:t>
      </w:r>
      <w:r w:rsidRPr="00970EBE">
        <w:rPr>
          <w:rFonts w:hint="cs"/>
          <w:rtl/>
        </w:rPr>
        <w:t>,</w:t>
      </w:r>
      <w:r w:rsidRPr="00970EBE">
        <w:rPr>
          <w:rtl/>
        </w:rPr>
        <w:t xml:space="preserve"> </w:t>
      </w:r>
      <w:r w:rsidRPr="00970EBE">
        <w:rPr>
          <w:rFonts w:hint="cs"/>
          <w:rtl/>
        </w:rPr>
        <w:t xml:space="preserve">מוכרח לומר </w:t>
      </w:r>
      <w:r w:rsidRPr="00970EBE">
        <w:rPr>
          <w:rtl/>
        </w:rPr>
        <w:t>שהם בחרו בזה</w:t>
      </w:r>
      <w:r w:rsidRPr="00970EBE">
        <w:rPr>
          <w:rFonts w:hint="cs"/>
          <w:rtl/>
        </w:rPr>
        <w:t>. אבל עיקר ההדגשה זה המעלה שלהם כדלעיל</w:t>
      </w:r>
      <w:r w:rsidRPr="00970EBE">
        <w:rPr>
          <w:rtl/>
        </w:rPr>
        <w:t>.</w:t>
      </w:r>
    </w:p>
    <w:p w:rsidR="00970EBE" w:rsidRPr="00970EBE" w:rsidRDefault="007907A8" w:rsidP="00235D91">
      <w:pPr>
        <w:pStyle w:val="11"/>
        <w:rPr>
          <w:rFonts w:ascii="Times New Roman" w:hAnsi="Times New Roman" w:cs="Times New Roman"/>
          <w:rtl/>
        </w:rPr>
      </w:pPr>
      <w:r>
        <w:rPr>
          <w:rtl/>
        </w:rPr>
        <w:br w:type="page"/>
      </w:r>
      <w:r w:rsidR="00970EBE" w:rsidRPr="00970EBE">
        <w:rPr>
          <w:rtl/>
        </w:rPr>
        <w:lastRenderedPageBreak/>
        <w:t>ד.</w:t>
      </w:r>
    </w:p>
    <w:p w:rsidR="00970EBE" w:rsidRPr="00970EBE" w:rsidRDefault="00970EBE" w:rsidP="00F146A6">
      <w:pPr>
        <w:pStyle w:val="11"/>
      </w:pPr>
      <w:r w:rsidRPr="00970EBE">
        <w:rPr>
          <w:rFonts w:hint="cs"/>
          <w:rtl/>
        </w:rPr>
        <w:t>ביאור הרבי על עונשם של ישראל בזמן גזירת המן</w:t>
      </w:r>
    </w:p>
    <w:p w:rsidR="00970EBE" w:rsidRPr="00970EBE" w:rsidRDefault="00970EBE" w:rsidP="00F146A6">
      <w:pPr>
        <w:pStyle w:val="a3"/>
        <w:rPr>
          <w:rFonts w:ascii="Times New Roman" w:hAnsi="Times New Roman" w:cs="Times New Roman"/>
          <w:sz w:val="20"/>
          <w:szCs w:val="20"/>
        </w:rPr>
      </w:pPr>
      <w:r w:rsidRPr="00970EBE">
        <w:rPr>
          <w:rtl/>
        </w:rPr>
        <w:t>והנה, בלקו"ש חל"א</w:t>
      </w:r>
      <w:r w:rsidRPr="00970EBE">
        <w:rPr>
          <w:vertAlign w:val="superscript"/>
          <w:rtl/>
        </w:rPr>
        <w:footnoteReference w:id="78"/>
      </w:r>
      <w:r w:rsidRPr="00970EBE">
        <w:rPr>
          <w:rtl/>
        </w:rPr>
        <w:t xml:space="preserve"> </w:t>
      </w:r>
      <w:r w:rsidRPr="00970EBE">
        <w:rPr>
          <w:rFonts w:hint="cs"/>
          <w:rtl/>
        </w:rPr>
        <w:t>שואל</w:t>
      </w:r>
      <w:r w:rsidRPr="00970EBE">
        <w:rPr>
          <w:rtl/>
        </w:rPr>
        <w:t xml:space="preserve"> הרבי </w:t>
      </w:r>
      <w:r w:rsidRPr="00970EBE">
        <w:rPr>
          <w:rFonts w:hint="cs"/>
          <w:rtl/>
        </w:rPr>
        <w:t>על דברי הגמ' ש</w:t>
      </w:r>
      <w:r w:rsidRPr="00970EBE">
        <w:rPr>
          <w:rtl/>
        </w:rPr>
        <w:t xml:space="preserve">חטאם של בנ"י בזמן גזירת המן </w:t>
      </w:r>
      <w:r w:rsidRPr="00970EBE">
        <w:rPr>
          <w:rFonts w:hint="cs"/>
          <w:rtl/>
        </w:rPr>
        <w:t xml:space="preserve">היה </w:t>
      </w:r>
      <w:r w:rsidRPr="00970EBE">
        <w:rPr>
          <w:rtl/>
        </w:rPr>
        <w:t>שנהנו מסעודתו של אותו רשע שלכן התחייב כל הדור כלי' ר"ל</w:t>
      </w:r>
      <w:r w:rsidRPr="00970EBE">
        <w:rPr>
          <w:rFonts w:hint="cs"/>
          <w:rtl/>
        </w:rPr>
        <w:t xml:space="preserve">; איך ייתכן שעל </w:t>
      </w:r>
      <w:r w:rsidRPr="00970EBE">
        <w:rPr>
          <w:rtl/>
        </w:rPr>
        <w:t>הנאה מסעודת אחשורוש מגיע עונש כ"כ חמור</w:t>
      </w:r>
      <w:r w:rsidRPr="00970EBE">
        <w:rPr>
          <w:rFonts w:hint="cs"/>
          <w:rtl/>
        </w:rPr>
        <w:t xml:space="preserve"> לכל אותו הדור</w:t>
      </w:r>
      <w:r w:rsidRPr="00970EBE">
        <w:rPr>
          <w:rtl/>
        </w:rPr>
        <w:t>?!</w:t>
      </w:r>
    </w:p>
    <w:p w:rsidR="00970EBE" w:rsidRPr="00970EBE" w:rsidRDefault="00970EBE" w:rsidP="00F146A6">
      <w:pPr>
        <w:pStyle w:val="a3"/>
        <w:rPr>
          <w:rFonts w:ascii="Times New Roman" w:hAnsi="Times New Roman" w:cs="Times New Roman"/>
          <w:sz w:val="20"/>
          <w:szCs w:val="20"/>
          <w:rtl/>
        </w:rPr>
      </w:pPr>
      <w:r w:rsidRPr="00970EBE">
        <w:rPr>
          <w:rtl/>
        </w:rPr>
        <w:t xml:space="preserve">ומסביר הרבי, שגזירת </w:t>
      </w:r>
      <w:r w:rsidRPr="00970EBE">
        <w:rPr>
          <w:rFonts w:hint="cs"/>
          <w:rtl/>
        </w:rPr>
        <w:t>ה</w:t>
      </w:r>
      <w:r w:rsidRPr="00970EBE">
        <w:rPr>
          <w:rtl/>
        </w:rPr>
        <w:t>כלי' לא</w:t>
      </w:r>
      <w:r w:rsidRPr="00970EBE">
        <w:rPr>
          <w:rFonts w:hint="cs"/>
          <w:rtl/>
        </w:rPr>
        <w:t xml:space="preserve"> היתה</w:t>
      </w:r>
      <w:r w:rsidRPr="00970EBE">
        <w:rPr>
          <w:rtl/>
        </w:rPr>
        <w:t xml:space="preserve"> </w:t>
      </w:r>
      <w:r w:rsidRPr="00970EBE">
        <w:rPr>
          <w:b/>
          <w:bCs/>
          <w:rtl/>
        </w:rPr>
        <w:t>עונש</w:t>
      </w:r>
      <w:r w:rsidRPr="00970EBE">
        <w:rPr>
          <w:rtl/>
        </w:rPr>
        <w:t xml:space="preserve"> על השתתפותם בסעודה אלא </w:t>
      </w:r>
      <w:r w:rsidRPr="00970EBE">
        <w:rPr>
          <w:b/>
          <w:bCs/>
          <w:rtl/>
        </w:rPr>
        <w:t>תוצאה טבעית</w:t>
      </w:r>
      <w:r w:rsidRPr="00970EBE">
        <w:rPr>
          <w:rFonts w:hint="cs"/>
          <w:rtl/>
        </w:rPr>
        <w:t xml:space="preserve"> ממעשיהם</w:t>
      </w:r>
      <w:r w:rsidRPr="00970EBE">
        <w:rPr>
          <w:rtl/>
        </w:rPr>
        <w:t>. שהרי חז"ל אומרים</w:t>
      </w:r>
      <w:r w:rsidRPr="00970EBE">
        <w:rPr>
          <w:vertAlign w:val="superscript"/>
          <w:rtl/>
        </w:rPr>
        <w:footnoteReference w:id="79"/>
      </w:r>
      <w:r w:rsidRPr="00970EBE">
        <w:rPr>
          <w:rtl/>
        </w:rPr>
        <w:t xml:space="preserve"> שישראל מש</w:t>
      </w:r>
      <w:r w:rsidRPr="00970EBE">
        <w:rPr>
          <w:rFonts w:hint="cs"/>
          <w:rtl/>
        </w:rPr>
        <w:t>ו</w:t>
      </w:r>
      <w:r w:rsidRPr="00970EBE">
        <w:rPr>
          <w:rtl/>
        </w:rPr>
        <w:t>לים לכבשה בין שבעים זאבים וגדול הרועה (הקב"ה) שמצילה ושומרה</w:t>
      </w:r>
      <w:r w:rsidRPr="00970EBE">
        <w:rPr>
          <w:rFonts w:hint="cs"/>
          <w:rtl/>
        </w:rPr>
        <w:t>;</w:t>
      </w:r>
      <w:r w:rsidRPr="00970EBE">
        <w:rPr>
          <w:rtl/>
        </w:rPr>
        <w:t xml:space="preserve"> היינו שעצם קיומם של עם ישראל זה נס, ולולא הרועה שמצילה ושומרה, המצב הטבעי הוא שהזאבים טורפים את הכבשה היל"ת.</w:t>
      </w:r>
    </w:p>
    <w:p w:rsidR="00970EBE" w:rsidRPr="00970EBE" w:rsidRDefault="00970EBE" w:rsidP="00F146A6">
      <w:pPr>
        <w:pStyle w:val="a3"/>
        <w:rPr>
          <w:rFonts w:ascii="Times New Roman" w:hAnsi="Times New Roman" w:cs="Times New Roman"/>
          <w:sz w:val="20"/>
          <w:szCs w:val="20"/>
          <w:rtl/>
        </w:rPr>
      </w:pPr>
      <w:r w:rsidRPr="00970EBE">
        <w:rPr>
          <w:rtl/>
        </w:rPr>
        <w:t>ו</w:t>
      </w:r>
      <w:r w:rsidRPr="00970EBE">
        <w:rPr>
          <w:rFonts w:hint="cs"/>
          <w:rtl/>
        </w:rPr>
        <w:t>מזה מובן ש</w:t>
      </w:r>
      <w:r w:rsidRPr="00970EBE">
        <w:rPr>
          <w:rtl/>
        </w:rPr>
        <w:t xml:space="preserve">התוצאה הטבעית של עם ישראל בזמן גזירת המן הוא כלי' ר"ל. כי </w:t>
      </w:r>
      <w:r w:rsidRPr="00970EBE">
        <w:rPr>
          <w:rFonts w:hint="cs"/>
          <w:rtl/>
        </w:rPr>
        <w:t>גזירת הכלי'</w:t>
      </w:r>
      <w:r w:rsidRPr="00970EBE">
        <w:rPr>
          <w:rtl/>
        </w:rPr>
        <w:t xml:space="preserve"> לא </w:t>
      </w:r>
      <w:r w:rsidRPr="00970EBE">
        <w:rPr>
          <w:rFonts w:hint="cs"/>
          <w:rtl/>
        </w:rPr>
        <w:t xml:space="preserve">היתה על </w:t>
      </w:r>
      <w:r w:rsidRPr="00970EBE">
        <w:rPr>
          <w:rtl/>
        </w:rPr>
        <w:t>עצם השתתפות</w:t>
      </w:r>
      <w:r w:rsidRPr="00970EBE">
        <w:rPr>
          <w:rFonts w:hint="cs"/>
          <w:rtl/>
        </w:rPr>
        <w:t>ם</w:t>
      </w:r>
      <w:r w:rsidRPr="00970EBE">
        <w:rPr>
          <w:rtl/>
        </w:rPr>
        <w:t xml:space="preserve"> בסעודה (או אכילת המאכלים הלא כשרים </w:t>
      </w:r>
      <w:r w:rsidRPr="00970EBE">
        <w:rPr>
          <w:rFonts w:hint="cs"/>
          <w:rtl/>
        </w:rPr>
        <w:t>כדמשמע מהמדרשים</w:t>
      </w:r>
      <w:r w:rsidRPr="00970EBE">
        <w:rPr>
          <w:vertAlign w:val="superscript"/>
          <w:rtl/>
        </w:rPr>
        <w:footnoteReference w:id="80"/>
      </w:r>
      <w:r w:rsidRPr="00970EBE">
        <w:rPr>
          <w:rtl/>
        </w:rPr>
        <w:t xml:space="preserve">), אלא בגלל עצם ההנאה </w:t>
      </w:r>
      <w:r w:rsidRPr="00970EBE">
        <w:rPr>
          <w:rFonts w:hint="cs"/>
          <w:rtl/>
        </w:rPr>
        <w:t>מזה שאחשורוש</w:t>
      </w:r>
      <w:r w:rsidRPr="00970EBE">
        <w:rPr>
          <w:rtl/>
        </w:rPr>
        <w:t xml:space="preserve"> ה</w:t>
      </w:r>
      <w:r w:rsidRPr="00970EBE">
        <w:rPr>
          <w:rFonts w:hint="cs"/>
          <w:rtl/>
        </w:rPr>
        <w:t>ז</w:t>
      </w:r>
      <w:r w:rsidRPr="00970EBE">
        <w:rPr>
          <w:rtl/>
        </w:rPr>
        <w:t xml:space="preserve">מינם לסעודתו, כי </w:t>
      </w:r>
      <w:r w:rsidRPr="00970EBE">
        <w:rPr>
          <w:rFonts w:hint="cs"/>
          <w:rtl/>
        </w:rPr>
        <w:t>הנאתם מה</w:t>
      </w:r>
      <w:r w:rsidRPr="00970EBE">
        <w:rPr>
          <w:rtl/>
        </w:rPr>
        <w:t xml:space="preserve">סעודה מראה שהם מחשיבים את אחשורוש למציאות עד כדי </w:t>
      </w:r>
      <w:r w:rsidRPr="00970EBE">
        <w:rPr>
          <w:rFonts w:hint="cs"/>
          <w:rtl/>
        </w:rPr>
        <w:t>להחשיב את ההזמנה לכבוד בשבילם;</w:t>
      </w:r>
      <w:r w:rsidRPr="00970EBE">
        <w:rPr>
          <w:rtl/>
        </w:rPr>
        <w:t xml:space="preserve"> ולכן התוצאה הטבעית של </w:t>
      </w:r>
      <w:r w:rsidRPr="00970EBE">
        <w:rPr>
          <w:rFonts w:hint="cs"/>
          <w:rtl/>
        </w:rPr>
        <w:t>החשבת</w:t>
      </w:r>
      <w:r w:rsidRPr="00970EBE">
        <w:rPr>
          <w:rtl/>
        </w:rPr>
        <w:t xml:space="preserve"> הזאבים </w:t>
      </w:r>
      <w:r w:rsidRPr="00970EBE">
        <w:rPr>
          <w:rFonts w:hint="cs"/>
          <w:rtl/>
        </w:rPr>
        <w:t>היא ש</w:t>
      </w:r>
      <w:r w:rsidRPr="00970EBE">
        <w:rPr>
          <w:rtl/>
        </w:rPr>
        <w:t>הרועה לא שומר עליהם, ולכ</w:t>
      </w:r>
      <w:r w:rsidRPr="00970EBE">
        <w:rPr>
          <w:rFonts w:hint="cs"/>
          <w:rtl/>
        </w:rPr>
        <w:t>ן</w:t>
      </w:r>
      <w:r w:rsidRPr="00970EBE">
        <w:rPr>
          <w:rtl/>
        </w:rPr>
        <w:t xml:space="preserve"> מגיע מזה כלי'. ע"כ בקצרה.</w:t>
      </w:r>
    </w:p>
    <w:p w:rsidR="00970EBE" w:rsidRPr="00970EBE" w:rsidRDefault="00970EBE" w:rsidP="00F146A6">
      <w:pPr>
        <w:pStyle w:val="11"/>
        <w:bidi/>
        <w:rPr>
          <w:rFonts w:ascii="Times New Roman" w:hAnsi="Times New Roman" w:cs="Times New Roman"/>
          <w:rtl/>
        </w:rPr>
      </w:pPr>
      <w:r w:rsidRPr="00970EBE">
        <w:rPr>
          <w:rtl/>
        </w:rPr>
        <w:t>ה.</w:t>
      </w:r>
    </w:p>
    <w:p w:rsidR="00970EBE" w:rsidRPr="00970EBE" w:rsidRDefault="00970EBE" w:rsidP="00F146A6">
      <w:pPr>
        <w:pStyle w:val="11"/>
        <w:bidi/>
        <w:rPr>
          <w:rtl/>
        </w:rPr>
      </w:pPr>
      <w:r w:rsidRPr="00970EBE">
        <w:rPr>
          <w:rFonts w:hint="cs"/>
          <w:rtl/>
        </w:rPr>
        <w:t>המשך השיחה בנוגע לשתי ההסתכלויות על הטבע והשוואה למבואר לעיל במאמר ביום עשתי עשר</w:t>
      </w:r>
    </w:p>
    <w:p w:rsidR="00970EBE" w:rsidRPr="00970EBE" w:rsidRDefault="00970EBE" w:rsidP="00F146A6">
      <w:pPr>
        <w:pStyle w:val="a3"/>
        <w:rPr>
          <w:rFonts w:ascii="Times New Roman" w:hAnsi="Times New Roman" w:cs="Times New Roman"/>
          <w:sz w:val="20"/>
          <w:szCs w:val="20"/>
          <w:rtl/>
        </w:rPr>
      </w:pPr>
      <w:r w:rsidRPr="00970EBE">
        <w:rPr>
          <w:rtl/>
        </w:rPr>
        <w:t>וממשיך הרבי בס"ד וז"ל:</w:t>
      </w:r>
    </w:p>
    <w:p w:rsidR="00970EBE" w:rsidRPr="00970EBE" w:rsidRDefault="00970EBE" w:rsidP="00F146A6">
      <w:pPr>
        <w:pStyle w:val="a3"/>
        <w:rPr>
          <w:rFonts w:ascii="Times New Roman" w:hAnsi="Times New Roman" w:cs="Times New Roman"/>
          <w:sz w:val="20"/>
          <w:szCs w:val="20"/>
          <w:rtl/>
        </w:rPr>
      </w:pPr>
      <w:r w:rsidRPr="00970EBE">
        <w:rPr>
          <w:rtl/>
        </w:rPr>
        <w:t>"ליתר ביאור ובהקדמה:</w:t>
      </w:r>
      <w:r w:rsidRPr="00970EBE">
        <w:rPr>
          <w:rFonts w:ascii="Cambria" w:hAnsi="Cambria" w:cs="Cambria" w:hint="cs"/>
          <w:rtl/>
        </w:rPr>
        <w:t> </w:t>
      </w:r>
    </w:p>
    <w:p w:rsidR="00970EBE" w:rsidRPr="00970EBE" w:rsidRDefault="00970EBE" w:rsidP="00F146A6">
      <w:pPr>
        <w:pStyle w:val="a3"/>
        <w:rPr>
          <w:rFonts w:ascii="Times New Roman" w:hAnsi="Times New Roman" w:cs="Times New Roman"/>
          <w:sz w:val="20"/>
          <w:szCs w:val="20"/>
          <w:rtl/>
        </w:rPr>
      </w:pPr>
      <w:r w:rsidRPr="00970EBE">
        <w:rPr>
          <w:rtl/>
        </w:rPr>
        <w:t>ידוע מה שאמרו חז"ל ״דאין סומכין על הנס, והתורה אמרה: ״וברכך ה״א בכל אשר תעשה״ דוקא - דאף ש״ברכת ה׳ היא תעשיר״, מ״מ אין ברכה זו חלה על האדם כאשר הוא יושב ״בטל״ אלא מוטלת עליו החובה לעשות דבר מה עבור פרנסתו, ״אשר תעשה״.</w:t>
      </w:r>
    </w:p>
    <w:p w:rsidR="00970EBE" w:rsidRPr="00970EBE" w:rsidRDefault="00970EBE" w:rsidP="00F146A6">
      <w:pPr>
        <w:pStyle w:val="a3"/>
        <w:rPr>
          <w:rFonts w:ascii="Times New Roman" w:hAnsi="Times New Roman" w:cs="Times New Roman"/>
          <w:sz w:val="20"/>
          <w:szCs w:val="20"/>
          <w:rtl/>
        </w:rPr>
      </w:pPr>
      <w:r w:rsidRPr="00970EBE">
        <w:rPr>
          <w:rtl/>
        </w:rPr>
        <w:t xml:space="preserve">אמנם מאידך, עליו לידע ולהכיר שאין מלאכתו אלא עשיית כלי, דהיינו, שהשתדלותו ועשייתו אינם הסיבה והגורם המביא ומזמין לו מזונו ופרנסתו, אלא </w:t>
      </w:r>
      <w:r w:rsidRPr="00970EBE">
        <w:rPr>
          <w:rtl/>
        </w:rPr>
        <w:lastRenderedPageBreak/>
        <w:t>שהם רק ״כלי״ לברכתו של הקב״ה, שבו משפיע לו הקב״ה מזונו ופרנסתו.</w:t>
      </w:r>
    </w:p>
    <w:p w:rsidR="00970EBE" w:rsidRPr="00970EBE" w:rsidRDefault="00970EBE" w:rsidP="00F146A6">
      <w:pPr>
        <w:pStyle w:val="a3"/>
        <w:rPr>
          <w:rFonts w:ascii="Times New Roman" w:hAnsi="Times New Roman" w:cs="Times New Roman"/>
          <w:sz w:val="20"/>
          <w:szCs w:val="20"/>
          <w:rtl/>
        </w:rPr>
      </w:pPr>
      <w:r w:rsidRPr="00970EBE">
        <w:rPr>
          <w:rtl/>
        </w:rPr>
        <w:t>כלומר: הקב״ה רצה שמזונו של אדם יתלבש ויבוא בכלי טבעי, בדרכי הטבע, והטבע - הוא ית׳ קבעו וטבעו בעולם, ולכן ציווה לאדם לעשות כלים טבעיים לפרנסתו, אבל גוף מזונו של האדם הוא רק ״ברכת ה׳״ כנ״ל. ומכיון שכן, אין מקום להחשיב העסק כשלעצמו, מאחר שכל עיקרו אינו אלא כלי שבו שורה ״ברכת ה״׳, ועיקר השתדלות האדם צריכה להיות להכשיר ולעשות את עצמו ראוי ל״ברכת ה׳״.</w:t>
      </w:r>
    </w:p>
    <w:p w:rsidR="00970EBE" w:rsidRPr="00970EBE" w:rsidRDefault="00970EBE" w:rsidP="00F146A6">
      <w:pPr>
        <w:pStyle w:val="a3"/>
        <w:rPr>
          <w:rFonts w:ascii="Times New Roman" w:hAnsi="Times New Roman" w:cs="Times New Roman"/>
          <w:sz w:val="20"/>
          <w:szCs w:val="20"/>
          <w:rtl/>
        </w:rPr>
      </w:pPr>
      <w:r w:rsidRPr="00970EBE">
        <w:rPr>
          <w:rtl/>
        </w:rPr>
        <w:t>ובעומק יותר:</w:t>
      </w:r>
    </w:p>
    <w:p w:rsidR="00970EBE" w:rsidRPr="00970EBE" w:rsidRDefault="00970EBE" w:rsidP="00F146A6">
      <w:pPr>
        <w:pStyle w:val="a3"/>
        <w:rPr>
          <w:rFonts w:ascii="Times New Roman" w:hAnsi="Times New Roman" w:cs="Times New Roman"/>
          <w:sz w:val="20"/>
          <w:szCs w:val="20"/>
          <w:rtl/>
        </w:rPr>
      </w:pPr>
      <w:r w:rsidRPr="00970EBE">
        <w:rPr>
          <w:rtl/>
        </w:rPr>
        <w:t>זה ש״ברכת ה׳ היא תעשיר״ אינו רק משום שמזונו של האדם (הבא לו על ידי עסקיו בדרכי הטבע) תלוי אך ורק בהקב״ה (מנהיג הטבע) - אלא עוד זאת, ועיקר - שבני ישראל אינם נתונים מעיקרא תחת שלטון והנהגת הטבע: וכמבואר בכמה מקומות, שבנ״י מקבלים חיותם משם הוי׳ שלמעלה מן הטבע, והיינו שהוא ית׳ משגיח ומנהיג את כל עניני ישראל בהשגחה מיוחדת ובהנהגה נסית שאינה מוגבלת בחוקי הטבעי״.</w:t>
      </w:r>
    </w:p>
    <w:p w:rsidR="00970EBE" w:rsidRPr="00970EBE" w:rsidRDefault="00970EBE" w:rsidP="00F146A6">
      <w:pPr>
        <w:pStyle w:val="a3"/>
        <w:rPr>
          <w:rFonts w:ascii="Times New Roman" w:hAnsi="Times New Roman" w:cs="Times New Roman"/>
          <w:sz w:val="20"/>
          <w:szCs w:val="20"/>
          <w:rtl/>
        </w:rPr>
      </w:pPr>
      <w:r w:rsidRPr="00970EBE">
        <w:rPr>
          <w:rtl/>
        </w:rPr>
        <w:t>ולפי זה, מה שלקבלת ברכת ה׳ זו צ״ל מעשה האדם (״אשר תעשה״), הוא רק משום שרצה הקב׳׳ה שהנהגה הנסית הזו תעבור על ידי הטבע, ולכן הלביש ״נסים״ אלו בלבושי הטבע, עשי׳ בדרכי הטבע - ״בכל אשר תעשה״. אבל עשי׳ זו היא רק ״לבוש״ חיצוני לגמרי לההשפעה דלמעלה (שמקורה משם הוי׳ שלמעלה מן הטבע).</w:t>
      </w:r>
    </w:p>
    <w:p w:rsidR="00970EBE" w:rsidRPr="00970EBE" w:rsidRDefault="00970EBE" w:rsidP="00F146A6">
      <w:pPr>
        <w:pStyle w:val="a3"/>
        <w:rPr>
          <w:rFonts w:ascii="Times New Roman" w:hAnsi="Times New Roman" w:cs="Times New Roman"/>
          <w:sz w:val="20"/>
          <w:szCs w:val="20"/>
          <w:rtl/>
        </w:rPr>
      </w:pPr>
      <w:r w:rsidRPr="00970EBE">
        <w:rPr>
          <w:rtl/>
        </w:rPr>
        <w:t>[והמחשיב את העסק שלו מבלי להרגיש כדבעי את הענין ד״ברכת ה׳ היא תעשיר״ - למה הדבר דומה? לאדם העוסק במרץ וביגיעת נפש בתפירת כיסים להניח בהם כסף, אבל אינו עושה בעניני עסק להשגת הכסף עצמו...]</w:t>
      </w:r>
      <w:r w:rsidRPr="00970EBE">
        <w:rPr>
          <w:rFonts w:hint="cs"/>
          <w:rtl/>
        </w:rPr>
        <w:t>"</w:t>
      </w:r>
      <w:r w:rsidRPr="00970EBE">
        <w:rPr>
          <w:rtl/>
        </w:rPr>
        <w:t>.</w:t>
      </w:r>
      <w:r w:rsidRPr="00970EBE">
        <w:rPr>
          <w:rFonts w:hint="cs"/>
          <w:rtl/>
        </w:rPr>
        <w:t xml:space="preserve"> עכ"ל להנוגע לענייננו.</w:t>
      </w:r>
    </w:p>
    <w:p w:rsidR="00970EBE" w:rsidRPr="00970EBE" w:rsidRDefault="00970EBE" w:rsidP="00F146A6">
      <w:pPr>
        <w:pStyle w:val="a3"/>
        <w:rPr>
          <w:rtl/>
        </w:rPr>
      </w:pPr>
      <w:r w:rsidRPr="00970EBE">
        <w:rPr>
          <w:rFonts w:hint="cs"/>
          <w:rtl/>
        </w:rPr>
        <w:t>ביאור עניינים אלו, ובהקדמה:</w:t>
      </w:r>
    </w:p>
    <w:p w:rsidR="00970EBE" w:rsidRPr="00970EBE" w:rsidRDefault="00970EBE" w:rsidP="00F146A6">
      <w:pPr>
        <w:pStyle w:val="a3"/>
        <w:rPr>
          <w:rFonts w:ascii="Times New Roman" w:hAnsi="Times New Roman" w:cs="Times New Roman"/>
          <w:sz w:val="20"/>
          <w:szCs w:val="20"/>
          <w:rtl/>
        </w:rPr>
      </w:pPr>
      <w:r w:rsidRPr="00970EBE">
        <w:rPr>
          <w:rtl/>
        </w:rPr>
        <w:t>ידוע מ"ש</w:t>
      </w:r>
      <w:r w:rsidRPr="00970EBE">
        <w:rPr>
          <w:vertAlign w:val="superscript"/>
          <w:rtl/>
        </w:rPr>
        <w:footnoteReference w:id="81"/>
      </w:r>
      <w:r w:rsidRPr="00970EBE">
        <w:rPr>
          <w:rtl/>
        </w:rPr>
        <w:t xml:space="preserve"> "וברכך ה' אלוקיך בכל אשר תעשה", </w:t>
      </w:r>
      <w:r w:rsidRPr="00970EBE">
        <w:rPr>
          <w:rFonts w:hint="cs"/>
          <w:rtl/>
        </w:rPr>
        <w:t>שלא העסק מביא את הפרנסה אלא "</w:t>
      </w:r>
      <w:r w:rsidRPr="00970EBE">
        <w:rPr>
          <w:rtl/>
        </w:rPr>
        <w:t>ברכת ה'</w:t>
      </w:r>
      <w:r w:rsidRPr="00970EBE">
        <w:rPr>
          <w:rFonts w:hint="cs"/>
          <w:rtl/>
        </w:rPr>
        <w:t xml:space="preserve"> היא תעשיר"</w:t>
      </w:r>
      <w:r w:rsidRPr="00970EBE">
        <w:rPr>
          <w:vertAlign w:val="superscript"/>
          <w:rtl/>
        </w:rPr>
        <w:footnoteReference w:id="82"/>
      </w:r>
      <w:r w:rsidRPr="00970EBE">
        <w:rPr>
          <w:rFonts w:hint="cs"/>
          <w:rtl/>
        </w:rPr>
        <w:t>,</w:t>
      </w:r>
      <w:r w:rsidRPr="00970EBE">
        <w:rPr>
          <w:rtl/>
        </w:rPr>
        <w:t xml:space="preserve"> אבל בסופו של דבר צריך לעשות כלי בדרך הטבע – </w:t>
      </w:r>
      <w:r w:rsidRPr="00970EBE">
        <w:rPr>
          <w:rFonts w:hint="cs"/>
          <w:rtl/>
        </w:rPr>
        <w:t>"</w:t>
      </w:r>
      <w:r w:rsidRPr="00970EBE">
        <w:rPr>
          <w:rtl/>
        </w:rPr>
        <w:t xml:space="preserve">בכל אשר </w:t>
      </w:r>
      <w:r w:rsidRPr="00970EBE">
        <w:rPr>
          <w:b/>
          <w:bCs/>
          <w:rtl/>
        </w:rPr>
        <w:t>תעשה</w:t>
      </w:r>
      <w:r w:rsidRPr="00970EBE">
        <w:rPr>
          <w:rFonts w:hint="cs"/>
          <w:rtl/>
        </w:rPr>
        <w:t>"</w:t>
      </w:r>
      <w:r w:rsidRPr="00970EBE">
        <w:rPr>
          <w:rtl/>
        </w:rPr>
        <w:t xml:space="preserve"> דייקא</w:t>
      </w:r>
      <w:r w:rsidRPr="00970EBE">
        <w:rPr>
          <w:vertAlign w:val="superscript"/>
          <w:rtl/>
        </w:rPr>
        <w:footnoteReference w:id="83"/>
      </w:r>
      <w:r w:rsidRPr="00970EBE">
        <w:rPr>
          <w:rtl/>
        </w:rPr>
        <w:t>.</w:t>
      </w:r>
    </w:p>
    <w:p w:rsidR="00970EBE" w:rsidRPr="00970EBE" w:rsidRDefault="00970EBE" w:rsidP="00F146A6">
      <w:pPr>
        <w:pStyle w:val="a3"/>
        <w:rPr>
          <w:rFonts w:ascii="Times New Roman" w:hAnsi="Times New Roman" w:cs="Times New Roman"/>
          <w:sz w:val="20"/>
          <w:szCs w:val="20"/>
          <w:rtl/>
        </w:rPr>
      </w:pPr>
      <w:r w:rsidRPr="00970EBE">
        <w:rPr>
          <w:rtl/>
        </w:rPr>
        <w:t xml:space="preserve">יבוא יהודי ויטען: </w:t>
      </w:r>
      <w:r w:rsidRPr="00970EBE">
        <w:rPr>
          <w:rFonts w:hint="cs"/>
          <w:rtl/>
        </w:rPr>
        <w:t xml:space="preserve">אם </w:t>
      </w:r>
      <w:r w:rsidRPr="00970EBE">
        <w:rPr>
          <w:rtl/>
        </w:rPr>
        <w:t xml:space="preserve">העסק זה סה"כ כלי </w:t>
      </w:r>
      <w:r w:rsidRPr="00970EBE">
        <w:rPr>
          <w:rFonts w:hint="cs"/>
          <w:rtl/>
        </w:rPr>
        <w:t>ומה שמביא את הפרנסה זה אלא</w:t>
      </w:r>
      <w:r w:rsidRPr="00970EBE">
        <w:rPr>
          <w:rtl/>
        </w:rPr>
        <w:t xml:space="preserve"> ברכת ה', אז</w:t>
      </w:r>
      <w:r w:rsidRPr="00970EBE">
        <w:rPr>
          <w:rFonts w:hint="cs"/>
          <w:rtl/>
        </w:rPr>
        <w:t xml:space="preserve"> מה כ"כ משנה באיזה אופן נעשה הכלי?</w:t>
      </w:r>
      <w:r w:rsidRPr="00970EBE">
        <w:rPr>
          <w:rtl/>
        </w:rPr>
        <w:t xml:space="preserve"> הוא יפתח חנות ב</w:t>
      </w:r>
      <w:r w:rsidRPr="00970EBE">
        <w:rPr>
          <w:rFonts w:hint="cs"/>
          <w:rtl/>
        </w:rPr>
        <w:t xml:space="preserve">מקום </w:t>
      </w:r>
      <w:r w:rsidRPr="00970EBE">
        <w:rPr>
          <w:rtl/>
        </w:rPr>
        <w:t>ש</w:t>
      </w:r>
      <w:r w:rsidRPr="00970EBE">
        <w:rPr>
          <w:rFonts w:hint="cs"/>
          <w:rtl/>
        </w:rPr>
        <w:t xml:space="preserve">אין שם </w:t>
      </w:r>
      <w:r w:rsidRPr="00970EBE">
        <w:rPr>
          <w:rtl/>
        </w:rPr>
        <w:t xml:space="preserve">אף </w:t>
      </w:r>
      <w:r w:rsidRPr="00970EBE">
        <w:rPr>
          <w:rFonts w:hint="cs"/>
          <w:rtl/>
        </w:rPr>
        <w:t>אדם</w:t>
      </w:r>
      <w:r w:rsidRPr="00970EBE">
        <w:rPr>
          <w:rtl/>
        </w:rPr>
        <w:t xml:space="preserve"> ויטען הרי עשיתי כלי!</w:t>
      </w:r>
    </w:p>
    <w:p w:rsidR="00970EBE" w:rsidRPr="00970EBE" w:rsidRDefault="00970EBE" w:rsidP="00F146A6">
      <w:pPr>
        <w:pStyle w:val="a3"/>
        <w:rPr>
          <w:rtl/>
        </w:rPr>
      </w:pPr>
      <w:r w:rsidRPr="00970EBE">
        <w:rPr>
          <w:rFonts w:hint="cs"/>
          <w:rtl/>
        </w:rPr>
        <w:t>מובן שטענה זו אינה נכונה.</w:t>
      </w:r>
      <w:r w:rsidRPr="00970EBE">
        <w:rPr>
          <w:rtl/>
        </w:rPr>
        <w:t xml:space="preserve"> </w:t>
      </w:r>
      <w:r w:rsidRPr="00970EBE">
        <w:rPr>
          <w:rFonts w:hint="cs"/>
          <w:rtl/>
        </w:rPr>
        <w:t>אלא ש</w:t>
      </w:r>
      <w:r w:rsidRPr="00970EBE">
        <w:rPr>
          <w:rtl/>
        </w:rPr>
        <w:t xml:space="preserve">ישנם ב' אפשרויות להסביר </w:t>
      </w:r>
      <w:r w:rsidRPr="00970EBE">
        <w:rPr>
          <w:rFonts w:hint="cs"/>
          <w:rtl/>
        </w:rPr>
        <w:t xml:space="preserve">מדוע טענה זו אינה </w:t>
      </w:r>
      <w:r w:rsidRPr="00970EBE">
        <w:rPr>
          <w:rFonts w:hint="cs"/>
          <w:rtl/>
        </w:rPr>
        <w:lastRenderedPageBreak/>
        <w:t>נכונה</w:t>
      </w:r>
      <w:r w:rsidRPr="00970EBE">
        <w:rPr>
          <w:rtl/>
        </w:rPr>
        <w:t>: אפשרות א' היא לומר</w:t>
      </w:r>
      <w:r w:rsidRPr="00970EBE">
        <w:rPr>
          <w:rFonts w:hint="cs"/>
          <w:rtl/>
        </w:rPr>
        <w:t>,</w:t>
      </w:r>
      <w:r w:rsidRPr="00970EBE">
        <w:rPr>
          <w:rtl/>
        </w:rPr>
        <w:t xml:space="preserve"> שכשהקב"ה רוצה כלי בדרך הטבע הכוונה היא שכאן הוא התחשב בחוקי הטבע</w:t>
      </w:r>
      <w:r w:rsidRPr="00970EBE">
        <w:rPr>
          <w:rFonts w:hint="cs"/>
          <w:rtl/>
        </w:rPr>
        <w:t xml:space="preserve"> (כאילו שנאמר שהקב"ה רוצה ש'נשאל את הטבע' איך לעשות כלי),</w:t>
      </w:r>
      <w:r w:rsidRPr="00970EBE">
        <w:rPr>
          <w:rtl/>
        </w:rPr>
        <w:t xml:space="preserve"> ולפתוח חנות במקום שאף אחד לא עובר שם זה לא כלי בדרך הטבע. אפשרות ב' היא לומר</w:t>
      </w:r>
      <w:r w:rsidRPr="00970EBE">
        <w:rPr>
          <w:rFonts w:hint="cs"/>
          <w:rtl/>
        </w:rPr>
        <w:t>,</w:t>
      </w:r>
      <w:r w:rsidRPr="00970EBE">
        <w:rPr>
          <w:rtl/>
        </w:rPr>
        <w:t xml:space="preserve"> ש</w:t>
      </w:r>
      <w:r w:rsidRPr="00970EBE">
        <w:rPr>
          <w:rFonts w:hint="cs"/>
          <w:rtl/>
        </w:rPr>
        <w:t xml:space="preserve">רצון </w:t>
      </w:r>
      <w:r w:rsidRPr="00970EBE">
        <w:rPr>
          <w:rtl/>
        </w:rPr>
        <w:t xml:space="preserve">הקב"ה </w:t>
      </w:r>
      <w:r w:rsidRPr="00970EBE">
        <w:rPr>
          <w:rFonts w:hint="cs"/>
          <w:rtl/>
        </w:rPr>
        <w:t>הוא</w:t>
      </w:r>
      <w:r w:rsidRPr="00970EBE">
        <w:rPr>
          <w:rtl/>
        </w:rPr>
        <w:t xml:space="preserve"> שההשפעה</w:t>
      </w:r>
      <w:r w:rsidRPr="00970EBE">
        <w:rPr>
          <w:rFonts w:hint="cs"/>
          <w:rtl/>
        </w:rPr>
        <w:t xml:space="preserve"> תעבור דרך כלי מסויים - </w:t>
      </w:r>
      <w:r w:rsidRPr="00970EBE">
        <w:rPr>
          <w:rtl/>
        </w:rPr>
        <w:t>חנות שנמצאת במקום שיש אנשים</w:t>
      </w:r>
      <w:r w:rsidRPr="00970EBE">
        <w:rPr>
          <w:rFonts w:hint="cs"/>
          <w:rtl/>
        </w:rPr>
        <w:t>;</w:t>
      </w:r>
      <w:r w:rsidRPr="00970EBE">
        <w:rPr>
          <w:rtl/>
        </w:rPr>
        <w:t xml:space="preserve"> </w:t>
      </w:r>
      <w:r w:rsidRPr="00970EBE">
        <w:rPr>
          <w:rFonts w:hint="cs"/>
          <w:rtl/>
        </w:rPr>
        <w:t>היינו, ש</w:t>
      </w:r>
      <w:r w:rsidRPr="00970EBE">
        <w:rPr>
          <w:rtl/>
        </w:rPr>
        <w:t>הקב"ה רצה דווקא כ</w:t>
      </w:r>
      <w:r w:rsidRPr="00970EBE">
        <w:rPr>
          <w:rFonts w:hint="cs"/>
          <w:rtl/>
        </w:rPr>
        <w:t>ל</w:t>
      </w:r>
      <w:r w:rsidRPr="00970EBE">
        <w:rPr>
          <w:rtl/>
        </w:rPr>
        <w:t xml:space="preserve">י כזה </w:t>
      </w:r>
      <w:r w:rsidRPr="00970EBE">
        <w:rPr>
          <w:b/>
          <w:bCs/>
          <w:rtl/>
        </w:rPr>
        <w:t>ולכן</w:t>
      </w:r>
      <w:r w:rsidRPr="00970EBE">
        <w:rPr>
          <w:rtl/>
        </w:rPr>
        <w:t xml:space="preserve"> זה מה שמביא את הפרנסה, כ</w:t>
      </w:r>
      <w:r w:rsidRPr="00970EBE">
        <w:rPr>
          <w:rFonts w:hint="cs"/>
          <w:rtl/>
        </w:rPr>
        <w:t>פי</w:t>
      </w:r>
      <w:r w:rsidRPr="00970EBE">
        <w:rPr>
          <w:rtl/>
        </w:rPr>
        <w:t xml:space="preserve"> שבאותה מידה הקב"ה היה יכול לרצות כלי אחר - חנות במקום שאין אנשים, שהיה ברור לכל שלא </w:t>
      </w:r>
      <w:r w:rsidRPr="00970EBE">
        <w:rPr>
          <w:rFonts w:hint="cs"/>
          <w:rtl/>
        </w:rPr>
        <w:t xml:space="preserve">הכלי </w:t>
      </w:r>
      <w:r w:rsidRPr="00970EBE">
        <w:rPr>
          <w:rtl/>
        </w:rPr>
        <w:t>מביא את הפרנסה</w:t>
      </w:r>
      <w:r w:rsidRPr="00970EBE">
        <w:rPr>
          <w:rFonts w:hint="cs"/>
          <w:rtl/>
        </w:rPr>
        <w:t xml:space="preserve"> אלא ברכת ה'</w:t>
      </w:r>
      <w:r w:rsidRPr="00970EBE">
        <w:rPr>
          <w:vertAlign w:val="superscript"/>
          <w:rtl/>
        </w:rPr>
        <w:footnoteReference w:id="84"/>
      </w:r>
      <w:r w:rsidRPr="00970EBE">
        <w:rPr>
          <w:rtl/>
        </w:rPr>
        <w:t>.</w:t>
      </w:r>
    </w:p>
    <w:p w:rsidR="00970EBE" w:rsidRPr="00970EBE" w:rsidRDefault="00970EBE" w:rsidP="00F146A6">
      <w:pPr>
        <w:pStyle w:val="a3"/>
        <w:rPr>
          <w:rFonts w:ascii="Times New Roman" w:hAnsi="Times New Roman" w:cs="Times New Roman"/>
          <w:sz w:val="20"/>
          <w:szCs w:val="20"/>
          <w:rtl/>
        </w:rPr>
      </w:pPr>
      <w:r w:rsidRPr="00970EBE">
        <w:rPr>
          <w:rtl/>
        </w:rPr>
        <w:t xml:space="preserve">ישנם עניינים בהם מצד למעלה מלכתחילה לא מתחשבים בחוקי הטבע, לדוגמא זה ששבת היא </w:t>
      </w:r>
      <w:r w:rsidRPr="00970EBE">
        <w:rPr>
          <w:rFonts w:hint="cs"/>
          <w:rtl/>
        </w:rPr>
        <w:t>"</w:t>
      </w:r>
      <w:r w:rsidRPr="00970EBE">
        <w:rPr>
          <w:rtl/>
        </w:rPr>
        <w:t>מקור הברכה</w:t>
      </w:r>
      <w:r w:rsidRPr="00970EBE">
        <w:rPr>
          <w:rFonts w:hint="cs"/>
          <w:rtl/>
        </w:rPr>
        <w:t>"</w:t>
      </w:r>
      <w:r w:rsidRPr="00970EBE">
        <w:rPr>
          <w:vertAlign w:val="superscript"/>
          <w:rtl/>
        </w:rPr>
        <w:footnoteReference w:id="85"/>
      </w:r>
      <w:r w:rsidRPr="00970EBE">
        <w:rPr>
          <w:rtl/>
        </w:rPr>
        <w:t xml:space="preserve"> אע"פ שמצד הטבע יהודי שעובד עוד יום בשבוע מרוויח יותר כסף, אלא הקב"ה מלכתחילה לא נתן בזה מקום לחוקי הטבע; או בנוגע למעשר שאמרו חז"ל</w:t>
      </w:r>
      <w:r w:rsidRPr="00970EBE">
        <w:rPr>
          <w:vertAlign w:val="superscript"/>
          <w:rtl/>
        </w:rPr>
        <w:footnoteReference w:id="86"/>
      </w:r>
      <w:r w:rsidRPr="00970EBE">
        <w:rPr>
          <w:rtl/>
        </w:rPr>
        <w:t xml:space="preserve"> - "עשר בשביל שתתעשר", שמלכתחילה אין נתינת מקום לחוקי הטבע (שהרי זה לא הגיוני מצד חוקי הטבע שמי ש</w:t>
      </w:r>
      <w:r w:rsidRPr="00970EBE">
        <w:rPr>
          <w:rFonts w:hint="cs"/>
          <w:rtl/>
        </w:rPr>
        <w:t xml:space="preserve">יסגור את העסק יום אחד בשבוע או </w:t>
      </w:r>
      <w:r w:rsidRPr="00970EBE">
        <w:rPr>
          <w:rtl/>
        </w:rPr>
        <w:t>ייתן מעשר מרווחיו ירוויח יותר), אבל בנוגע לעניין זה הקב"ה החליט שההנהגה הניסית תעבור דרך חוקי הטבע.</w:t>
      </w:r>
      <w:r w:rsidRPr="00970EBE">
        <w:rPr>
          <w:rFonts w:ascii="Cambria" w:hAnsi="Cambria" w:cs="Cambria" w:hint="cs"/>
          <w:rtl/>
        </w:rPr>
        <w:t> </w:t>
      </w:r>
    </w:p>
    <w:p w:rsidR="00970EBE" w:rsidRPr="00970EBE" w:rsidRDefault="00970EBE" w:rsidP="00F146A6">
      <w:pPr>
        <w:pStyle w:val="a3"/>
        <w:rPr>
          <w:rFonts w:ascii="Times New Roman" w:hAnsi="Times New Roman" w:cs="Times New Roman"/>
          <w:sz w:val="20"/>
          <w:szCs w:val="20"/>
          <w:rtl/>
        </w:rPr>
      </w:pPr>
      <w:r w:rsidRPr="00970EBE">
        <w:rPr>
          <w:rtl/>
        </w:rPr>
        <w:t>היינו, ישנם שני אופנים איך להסתכל על עסק האדם והפרנסה שהוא מרויח: האופן הפשוט הוא לומר שהעיקר הוא לא העבודה אלא ברכת ה', אלא שבכל זאת יהודי לא יכול לשבת בבית ולא לעשות כלום ולסמוך על הקב"ה שימציא לו את פרנסתו, מכיוון שהקב"ה רוצה שיהיה לפרנסה כלי בדרך הטבע - "בכל אשר תעשה". אלא שצריך לזכור שהעיקר זה לא העסק אלא ברכת ה';</w:t>
      </w:r>
    </w:p>
    <w:p w:rsidR="00970EBE" w:rsidRPr="00970EBE" w:rsidRDefault="00970EBE" w:rsidP="00F146A6">
      <w:pPr>
        <w:pStyle w:val="a3"/>
        <w:rPr>
          <w:rFonts w:ascii="Times New Roman" w:hAnsi="Times New Roman" w:cs="Times New Roman"/>
          <w:sz w:val="20"/>
          <w:szCs w:val="20"/>
          <w:rtl/>
        </w:rPr>
      </w:pPr>
      <w:r w:rsidRPr="00970EBE">
        <w:rPr>
          <w:rtl/>
        </w:rPr>
        <w:t xml:space="preserve">ומסביר הרבי </w:t>
      </w:r>
      <w:r w:rsidRPr="00970EBE">
        <w:rPr>
          <w:rFonts w:hint="cs"/>
          <w:rtl/>
        </w:rPr>
        <w:t>ב</w:t>
      </w:r>
      <w:r w:rsidRPr="00970EBE">
        <w:rPr>
          <w:rtl/>
        </w:rPr>
        <w:t xml:space="preserve">אופן השני בעומק יותר: לא רק שהעסק זה לא </w:t>
      </w:r>
      <w:r w:rsidRPr="00970EBE">
        <w:rPr>
          <w:b/>
          <w:bCs/>
          <w:rtl/>
        </w:rPr>
        <w:t>העיקר</w:t>
      </w:r>
      <w:r w:rsidRPr="00970EBE">
        <w:rPr>
          <w:rtl/>
        </w:rPr>
        <w:t xml:space="preserve">, אלא זה לא נחשב </w:t>
      </w:r>
      <w:r w:rsidRPr="00970EBE">
        <w:rPr>
          <w:b/>
          <w:bCs/>
          <w:rtl/>
        </w:rPr>
        <w:t>כלום</w:t>
      </w:r>
      <w:r w:rsidRPr="00970EBE">
        <w:rPr>
          <w:rtl/>
        </w:rPr>
        <w:t xml:space="preserve"> לגבי הקב"ה מכיוון שעם ישראל מלכתחילה לא נתונים תחת שלטון הטבע, והסיבה שצריך את העסק זה בגלל שזה גופא הקב"ה רצה שההנהגה הניסית תתלבש בחוקי הטבע.</w:t>
      </w:r>
      <w:r w:rsidRPr="00970EBE">
        <w:rPr>
          <w:rFonts w:ascii="Cambria" w:hAnsi="Cambria" w:cs="Cambria" w:hint="cs"/>
          <w:rtl/>
        </w:rPr>
        <w:t> </w:t>
      </w:r>
    </w:p>
    <w:p w:rsidR="00970EBE" w:rsidRPr="00970EBE" w:rsidRDefault="00970EBE" w:rsidP="00F146A6">
      <w:pPr>
        <w:pStyle w:val="a3"/>
        <w:rPr>
          <w:rFonts w:ascii="Times New Roman" w:hAnsi="Times New Roman" w:cs="Times New Roman"/>
          <w:sz w:val="20"/>
          <w:szCs w:val="20"/>
          <w:rtl/>
        </w:rPr>
      </w:pPr>
      <w:r w:rsidRPr="00970EBE">
        <w:rPr>
          <w:rFonts w:hint="cs"/>
          <w:rtl/>
        </w:rPr>
        <w:t xml:space="preserve">והם </w:t>
      </w:r>
      <w:r w:rsidRPr="00970EBE">
        <w:rPr>
          <w:rtl/>
        </w:rPr>
        <w:t>הם שני עניינים הנ"ל המבוארים מהמאמר ביום עשתי עשר.</w:t>
      </w:r>
    </w:p>
    <w:p w:rsidR="00970EBE" w:rsidRPr="00970EBE" w:rsidRDefault="00970EBE" w:rsidP="00F146A6">
      <w:pPr>
        <w:pStyle w:val="a3"/>
        <w:rPr>
          <w:rFonts w:ascii="Times New Roman" w:hAnsi="Times New Roman" w:cs="Times New Roman"/>
          <w:sz w:val="20"/>
          <w:szCs w:val="20"/>
          <w:rtl/>
        </w:rPr>
      </w:pPr>
      <w:r w:rsidRPr="00970EBE">
        <w:rPr>
          <w:rtl/>
        </w:rPr>
        <w:t>ו</w:t>
      </w:r>
      <w:r w:rsidRPr="00970EBE">
        <w:rPr>
          <w:rFonts w:hint="cs"/>
          <w:rtl/>
        </w:rPr>
        <w:t>מובן מזה ש</w:t>
      </w:r>
      <w:r w:rsidRPr="00970EBE">
        <w:rPr>
          <w:rtl/>
        </w:rPr>
        <w:t xml:space="preserve">המשל המובא בשיחה שהעסק המרובה בפרנסה </w:t>
      </w:r>
      <w:r w:rsidRPr="00970EBE">
        <w:rPr>
          <w:rFonts w:hint="cs"/>
          <w:rtl/>
        </w:rPr>
        <w:t>דומה ל</w:t>
      </w:r>
      <w:r w:rsidRPr="00970EBE">
        <w:rPr>
          <w:rtl/>
        </w:rPr>
        <w:t xml:space="preserve">תפירת ארנקים מבלי </w:t>
      </w:r>
      <w:r w:rsidRPr="00970EBE">
        <w:rPr>
          <w:rFonts w:hint="cs"/>
          <w:rtl/>
        </w:rPr>
        <w:t xml:space="preserve">ניסיון </w:t>
      </w:r>
      <w:r w:rsidRPr="00970EBE">
        <w:rPr>
          <w:rtl/>
        </w:rPr>
        <w:t>להשיג את הכסף עצמו</w:t>
      </w:r>
      <w:r w:rsidRPr="00970EBE">
        <w:rPr>
          <w:rFonts w:hint="cs"/>
          <w:rtl/>
        </w:rPr>
        <w:t xml:space="preserve"> </w:t>
      </w:r>
      <w:r w:rsidRPr="00970EBE">
        <w:rPr>
          <w:rtl/>
        </w:rPr>
        <w:t>–</w:t>
      </w:r>
      <w:r w:rsidRPr="00970EBE">
        <w:rPr>
          <w:rFonts w:hint="cs"/>
          <w:rtl/>
        </w:rPr>
        <w:t xml:space="preserve"> מתאים רק לאופן הב' דלעיל</w:t>
      </w:r>
      <w:r w:rsidRPr="00970EBE">
        <w:rPr>
          <w:rtl/>
        </w:rPr>
        <w:t>: לפי האופן ה</w:t>
      </w:r>
      <w:r w:rsidRPr="00970EBE">
        <w:rPr>
          <w:rFonts w:hint="cs"/>
          <w:rtl/>
        </w:rPr>
        <w:t>א'</w:t>
      </w:r>
      <w:r w:rsidRPr="00970EBE">
        <w:rPr>
          <w:rtl/>
        </w:rPr>
        <w:t xml:space="preserve"> העסק הגשמי בפרנסה יש לו חשיבות כל שהיא אלא שהוא לא העיקר, ו</w:t>
      </w:r>
      <w:r w:rsidRPr="00970EBE">
        <w:rPr>
          <w:rFonts w:hint="cs"/>
          <w:rtl/>
        </w:rPr>
        <w:t>מובן ש</w:t>
      </w:r>
      <w:r w:rsidRPr="00970EBE">
        <w:rPr>
          <w:rtl/>
        </w:rPr>
        <w:t>א"א להשוות</w:t>
      </w:r>
      <w:r w:rsidRPr="00970EBE">
        <w:rPr>
          <w:rFonts w:hint="cs"/>
          <w:rtl/>
        </w:rPr>
        <w:t>ו</w:t>
      </w:r>
      <w:r w:rsidRPr="00970EBE">
        <w:rPr>
          <w:rtl/>
        </w:rPr>
        <w:t xml:space="preserve"> לתפירת ארנקים, שהרי תפירת ארנק זה לא </w:t>
      </w:r>
      <w:r w:rsidRPr="00970EBE">
        <w:rPr>
          <w:rFonts w:hint="cs"/>
          <w:rtl/>
        </w:rPr>
        <w:t xml:space="preserve">פעולה שהיא </w:t>
      </w:r>
      <w:r w:rsidRPr="00970EBE">
        <w:rPr>
          <w:rtl/>
        </w:rPr>
        <w:t xml:space="preserve">חלק </w:t>
      </w:r>
      <w:r w:rsidRPr="00970EBE">
        <w:rPr>
          <w:rtl/>
        </w:rPr>
        <w:lastRenderedPageBreak/>
        <w:t>מהשגת הכסף אלא אך ורק מקום לשים בו את הכסף</w:t>
      </w:r>
      <w:r w:rsidRPr="00970EBE">
        <w:rPr>
          <w:rFonts w:hint="cs"/>
          <w:rtl/>
        </w:rPr>
        <w:t>;</w:t>
      </w:r>
      <w:r w:rsidRPr="00970EBE">
        <w:rPr>
          <w:rtl/>
        </w:rPr>
        <w:t xml:space="preserve"> </w:t>
      </w:r>
      <w:r w:rsidRPr="00970EBE">
        <w:rPr>
          <w:rFonts w:hint="cs"/>
          <w:rtl/>
        </w:rPr>
        <w:t>ו</w:t>
      </w:r>
      <w:r w:rsidRPr="00970EBE">
        <w:rPr>
          <w:rtl/>
        </w:rPr>
        <w:t>לפי אופן זה הטבע הוא חלק מהשגת הכסף (אלא שהוא רק טפל); משא"כ לפי האופן ה</w:t>
      </w:r>
      <w:r w:rsidRPr="00970EBE">
        <w:rPr>
          <w:rFonts w:hint="cs"/>
          <w:rtl/>
        </w:rPr>
        <w:t>ב'</w:t>
      </w:r>
      <w:r w:rsidRPr="00970EBE">
        <w:rPr>
          <w:rtl/>
        </w:rPr>
        <w:t xml:space="preserve"> שאין שום מציאות ונתינת מקום לטבע, מ</w:t>
      </w:r>
      <w:r w:rsidRPr="00970EBE">
        <w:rPr>
          <w:rFonts w:hint="cs"/>
          <w:rtl/>
        </w:rPr>
        <w:t>ובן ש</w:t>
      </w:r>
      <w:r w:rsidRPr="00970EBE">
        <w:rPr>
          <w:rtl/>
        </w:rPr>
        <w:t>העיסוק המרובה בעסק זה כמו תפירת ארנק שאין לו כל קשר להשגת הכסף, אלא רק מקום להניח בו את הכסף.</w:t>
      </w:r>
    </w:p>
    <w:p w:rsidR="00970EBE" w:rsidRPr="00970EBE" w:rsidRDefault="00970EBE" w:rsidP="00F146A6">
      <w:pPr>
        <w:pStyle w:val="11"/>
        <w:rPr>
          <w:rtl/>
        </w:rPr>
      </w:pPr>
      <w:r w:rsidRPr="00970EBE">
        <w:rPr>
          <w:rtl/>
        </w:rPr>
        <w:t>ו.</w:t>
      </w:r>
    </w:p>
    <w:p w:rsidR="00970EBE" w:rsidRPr="00970EBE" w:rsidRDefault="00970EBE" w:rsidP="00F146A6">
      <w:pPr>
        <w:pStyle w:val="11"/>
      </w:pPr>
      <w:r w:rsidRPr="00970EBE">
        <w:rPr>
          <w:rFonts w:hint="cs"/>
          <w:rtl/>
        </w:rPr>
        <w:t>עפ"ז ביאור חטאם של בנ"י בזמן גזירת המן בעומק יותר</w:t>
      </w:r>
    </w:p>
    <w:p w:rsidR="00970EBE" w:rsidRPr="00970EBE" w:rsidRDefault="00970EBE" w:rsidP="00F146A6">
      <w:pPr>
        <w:pStyle w:val="a3"/>
        <w:rPr>
          <w:rFonts w:ascii="Times New Roman" w:hAnsi="Times New Roman" w:cs="Times New Roman"/>
          <w:sz w:val="20"/>
          <w:szCs w:val="20"/>
        </w:rPr>
      </w:pPr>
      <w:r w:rsidRPr="00970EBE">
        <w:rPr>
          <w:rtl/>
        </w:rPr>
        <w:t xml:space="preserve">ועפ"ז יובן גם המשך השיחה (ס"ה): החטא של בנ"י </w:t>
      </w:r>
      <w:r w:rsidRPr="00970EBE">
        <w:rPr>
          <w:rFonts w:hint="cs"/>
          <w:rtl/>
        </w:rPr>
        <w:t xml:space="preserve">לא </w:t>
      </w:r>
      <w:r w:rsidRPr="00970EBE">
        <w:rPr>
          <w:rtl/>
        </w:rPr>
        <w:t>היה שהם אמרו שאחשורוש יש לו שליטה והקב"ה כביכול הפקיד את העולם כולו בידיו - שהרי היה מושל בכיפה - (אופן ה</w:t>
      </w:r>
      <w:r w:rsidRPr="00970EBE">
        <w:rPr>
          <w:rFonts w:hint="cs"/>
          <w:rtl/>
        </w:rPr>
        <w:t>א</w:t>
      </w:r>
      <w:r w:rsidRPr="00970EBE">
        <w:rPr>
          <w:rtl/>
        </w:rPr>
        <w:t xml:space="preserve">'), אלא </w:t>
      </w:r>
      <w:r w:rsidRPr="00970EBE">
        <w:rPr>
          <w:b/>
          <w:bCs/>
          <w:rtl/>
        </w:rPr>
        <w:t>עצם זה שהחשיבו אותו למציאות</w:t>
      </w:r>
      <w:r w:rsidRPr="00970EBE">
        <w:rPr>
          <w:rtl/>
        </w:rPr>
        <w:t xml:space="preserve"> - ש</w:t>
      </w:r>
      <w:r w:rsidRPr="00970EBE">
        <w:rPr>
          <w:b/>
          <w:bCs/>
          <w:rtl/>
        </w:rPr>
        <w:t>נהנו</w:t>
      </w:r>
      <w:r w:rsidRPr="00970EBE">
        <w:rPr>
          <w:rtl/>
        </w:rPr>
        <w:t xml:space="preserve"> מסעודתו</w:t>
      </w:r>
      <w:r w:rsidRPr="00970EBE">
        <w:rPr>
          <w:vertAlign w:val="superscript"/>
          <w:rtl/>
        </w:rPr>
        <w:footnoteReference w:id="87"/>
      </w:r>
      <w:r w:rsidRPr="00970EBE">
        <w:rPr>
          <w:rtl/>
        </w:rPr>
        <w:t xml:space="preserve">, שזה </w:t>
      </w:r>
      <w:r w:rsidRPr="00970EBE">
        <w:rPr>
          <w:rFonts w:hint="cs"/>
          <w:rtl/>
        </w:rPr>
        <w:t xml:space="preserve">מראה על </w:t>
      </w:r>
      <w:r w:rsidRPr="00970EBE">
        <w:rPr>
          <w:rtl/>
        </w:rPr>
        <w:t>החשבת הטבע</w:t>
      </w:r>
      <w:r w:rsidRPr="00970EBE">
        <w:rPr>
          <w:rFonts w:hint="cs"/>
          <w:rtl/>
        </w:rPr>
        <w:t>,</w:t>
      </w:r>
      <w:r w:rsidRPr="00970EBE">
        <w:rPr>
          <w:rtl/>
        </w:rPr>
        <w:t xml:space="preserve"> השבעים זאבים למציאות (אופן ה</w:t>
      </w:r>
      <w:r w:rsidRPr="00970EBE">
        <w:rPr>
          <w:rFonts w:hint="cs"/>
          <w:rtl/>
        </w:rPr>
        <w:t>ב</w:t>
      </w:r>
      <w:r w:rsidRPr="00970EBE">
        <w:rPr>
          <w:rtl/>
        </w:rPr>
        <w:t>')</w:t>
      </w:r>
      <w:r w:rsidRPr="00970EBE">
        <w:rPr>
          <w:rFonts w:hint="cs"/>
          <w:rtl/>
        </w:rPr>
        <w:t>;</w:t>
      </w:r>
      <w:r w:rsidRPr="00970EBE">
        <w:rPr>
          <w:rtl/>
        </w:rPr>
        <w:t xml:space="preserve"> </w:t>
      </w:r>
      <w:r w:rsidRPr="00970EBE">
        <w:rPr>
          <w:rFonts w:hint="cs"/>
          <w:rtl/>
        </w:rPr>
        <w:t>ו</w:t>
      </w:r>
      <w:r w:rsidRPr="00970EBE">
        <w:rPr>
          <w:rtl/>
        </w:rPr>
        <w:t>זה היה החטא שלהם עד כדי שכתוצאה טבעית הגיע להם עונש של כלי' ר"ל.</w:t>
      </w:r>
    </w:p>
    <w:p w:rsidR="00970EBE" w:rsidRPr="00970EBE" w:rsidRDefault="00970EBE" w:rsidP="00F146A6">
      <w:pPr>
        <w:pStyle w:val="11"/>
        <w:rPr>
          <w:rtl/>
        </w:rPr>
      </w:pPr>
      <w:r w:rsidRPr="00970EBE">
        <w:rPr>
          <w:rtl/>
        </w:rPr>
        <w:t>ז.</w:t>
      </w:r>
    </w:p>
    <w:p w:rsidR="00970EBE" w:rsidRPr="00970EBE" w:rsidRDefault="00970EBE" w:rsidP="00F146A6">
      <w:pPr>
        <w:pStyle w:val="11"/>
      </w:pPr>
      <w:r w:rsidRPr="00970EBE">
        <w:rPr>
          <w:rFonts w:hint="cs"/>
          <w:rtl/>
        </w:rPr>
        <w:t>עפ"ז תוספת ביאור בהמשך השיחה שנס פורים היה דווקא נס המלובש בטבע</w:t>
      </w:r>
    </w:p>
    <w:p w:rsidR="00970EBE" w:rsidRPr="00970EBE" w:rsidRDefault="00970EBE" w:rsidP="00F146A6">
      <w:pPr>
        <w:pStyle w:val="a3"/>
        <w:rPr>
          <w:rFonts w:ascii="Times New Roman" w:hAnsi="Times New Roman" w:cs="Times New Roman"/>
          <w:sz w:val="20"/>
          <w:szCs w:val="20"/>
        </w:rPr>
      </w:pPr>
      <w:r w:rsidRPr="00970EBE">
        <w:rPr>
          <w:rtl/>
        </w:rPr>
        <w:t xml:space="preserve">ועפ"ז </w:t>
      </w:r>
      <w:r w:rsidRPr="00970EBE">
        <w:rPr>
          <w:rFonts w:hint="cs"/>
          <w:rtl/>
        </w:rPr>
        <w:t xml:space="preserve">יש להסביר </w:t>
      </w:r>
      <w:r w:rsidRPr="00970EBE">
        <w:rPr>
          <w:rtl/>
        </w:rPr>
        <w:t>בתוספת ביאור גם</w:t>
      </w:r>
      <w:r w:rsidRPr="00970EBE">
        <w:rPr>
          <w:rFonts w:hint="cs"/>
          <w:rtl/>
        </w:rPr>
        <w:t xml:space="preserve"> את</w:t>
      </w:r>
      <w:r w:rsidRPr="00970EBE">
        <w:rPr>
          <w:rtl/>
        </w:rPr>
        <w:t xml:space="preserve"> המשך השיחה בס"ו, ובהקדים:</w:t>
      </w:r>
      <w:r w:rsidRPr="00970EBE">
        <w:rPr>
          <w:rFonts w:ascii="Cambria" w:hAnsi="Cambria" w:cs="Cambria" w:hint="cs"/>
          <w:rtl/>
        </w:rPr>
        <w:t> </w:t>
      </w:r>
    </w:p>
    <w:p w:rsidR="00970EBE" w:rsidRPr="00970EBE" w:rsidRDefault="00970EBE" w:rsidP="00F146A6">
      <w:pPr>
        <w:pStyle w:val="a3"/>
        <w:rPr>
          <w:rFonts w:ascii="Times New Roman" w:hAnsi="Times New Roman" w:cs="Times New Roman"/>
          <w:sz w:val="20"/>
          <w:szCs w:val="20"/>
          <w:rtl/>
        </w:rPr>
      </w:pPr>
      <w:r w:rsidRPr="00970EBE">
        <w:rPr>
          <w:rtl/>
        </w:rPr>
        <w:t>המעלה בניסים המל</w:t>
      </w:r>
      <w:r w:rsidRPr="00970EBE">
        <w:rPr>
          <w:rFonts w:hint="cs"/>
          <w:rtl/>
        </w:rPr>
        <w:t>ו</w:t>
      </w:r>
      <w:r w:rsidRPr="00970EBE">
        <w:rPr>
          <w:rtl/>
        </w:rPr>
        <w:t>בשים בטבע על פני ניסים שלמעלה מהטבע, היא</w:t>
      </w:r>
      <w:r w:rsidRPr="00970EBE">
        <w:rPr>
          <w:vertAlign w:val="superscript"/>
          <w:rtl/>
        </w:rPr>
        <w:footnoteReference w:id="88"/>
      </w:r>
      <w:r w:rsidRPr="00970EBE">
        <w:rPr>
          <w:rFonts w:hint="cs"/>
          <w:rtl/>
        </w:rPr>
        <w:t>,</w:t>
      </w:r>
      <w:r w:rsidRPr="00970EBE">
        <w:rPr>
          <w:rtl/>
        </w:rPr>
        <w:t xml:space="preserve"> שבנס בכלל מתגלה זה שהקב"ה מושל ושולט על הטבע (שהרי גם הנהגת הטבע מגיעה מהקב"ה, אלא שבנס מתגלה שהקב"ה שולט על הטבע)</w:t>
      </w:r>
      <w:r w:rsidRPr="00970EBE">
        <w:rPr>
          <w:rFonts w:hint="cs"/>
          <w:rtl/>
        </w:rPr>
        <w:t>;</w:t>
      </w:r>
      <w:r w:rsidRPr="00970EBE">
        <w:rPr>
          <w:rtl/>
        </w:rPr>
        <w:t xml:space="preserve"> ובזה גופא</w:t>
      </w:r>
      <w:r w:rsidRPr="00970EBE">
        <w:rPr>
          <w:rFonts w:hint="cs"/>
          <w:rtl/>
        </w:rPr>
        <w:t>,</w:t>
      </w:r>
      <w:r w:rsidRPr="00970EBE">
        <w:rPr>
          <w:rtl/>
        </w:rPr>
        <w:t xml:space="preserve"> בנס שלמעלה מהטבע</w:t>
      </w:r>
      <w:r w:rsidRPr="00970EBE">
        <w:rPr>
          <w:rFonts w:hint="cs"/>
          <w:rtl/>
        </w:rPr>
        <w:t>,</w:t>
      </w:r>
      <w:r w:rsidRPr="00970EBE">
        <w:rPr>
          <w:rtl/>
        </w:rPr>
        <w:t xml:space="preserve"> מתגלה זה שהקב"ה יכול לשדד את חוקי הטבע - שהקב"ה </w:t>
      </w:r>
      <w:r w:rsidRPr="00970EBE">
        <w:rPr>
          <w:rFonts w:hint="cs"/>
          <w:rtl/>
        </w:rPr>
        <w:t>'</w:t>
      </w:r>
      <w:r w:rsidRPr="00970EBE">
        <w:rPr>
          <w:rtl/>
        </w:rPr>
        <w:t>יותר חזק</w:t>
      </w:r>
      <w:r w:rsidRPr="00970EBE">
        <w:rPr>
          <w:rFonts w:hint="cs"/>
          <w:rtl/>
        </w:rPr>
        <w:t>'</w:t>
      </w:r>
      <w:r w:rsidRPr="00970EBE">
        <w:rPr>
          <w:rtl/>
        </w:rPr>
        <w:t xml:space="preserve"> מהטבע, ובנס המלובש בטבע מתגלה זה שהקב"ה מושל ושולט על </w:t>
      </w:r>
      <w:r w:rsidRPr="00970EBE">
        <w:rPr>
          <w:b/>
          <w:bCs/>
          <w:rtl/>
        </w:rPr>
        <w:t>הטבע עצמו</w:t>
      </w:r>
      <w:r w:rsidRPr="00970EBE">
        <w:rPr>
          <w:rtl/>
        </w:rPr>
        <w:t xml:space="preserve"> שיהיה כפי רצונו. ולכן</w:t>
      </w:r>
      <w:r w:rsidRPr="00970EBE">
        <w:rPr>
          <w:rFonts w:hint="cs"/>
          <w:rtl/>
        </w:rPr>
        <w:t>,</w:t>
      </w:r>
      <w:r w:rsidRPr="00970EBE">
        <w:rPr>
          <w:rtl/>
        </w:rPr>
        <w:t xml:space="preserve"> למרות שבמבט שטחי נראה שבנס שלמעלה מהטבע יש יותר שליטה של הקב"ה על הטבע מכיוון שזה שידוד מערכות הטבע, מ"מ בנס המלובש בטבע מתגלה שהקב"ה לא רק יותר חזק מהטבע אלא שהטבע עצמו הוא הקב"ה – </w:t>
      </w:r>
      <w:r w:rsidRPr="00970EBE">
        <w:rPr>
          <w:rFonts w:hint="cs"/>
          <w:rtl/>
        </w:rPr>
        <w:t>שמונהג כפי רצונו.</w:t>
      </w:r>
    </w:p>
    <w:p w:rsidR="00970EBE" w:rsidRPr="00970EBE" w:rsidRDefault="00970EBE" w:rsidP="00F146A6">
      <w:pPr>
        <w:pStyle w:val="a3"/>
        <w:rPr>
          <w:rFonts w:ascii="Times New Roman" w:hAnsi="Times New Roman" w:cs="Times New Roman"/>
          <w:sz w:val="20"/>
          <w:szCs w:val="20"/>
        </w:rPr>
      </w:pPr>
      <w:r w:rsidRPr="00970EBE">
        <w:rPr>
          <w:rtl/>
        </w:rPr>
        <w:t xml:space="preserve">ועפ"ז יובן בתוספת ביאור גם בנוגע למוסבר בהשיחה בנוגע לאופן הנס של פורים: מכיוון שכל הטעות של עם ישראל היתה </w:t>
      </w:r>
      <w:r w:rsidRPr="00970EBE">
        <w:rPr>
          <w:b/>
          <w:bCs/>
          <w:rtl/>
        </w:rPr>
        <w:t>עצם זה שהם החשיבו את הטבע</w:t>
      </w:r>
      <w:r w:rsidRPr="00970EBE">
        <w:rPr>
          <w:rtl/>
        </w:rPr>
        <w:t xml:space="preserve"> - אחשורוש </w:t>
      </w:r>
      <w:r w:rsidRPr="00970EBE">
        <w:rPr>
          <w:rtl/>
        </w:rPr>
        <w:lastRenderedPageBreak/>
        <w:t xml:space="preserve">- למציאות, ממילא בנס פורים התגלה עניין זה שהקב"ה מושל ושולט על הטבע עצמו, היינו שאין שום מציאות לטבע, לכן גם את הנס הקב"ה פעל באופן כזה להראות לא רק שיש טבע והקב"ה </w:t>
      </w:r>
      <w:r w:rsidRPr="00970EBE">
        <w:rPr>
          <w:rFonts w:hint="cs"/>
          <w:rtl/>
        </w:rPr>
        <w:t>'</w:t>
      </w:r>
      <w:r w:rsidRPr="00970EBE">
        <w:rPr>
          <w:rtl/>
        </w:rPr>
        <w:t>יותר חזק</w:t>
      </w:r>
      <w:r w:rsidRPr="00970EBE">
        <w:rPr>
          <w:rFonts w:hint="cs"/>
          <w:rtl/>
        </w:rPr>
        <w:t>'</w:t>
      </w:r>
      <w:r w:rsidRPr="00970EBE">
        <w:rPr>
          <w:rtl/>
        </w:rPr>
        <w:t xml:space="preserve"> ממנו</w:t>
      </w:r>
      <w:r w:rsidRPr="00970EBE">
        <w:rPr>
          <w:rFonts w:hint="cs"/>
          <w:rtl/>
        </w:rPr>
        <w:t>,</w:t>
      </w:r>
      <w:r w:rsidRPr="00970EBE">
        <w:rPr>
          <w:rtl/>
        </w:rPr>
        <w:t xml:space="preserve"> אלא שאין לטבע שום מציאות, שזה מתבטא בנס המלובש בטבע</w:t>
      </w:r>
      <w:r w:rsidRPr="00970EBE">
        <w:rPr>
          <w:vertAlign w:val="superscript"/>
          <w:rtl/>
        </w:rPr>
        <w:footnoteReference w:id="89"/>
      </w:r>
      <w:r w:rsidRPr="00970EBE">
        <w:rPr>
          <w:rtl/>
        </w:rPr>
        <w:t>.</w:t>
      </w:r>
    </w:p>
    <w:p w:rsidR="00970EBE" w:rsidRPr="00970EBE" w:rsidRDefault="00970EBE" w:rsidP="00F146A6">
      <w:pPr>
        <w:pStyle w:val="11"/>
        <w:rPr>
          <w:rtl/>
        </w:rPr>
      </w:pPr>
      <w:r w:rsidRPr="00970EBE">
        <w:rPr>
          <w:rtl/>
        </w:rPr>
        <w:t>ח.</w:t>
      </w:r>
    </w:p>
    <w:p w:rsidR="00970EBE" w:rsidRPr="00970EBE" w:rsidRDefault="00970EBE" w:rsidP="00F146A6">
      <w:pPr>
        <w:pStyle w:val="11"/>
      </w:pPr>
      <w:r w:rsidRPr="00970EBE">
        <w:rPr>
          <w:rFonts w:hint="cs"/>
          <w:rtl/>
        </w:rPr>
        <w:t xml:space="preserve">עפ"ז ביאור בעומק יותר המשך השיחה </w:t>
      </w:r>
      <w:r w:rsidRPr="00970EBE">
        <w:rPr>
          <w:rtl/>
        </w:rPr>
        <w:t>–</w:t>
      </w:r>
      <w:r w:rsidRPr="00970EBE">
        <w:rPr>
          <w:rFonts w:hint="cs"/>
          <w:rtl/>
        </w:rPr>
        <w:t xml:space="preserve"> אופן פעולתם של מרדכי ואסתר</w:t>
      </w:r>
    </w:p>
    <w:p w:rsidR="00970EBE" w:rsidRPr="00970EBE" w:rsidRDefault="00970EBE" w:rsidP="00F146A6">
      <w:pPr>
        <w:pStyle w:val="a3"/>
        <w:rPr>
          <w:rFonts w:ascii="Times New Roman" w:hAnsi="Times New Roman" w:cs="Times New Roman"/>
          <w:sz w:val="20"/>
          <w:szCs w:val="20"/>
        </w:rPr>
      </w:pPr>
      <w:r w:rsidRPr="00970EBE">
        <w:rPr>
          <w:rtl/>
        </w:rPr>
        <w:t xml:space="preserve">וי"ל מעין "נפק"מ" בין שני אופנים הנ"ל (מלבד מה שאמרנו לעיל </w:t>
      </w:r>
      <w:r w:rsidRPr="00970EBE">
        <w:rPr>
          <w:rFonts w:hint="cs"/>
          <w:rtl/>
        </w:rPr>
        <w:t xml:space="preserve">אות ב' </w:t>
      </w:r>
      <w:r w:rsidRPr="00970EBE">
        <w:rPr>
          <w:rtl/>
        </w:rPr>
        <w:t>- אם הוא יעשה יותר ממה שנדרש ממנו מצד הקב"ה או שלא)</w:t>
      </w:r>
      <w:r w:rsidRPr="00970EBE">
        <w:rPr>
          <w:rFonts w:hint="cs"/>
          <w:rtl/>
        </w:rPr>
        <w:t>,</w:t>
      </w:r>
      <w:r w:rsidRPr="00970EBE">
        <w:rPr>
          <w:rtl/>
        </w:rPr>
        <w:t xml:space="preserve"> מה יקרה כש</w:t>
      </w:r>
      <w:r w:rsidRPr="00970EBE">
        <w:rPr>
          <w:rFonts w:hint="cs"/>
          <w:rtl/>
        </w:rPr>
        <w:t>דרך</w:t>
      </w:r>
      <w:r w:rsidRPr="00970EBE">
        <w:rPr>
          <w:rtl/>
        </w:rPr>
        <w:t xml:space="preserve"> הבאת ההשפעה </w:t>
      </w:r>
      <w:r w:rsidRPr="00970EBE">
        <w:rPr>
          <w:rFonts w:hint="cs"/>
          <w:rtl/>
        </w:rPr>
        <w:t>מ</w:t>
      </w:r>
      <w:r w:rsidRPr="00970EBE">
        <w:rPr>
          <w:rtl/>
        </w:rPr>
        <w:t xml:space="preserve">למעלה </w:t>
      </w:r>
      <w:r w:rsidRPr="00970EBE">
        <w:rPr>
          <w:b/>
          <w:bCs/>
          <w:rtl/>
        </w:rPr>
        <w:t>סותר</w:t>
      </w:r>
      <w:r w:rsidRPr="00970EBE">
        <w:rPr>
          <w:rFonts w:hint="cs"/>
          <w:b/>
          <w:bCs/>
          <w:rtl/>
        </w:rPr>
        <w:t>ת</w:t>
      </w:r>
      <w:r w:rsidRPr="00970EBE">
        <w:rPr>
          <w:rtl/>
        </w:rPr>
        <w:t xml:space="preserve"> לפעולה בדר</w:t>
      </w:r>
      <w:r w:rsidRPr="00970EBE">
        <w:rPr>
          <w:rFonts w:hint="cs"/>
          <w:rtl/>
        </w:rPr>
        <w:t>כי</w:t>
      </w:r>
      <w:r w:rsidRPr="00970EBE">
        <w:rPr>
          <w:rtl/>
        </w:rPr>
        <w:t xml:space="preserve"> הטבע: </w:t>
      </w:r>
      <w:r w:rsidRPr="00970EBE">
        <w:rPr>
          <w:rFonts w:hint="cs"/>
          <w:rtl/>
        </w:rPr>
        <w:t>ב</w:t>
      </w:r>
      <w:r w:rsidRPr="00970EBE">
        <w:rPr>
          <w:rtl/>
        </w:rPr>
        <w:t xml:space="preserve">אם נאמר כהאופן הא' לא נוכל לנקוט </w:t>
      </w:r>
      <w:r w:rsidRPr="00970EBE">
        <w:rPr>
          <w:rFonts w:hint="cs"/>
          <w:rtl/>
        </w:rPr>
        <w:t xml:space="preserve">בפעולה זו, </w:t>
      </w:r>
      <w:r w:rsidRPr="00970EBE">
        <w:rPr>
          <w:rtl/>
        </w:rPr>
        <w:t>ש</w:t>
      </w:r>
      <w:r w:rsidRPr="00970EBE">
        <w:rPr>
          <w:rFonts w:hint="cs"/>
          <w:rtl/>
        </w:rPr>
        <w:t xml:space="preserve">הרי </w:t>
      </w:r>
      <w:r w:rsidRPr="00970EBE">
        <w:rPr>
          <w:rtl/>
        </w:rPr>
        <w:t xml:space="preserve">הקב"ה נתן מציאות לטבע </w:t>
      </w:r>
      <w:r w:rsidRPr="00970EBE">
        <w:rPr>
          <w:rFonts w:hint="cs"/>
          <w:rtl/>
        </w:rPr>
        <w:t>וצ</w:t>
      </w:r>
      <w:r w:rsidRPr="00970EBE">
        <w:rPr>
          <w:rtl/>
        </w:rPr>
        <w:t>ריך ל</w:t>
      </w:r>
      <w:r w:rsidRPr="00970EBE">
        <w:rPr>
          <w:rFonts w:hint="cs"/>
          <w:rtl/>
        </w:rPr>
        <w:t>עשות כלי</w:t>
      </w:r>
      <w:r w:rsidRPr="00970EBE">
        <w:rPr>
          <w:rtl/>
        </w:rPr>
        <w:t xml:space="preserve"> בדרכי הטבע</w:t>
      </w:r>
      <w:r w:rsidRPr="00970EBE">
        <w:rPr>
          <w:rFonts w:hint="cs"/>
          <w:rtl/>
        </w:rPr>
        <w:t xml:space="preserve"> כפי שהטבע מחשיב לכלי</w:t>
      </w:r>
      <w:r w:rsidRPr="00970EBE">
        <w:rPr>
          <w:rtl/>
        </w:rPr>
        <w:t>; אבל אם נאמר כהאופן הב'</w:t>
      </w:r>
      <w:r w:rsidRPr="00970EBE">
        <w:rPr>
          <w:rFonts w:hint="cs"/>
          <w:rtl/>
        </w:rPr>
        <w:t>,</w:t>
      </w:r>
      <w:r w:rsidRPr="00970EBE">
        <w:rPr>
          <w:rtl/>
        </w:rPr>
        <w:t xml:space="preserve"> כל החשיבות והמציאות של הטבע זה </w:t>
      </w:r>
      <w:r w:rsidRPr="00970EBE">
        <w:rPr>
          <w:b/>
          <w:bCs/>
          <w:rtl/>
        </w:rPr>
        <w:t>שהקב"ה</w:t>
      </w:r>
      <w:r w:rsidRPr="00970EBE">
        <w:rPr>
          <w:rtl/>
        </w:rPr>
        <w:t xml:space="preserve"> נתן לו את החשיבות,</w:t>
      </w:r>
      <w:r w:rsidRPr="00970EBE">
        <w:rPr>
          <w:rFonts w:hint="cs"/>
          <w:rtl/>
        </w:rPr>
        <w:t xml:space="preserve"> ומה שמביא את ההשפעה כאן זה הקב"ה,</w:t>
      </w:r>
      <w:r w:rsidRPr="00970EBE">
        <w:rPr>
          <w:rtl/>
        </w:rPr>
        <w:t xml:space="preserve"> ו</w:t>
      </w:r>
      <w:r w:rsidRPr="00970EBE">
        <w:rPr>
          <w:rFonts w:hint="cs"/>
          <w:rtl/>
        </w:rPr>
        <w:t>מובן ש</w:t>
      </w:r>
      <w:r w:rsidRPr="00970EBE">
        <w:rPr>
          <w:rtl/>
        </w:rPr>
        <w:t xml:space="preserve">ודאי </w:t>
      </w:r>
      <w:r w:rsidRPr="00970EBE">
        <w:rPr>
          <w:rFonts w:hint="cs"/>
          <w:rtl/>
        </w:rPr>
        <w:t>שצריך</w:t>
      </w:r>
      <w:r w:rsidRPr="00970EBE">
        <w:rPr>
          <w:rtl/>
        </w:rPr>
        <w:t xml:space="preserve"> </w:t>
      </w:r>
      <w:r w:rsidRPr="00970EBE">
        <w:rPr>
          <w:rFonts w:hint="cs"/>
          <w:rtl/>
        </w:rPr>
        <w:t xml:space="preserve">לפעול </w:t>
      </w:r>
      <w:r w:rsidRPr="00970EBE">
        <w:rPr>
          <w:rtl/>
        </w:rPr>
        <w:t>ל</w:t>
      </w:r>
      <w:r w:rsidRPr="00970EBE">
        <w:rPr>
          <w:rFonts w:hint="cs"/>
          <w:rtl/>
        </w:rPr>
        <w:t>ה</w:t>
      </w:r>
      <w:r w:rsidRPr="00970EBE">
        <w:rPr>
          <w:rtl/>
        </w:rPr>
        <w:t>בא</w:t>
      </w:r>
      <w:r w:rsidRPr="00970EBE">
        <w:rPr>
          <w:rFonts w:hint="cs"/>
          <w:rtl/>
        </w:rPr>
        <w:t>ת</w:t>
      </w:r>
      <w:r w:rsidRPr="00970EBE">
        <w:rPr>
          <w:rtl/>
        </w:rPr>
        <w:t xml:space="preserve"> ההשפעה מלמעלה גם אם זה סותר לדרכי הטבע, שהרי </w:t>
      </w:r>
      <w:r w:rsidRPr="00970EBE">
        <w:rPr>
          <w:rFonts w:hint="cs"/>
          <w:rtl/>
        </w:rPr>
        <w:t xml:space="preserve">בדרך כלל </w:t>
      </w:r>
      <w:r w:rsidRPr="00970EBE">
        <w:rPr>
          <w:rtl/>
        </w:rPr>
        <w:t>הקב"ה החליט שההשפעה הניסית תעבו</w:t>
      </w:r>
      <w:r w:rsidRPr="00970EBE">
        <w:rPr>
          <w:rFonts w:hint="cs"/>
          <w:rtl/>
        </w:rPr>
        <w:t>ר</w:t>
      </w:r>
      <w:r w:rsidRPr="00970EBE">
        <w:rPr>
          <w:rtl/>
        </w:rPr>
        <w:t xml:space="preserve"> בדרכי הטבע, ו</w:t>
      </w:r>
      <w:r w:rsidRPr="00970EBE">
        <w:rPr>
          <w:rFonts w:hint="cs"/>
          <w:rtl/>
        </w:rPr>
        <w:t>במקרה זה</w:t>
      </w:r>
      <w:r w:rsidRPr="00970EBE">
        <w:rPr>
          <w:rtl/>
        </w:rPr>
        <w:t xml:space="preserve"> הקב"ה החליט ש</w:t>
      </w:r>
      <w:r w:rsidRPr="00970EBE">
        <w:rPr>
          <w:rFonts w:hint="cs"/>
          <w:rtl/>
        </w:rPr>
        <w:t>ההשפעה לא תע</w:t>
      </w:r>
      <w:r w:rsidRPr="00970EBE">
        <w:rPr>
          <w:rtl/>
        </w:rPr>
        <w:t>בו</w:t>
      </w:r>
      <w:r w:rsidRPr="00970EBE">
        <w:rPr>
          <w:rFonts w:hint="cs"/>
          <w:rtl/>
        </w:rPr>
        <w:t>ר</w:t>
      </w:r>
      <w:r w:rsidRPr="00970EBE">
        <w:rPr>
          <w:rtl/>
        </w:rPr>
        <w:t xml:space="preserve"> בדרכי הטבע.</w:t>
      </w:r>
    </w:p>
    <w:p w:rsidR="00970EBE" w:rsidRPr="00970EBE" w:rsidRDefault="00970EBE" w:rsidP="00F146A6">
      <w:pPr>
        <w:pStyle w:val="a3"/>
        <w:rPr>
          <w:rFonts w:ascii="Times New Roman" w:hAnsi="Times New Roman" w:cs="Times New Roman"/>
          <w:sz w:val="20"/>
          <w:szCs w:val="20"/>
        </w:rPr>
      </w:pPr>
      <w:r w:rsidRPr="00970EBE">
        <w:rPr>
          <w:rtl/>
        </w:rPr>
        <w:t xml:space="preserve">ואולי י"ל שזה </w:t>
      </w:r>
      <w:r w:rsidRPr="00970EBE">
        <w:rPr>
          <w:rFonts w:hint="cs"/>
          <w:rtl/>
        </w:rPr>
        <w:t>מה ש</w:t>
      </w:r>
      <w:r w:rsidRPr="00970EBE">
        <w:rPr>
          <w:rtl/>
        </w:rPr>
        <w:t>בא הרבי להבהיר בהמשך השיחה בס"ז, ובהקדים:</w:t>
      </w:r>
    </w:p>
    <w:p w:rsidR="00970EBE" w:rsidRPr="00970EBE" w:rsidRDefault="00970EBE" w:rsidP="00F146A6">
      <w:pPr>
        <w:pStyle w:val="a3"/>
        <w:rPr>
          <w:rFonts w:ascii="Times New Roman" w:hAnsi="Times New Roman" w:cs="Times New Roman"/>
          <w:sz w:val="20"/>
          <w:szCs w:val="20"/>
          <w:rtl/>
        </w:rPr>
      </w:pPr>
      <w:r w:rsidRPr="00970EBE">
        <w:rPr>
          <w:rFonts w:hint="cs"/>
          <w:rtl/>
        </w:rPr>
        <w:t xml:space="preserve">נשאלת השאלה </w:t>
      </w:r>
      <w:r w:rsidRPr="00970EBE">
        <w:rPr>
          <w:rtl/>
        </w:rPr>
        <w:t xml:space="preserve">למה הפעולה הראשונה של מרדכי ואסתר היתה </w:t>
      </w:r>
      <w:r w:rsidRPr="00970EBE">
        <w:rPr>
          <w:rFonts w:hint="cs"/>
          <w:rtl/>
        </w:rPr>
        <w:t xml:space="preserve">ללבוש </w:t>
      </w:r>
      <w:r w:rsidRPr="00970EBE">
        <w:rPr>
          <w:rtl/>
        </w:rPr>
        <w:t xml:space="preserve">שק ואפר, </w:t>
      </w:r>
      <w:r w:rsidRPr="00970EBE">
        <w:rPr>
          <w:rFonts w:hint="cs"/>
          <w:rtl/>
        </w:rPr>
        <w:t>להתענות</w:t>
      </w:r>
      <w:r w:rsidRPr="00970EBE">
        <w:rPr>
          <w:rtl/>
        </w:rPr>
        <w:t xml:space="preserve"> וכו', הרי מרדכי היה יושב בשער המלך ואסתר היתה מלכה וא"כ </w:t>
      </w:r>
      <w:r w:rsidRPr="00970EBE">
        <w:rPr>
          <w:rFonts w:hint="cs"/>
          <w:rtl/>
        </w:rPr>
        <w:t>לכאורה כשישנה גזירה כ"כ קשה על עם ישראל, היו צריכים מיד לדבר לשלטון לבטל את הגזירה</w:t>
      </w:r>
      <w:r w:rsidRPr="00970EBE">
        <w:rPr>
          <w:rtl/>
        </w:rPr>
        <w:t xml:space="preserve">? </w:t>
      </w:r>
      <w:r w:rsidRPr="00970EBE">
        <w:rPr>
          <w:rFonts w:hint="cs"/>
          <w:rtl/>
        </w:rPr>
        <w:t>ומתרץ</w:t>
      </w:r>
      <w:r w:rsidRPr="00970EBE">
        <w:rPr>
          <w:rtl/>
        </w:rPr>
        <w:t>, שמ</w:t>
      </w:r>
      <w:r w:rsidRPr="00970EBE">
        <w:rPr>
          <w:rFonts w:hint="cs"/>
          <w:rtl/>
        </w:rPr>
        <w:t xml:space="preserve">רדכי ואסתר הבינו </w:t>
      </w:r>
      <w:r w:rsidRPr="00970EBE">
        <w:rPr>
          <w:rtl/>
        </w:rPr>
        <w:t xml:space="preserve">שהגזירה מגיעה מלמעלה, </w:t>
      </w:r>
      <w:r w:rsidRPr="00970EBE">
        <w:rPr>
          <w:rFonts w:hint="cs"/>
          <w:rtl/>
        </w:rPr>
        <w:t>ו</w:t>
      </w:r>
      <w:r w:rsidRPr="00970EBE">
        <w:rPr>
          <w:rtl/>
        </w:rPr>
        <w:t>לכן הפעולה הראשונה לביטול הגזירה צריכה להיות ע"י עניינים שלמעלה מהטבע –</w:t>
      </w:r>
      <w:r w:rsidRPr="00970EBE">
        <w:rPr>
          <w:rFonts w:hint="cs"/>
          <w:rtl/>
        </w:rPr>
        <w:t xml:space="preserve"> תענית לתשובה וכו'. </w:t>
      </w:r>
    </w:p>
    <w:p w:rsidR="00970EBE" w:rsidRPr="00970EBE" w:rsidRDefault="00970EBE" w:rsidP="00F146A6">
      <w:pPr>
        <w:pStyle w:val="a3"/>
        <w:rPr>
          <w:rFonts w:ascii="Times New Roman" w:hAnsi="Times New Roman" w:cs="Times New Roman"/>
          <w:sz w:val="20"/>
          <w:szCs w:val="20"/>
          <w:rtl/>
        </w:rPr>
      </w:pPr>
      <w:r w:rsidRPr="00970EBE">
        <w:rPr>
          <w:rtl/>
        </w:rPr>
        <w:t xml:space="preserve">אבל </w:t>
      </w:r>
      <w:r w:rsidRPr="00970EBE">
        <w:rPr>
          <w:rFonts w:hint="cs"/>
          <w:rtl/>
        </w:rPr>
        <w:t xml:space="preserve">הרבי שואל באופן </w:t>
      </w:r>
      <w:r w:rsidRPr="00970EBE">
        <w:rPr>
          <w:rtl/>
        </w:rPr>
        <w:t>יותר עמוק</w:t>
      </w:r>
      <w:r w:rsidRPr="00970EBE">
        <w:rPr>
          <w:vertAlign w:val="superscript"/>
          <w:rtl/>
        </w:rPr>
        <w:footnoteReference w:id="90"/>
      </w:r>
      <w:r w:rsidRPr="00970EBE">
        <w:rPr>
          <w:rtl/>
        </w:rPr>
        <w:t xml:space="preserve">: לא רק </w:t>
      </w:r>
      <w:r w:rsidRPr="00970EBE">
        <w:rPr>
          <w:b/>
          <w:bCs/>
          <w:rtl/>
        </w:rPr>
        <w:t>שהפעולה הראשונה</w:t>
      </w:r>
      <w:r w:rsidRPr="00970EBE">
        <w:rPr>
          <w:rtl/>
        </w:rPr>
        <w:t xml:space="preserve"> של אסתר</w:t>
      </w:r>
      <w:r w:rsidRPr="00970EBE">
        <w:rPr>
          <w:rFonts w:hint="cs"/>
          <w:rtl/>
        </w:rPr>
        <w:t xml:space="preserve"> ומרדכי</w:t>
      </w:r>
      <w:r w:rsidRPr="00970EBE">
        <w:rPr>
          <w:rtl/>
        </w:rPr>
        <w:t xml:space="preserve"> היתה לפעול באופן של תענית וכו' לבטל את הגזירה, אלא </w:t>
      </w:r>
      <w:r w:rsidRPr="00970EBE">
        <w:rPr>
          <w:rFonts w:hint="cs"/>
          <w:rtl/>
        </w:rPr>
        <w:t xml:space="preserve">עוד יותר מזה, אסתר עשתה פעולה </w:t>
      </w:r>
      <w:r w:rsidRPr="00970EBE">
        <w:rPr>
          <w:rFonts w:hint="cs"/>
          <w:b/>
          <w:bCs/>
          <w:rtl/>
        </w:rPr>
        <w:t>הפוכה</w:t>
      </w:r>
      <w:r w:rsidRPr="00970EBE">
        <w:rPr>
          <w:rFonts w:hint="cs"/>
          <w:rtl/>
        </w:rPr>
        <w:t xml:space="preserve"> מדרכי הטבע: לפני כניסתה למלך אחשורוש, ובפרט כש"לא נקראתי לבוא אל המלך זה שלושים יום", אסתר לכאורה היתה צריכה </w:t>
      </w:r>
      <w:r w:rsidRPr="00970EBE">
        <w:rPr>
          <w:rtl/>
        </w:rPr>
        <w:lastRenderedPageBreak/>
        <w:t>להתייפות</w:t>
      </w:r>
      <w:r w:rsidRPr="00970EBE">
        <w:rPr>
          <w:rFonts w:hint="cs"/>
          <w:rtl/>
        </w:rPr>
        <w:t xml:space="preserve"> שתמצא חן בעיני אחשורוש. ובפועל היא </w:t>
      </w:r>
      <w:r w:rsidRPr="00970EBE">
        <w:rPr>
          <w:rtl/>
        </w:rPr>
        <w:t>צמה שלושה ימים</w:t>
      </w:r>
      <w:r w:rsidRPr="00970EBE">
        <w:rPr>
          <w:rFonts w:hint="cs"/>
          <w:rtl/>
        </w:rPr>
        <w:t>,</w:t>
      </w:r>
      <w:r w:rsidRPr="00970EBE">
        <w:rPr>
          <w:rtl/>
        </w:rPr>
        <w:t xml:space="preserve"> מה שע"פ הטבע מסיר את החן שלה בעיני המלך אחשורוש, </w:t>
      </w:r>
      <w:r w:rsidRPr="00970EBE">
        <w:rPr>
          <w:rFonts w:hint="cs"/>
          <w:rtl/>
        </w:rPr>
        <w:t xml:space="preserve">ובמקרה כזה אין שום סיכוי בדרך הטבע שהמלך אחשורוש יקבל אותה! </w:t>
      </w:r>
      <w:r w:rsidRPr="00970EBE">
        <w:rPr>
          <w:rtl/>
        </w:rPr>
        <w:t>ו</w:t>
      </w:r>
      <w:r w:rsidRPr="00970EBE">
        <w:rPr>
          <w:rFonts w:hint="cs"/>
          <w:rtl/>
        </w:rPr>
        <w:t xml:space="preserve">כסגנון לשונו של הרבי </w:t>
      </w:r>
      <w:r w:rsidRPr="00970EBE">
        <w:rPr>
          <w:rtl/>
        </w:rPr>
        <w:t>בשיחה</w:t>
      </w:r>
      <w:r w:rsidRPr="00970EBE">
        <w:rPr>
          <w:rFonts w:hint="cs"/>
          <w:rtl/>
        </w:rPr>
        <w:t>,</w:t>
      </w:r>
      <w:r w:rsidRPr="00970EBE">
        <w:rPr>
          <w:rtl/>
        </w:rPr>
        <w:t xml:space="preserve"> ממנ"פ: או שתפעלי רק בדרך של הצלה מלמעלה, או שתעשי גם פעולה בדרך הטבע אבל באופן שבדרך הטבע זה באמת יכול לפעול</w:t>
      </w:r>
      <w:r w:rsidRPr="00970EBE">
        <w:rPr>
          <w:rFonts w:hint="cs"/>
          <w:rtl/>
        </w:rPr>
        <w:t>;</w:t>
      </w:r>
      <w:r w:rsidRPr="00970EBE">
        <w:rPr>
          <w:rtl/>
        </w:rPr>
        <w:t xml:space="preserve"> איז</w:t>
      </w:r>
      <w:r w:rsidRPr="00970EBE">
        <w:rPr>
          <w:rFonts w:hint="cs"/>
          <w:rtl/>
        </w:rPr>
        <w:t>ו</w:t>
      </w:r>
      <w:r w:rsidRPr="00970EBE">
        <w:rPr>
          <w:rtl/>
        </w:rPr>
        <w:t xml:space="preserve"> מין פעולה בדרך הטבע זו</w:t>
      </w:r>
      <w:r w:rsidRPr="00970EBE">
        <w:rPr>
          <w:rFonts w:hint="cs"/>
          <w:rtl/>
        </w:rPr>
        <w:t xml:space="preserve"> להיכנס אל המלך אחרי צום של שלושה ימים</w:t>
      </w:r>
      <w:r w:rsidRPr="00970EBE">
        <w:rPr>
          <w:rtl/>
        </w:rPr>
        <w:t>?!</w:t>
      </w:r>
    </w:p>
    <w:p w:rsidR="00970EBE" w:rsidRPr="00970EBE" w:rsidRDefault="00970EBE" w:rsidP="00F146A6">
      <w:pPr>
        <w:pStyle w:val="a3"/>
        <w:rPr>
          <w:rFonts w:ascii="Times New Roman" w:hAnsi="Times New Roman" w:cs="Times New Roman"/>
          <w:sz w:val="20"/>
          <w:szCs w:val="20"/>
        </w:rPr>
      </w:pPr>
      <w:r w:rsidRPr="00970EBE">
        <w:rPr>
          <w:rtl/>
        </w:rPr>
        <w:t xml:space="preserve">אלא </w:t>
      </w:r>
      <w:r w:rsidRPr="00970EBE">
        <w:rPr>
          <w:rFonts w:hint="cs"/>
          <w:rtl/>
        </w:rPr>
        <w:t>שחשבון זה</w:t>
      </w:r>
      <w:r w:rsidRPr="00970EBE">
        <w:rPr>
          <w:rtl/>
        </w:rPr>
        <w:t xml:space="preserve"> נכון אם נסביר כהאופן הא', אבל אם נסביר כהאופן הב' שהקב"ה החליט שההשפעה תעבור דרך חוקי הטבע, </w:t>
      </w:r>
      <w:r w:rsidRPr="00970EBE">
        <w:rPr>
          <w:rFonts w:hint="cs"/>
          <w:rtl/>
        </w:rPr>
        <w:t>במקרה זה</w:t>
      </w:r>
      <w:r w:rsidRPr="00970EBE">
        <w:rPr>
          <w:rtl/>
        </w:rPr>
        <w:t xml:space="preserve"> הקב"ה החליט שזה יעבור דרך הטבע באופן </w:t>
      </w:r>
      <w:r w:rsidRPr="00970EBE">
        <w:rPr>
          <w:b/>
          <w:bCs/>
          <w:rtl/>
        </w:rPr>
        <w:t>שאין התחשבות בדרכי הטבע</w:t>
      </w:r>
      <w:r w:rsidRPr="00970EBE">
        <w:rPr>
          <w:rtl/>
        </w:rPr>
        <w:t xml:space="preserve"> - להיכנס אל המלך באופן שאין שום סיכוי בדרכי הטבע שזה יפעל.</w:t>
      </w:r>
    </w:p>
    <w:p w:rsidR="00364372" w:rsidRDefault="00364372" w:rsidP="00900523">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900523" w:rsidRDefault="00900523" w:rsidP="00900523">
      <w:pPr>
        <w:pStyle w:val="a0"/>
        <w:rPr>
          <w:rFonts w:ascii="FbVilna Bold" w:hAnsi="FbVilna Bold"/>
          <w:rtl/>
        </w:rPr>
      </w:pPr>
      <w:bookmarkStart w:id="121" w:name="_Toc43963095"/>
      <w:r>
        <w:rPr>
          <w:rFonts w:eastAsia="Arial Unicode MS" w:hint="cs"/>
          <w:rtl/>
        </w:rPr>
        <w:t xml:space="preserve">בגדר חיוב הסיבה במשנת הרבי </w:t>
      </w:r>
      <w:r>
        <w:rPr>
          <w:rFonts w:ascii="FbVilna Bold" w:hAnsi="FbVilna Bold"/>
          <w:rtl/>
        </w:rPr>
        <w:t>(</w:t>
      </w:r>
      <w:r>
        <w:rPr>
          <w:rFonts w:eastAsia="Arial Unicode MS" w:hint="cs"/>
          <w:rtl/>
        </w:rPr>
        <w:t>ג</w:t>
      </w:r>
      <w:r>
        <w:rPr>
          <w:rFonts w:ascii="FbVilna Bold" w:hAnsi="FbVilna Bold"/>
          <w:rtl/>
        </w:rPr>
        <w:t>)</w:t>
      </w:r>
      <w:bookmarkEnd w:id="121"/>
    </w:p>
    <w:p w:rsidR="00900523" w:rsidRPr="00364372" w:rsidRDefault="00900523" w:rsidP="00F146A6">
      <w:pPr>
        <w:pStyle w:val="a"/>
        <w:rPr>
          <w:rtl/>
        </w:rPr>
      </w:pPr>
      <w:bookmarkStart w:id="122" w:name="_Toc43963096"/>
      <w:r w:rsidRPr="00364372">
        <w:rPr>
          <w:rFonts w:hint="cs"/>
          <w:rtl/>
        </w:rPr>
        <w:t>הרב בנימין אפרים ביטון</w:t>
      </w:r>
      <w:bookmarkEnd w:id="122"/>
    </w:p>
    <w:p w:rsidR="00900523" w:rsidRDefault="00900523" w:rsidP="00900523">
      <w:pPr>
        <w:pStyle w:val="a1"/>
        <w:rPr>
          <w:rtl/>
        </w:rPr>
      </w:pPr>
      <w:r w:rsidRPr="00C60FEE">
        <w:rPr>
          <w:rFonts w:hint="cs"/>
          <w:rtl/>
        </w:rPr>
        <w:t xml:space="preserve">שליח כ"ק אדמו"ר </w:t>
      </w:r>
      <w:r w:rsidRPr="00C60FEE">
        <w:rPr>
          <w:rtl/>
        </w:rPr>
        <w:t>–</w:t>
      </w:r>
      <w:r w:rsidRPr="00C60FEE">
        <w:rPr>
          <w:rFonts w:hint="cs"/>
          <w:rtl/>
        </w:rPr>
        <w:t xml:space="preserve"> וונקובר ב.ק. קנדה</w:t>
      </w:r>
    </w:p>
    <w:p w:rsidR="00900523" w:rsidRDefault="00900523" w:rsidP="00F146A6">
      <w:pPr>
        <w:pStyle w:val="11"/>
        <w:bidi/>
        <w:rPr>
          <w:rFonts w:cs="Arial Unicode MS"/>
          <w:rtl/>
        </w:rPr>
      </w:pPr>
      <w:r>
        <w:rPr>
          <w:rFonts w:hint="cs"/>
          <w:rtl/>
        </w:rPr>
        <w:t>ב׳ אופנים בגדר חיוב הסיבה</w:t>
      </w:r>
    </w:p>
    <w:p w:rsidR="00900523" w:rsidRPr="00F80C08" w:rsidRDefault="00900523" w:rsidP="00F146A6">
      <w:pPr>
        <w:pStyle w:val="a3"/>
        <w:rPr>
          <w:rtl/>
        </w:rPr>
      </w:pPr>
      <w:r w:rsidRPr="00F80C08">
        <w:rPr>
          <w:rFonts w:hint="cs"/>
          <w:rtl/>
        </w:rPr>
        <w:t>א</w:t>
      </w:r>
      <w:r w:rsidRPr="00F80C08">
        <w:rPr>
          <w:rtl/>
        </w:rPr>
        <w:t xml:space="preserve">. </w:t>
      </w:r>
      <w:r w:rsidRPr="00F80C08">
        <w:rPr>
          <w:rFonts w:hint="cs"/>
          <w:rtl/>
        </w:rPr>
        <w:t>בלקו״ש חי״א שיחה א׳ לפרשת וארא מבאר רבינו יסוד החיוב דהסיבה די״ל בזה בב׳ אופנים</w:t>
      </w:r>
      <w:r w:rsidRPr="00F80C08">
        <w:rPr>
          <w:rtl/>
        </w:rPr>
        <w:t xml:space="preserve">, </w:t>
      </w:r>
      <w:r w:rsidRPr="00F80C08">
        <w:rPr>
          <w:rFonts w:hint="cs"/>
          <w:rtl/>
        </w:rPr>
        <w:t>הא׳ דהסיבה הוא פרט ותנאי לעיכובא בהמצוות דאכילת מצה ושתיית ד׳ כוסות וכו׳</w:t>
      </w:r>
      <w:r w:rsidRPr="00F80C08">
        <w:rPr>
          <w:rtl/>
        </w:rPr>
        <w:t xml:space="preserve">, </w:t>
      </w:r>
      <w:r w:rsidRPr="00F80C08">
        <w:rPr>
          <w:rFonts w:hint="cs"/>
          <w:rtl/>
        </w:rPr>
        <w:t>והיינו דכשם שישנם פרטים ותנאים בנוגע לכמותה ואיכותה של אכילת המצה ושתיית הד׳ כוסות</w:t>
      </w:r>
      <w:r w:rsidRPr="00F80C08">
        <w:rPr>
          <w:rtl/>
        </w:rPr>
        <w:t xml:space="preserve">, </w:t>
      </w:r>
      <w:r w:rsidRPr="00F80C08">
        <w:rPr>
          <w:rFonts w:hint="cs"/>
          <w:rtl/>
        </w:rPr>
        <w:t>הנה כך יש תנאי באופן האכילה והשתייה דצ״ל בהסיבה</w:t>
      </w:r>
      <w:r w:rsidRPr="00F80C08">
        <w:rPr>
          <w:rtl/>
        </w:rPr>
        <w:t>.</w:t>
      </w:r>
    </w:p>
    <w:p w:rsidR="00900523" w:rsidRPr="00F80C08" w:rsidRDefault="00900523" w:rsidP="00F146A6">
      <w:pPr>
        <w:pStyle w:val="a3"/>
        <w:rPr>
          <w:rtl/>
        </w:rPr>
      </w:pPr>
      <w:r w:rsidRPr="00F80C08">
        <w:rPr>
          <w:rFonts w:hint="cs"/>
          <w:rtl/>
        </w:rPr>
        <w:t>והב׳ דהסיבה היא מצוה כללית בפני עצמה</w:t>
      </w:r>
      <w:r w:rsidRPr="00F80C08">
        <w:rPr>
          <w:rtl/>
        </w:rPr>
        <w:t xml:space="preserve">, </w:t>
      </w:r>
      <w:r w:rsidRPr="00F80C08">
        <w:rPr>
          <w:rFonts w:hint="cs"/>
          <w:rtl/>
        </w:rPr>
        <w:t>והיינו שבליל פסח ישנו חיוב להראות את עצמו דרך חירות</w:t>
      </w:r>
      <w:r w:rsidRPr="00F80C08">
        <w:rPr>
          <w:rtl/>
        </w:rPr>
        <w:t xml:space="preserve">, </w:t>
      </w:r>
      <w:r w:rsidRPr="00F80C08">
        <w:rPr>
          <w:rFonts w:hint="cs"/>
          <w:rtl/>
        </w:rPr>
        <w:t>ומראים זה על אכילה ושתייה בהסיבה</w:t>
      </w:r>
      <w:r w:rsidRPr="00F80C08">
        <w:rPr>
          <w:rtl/>
        </w:rPr>
        <w:t xml:space="preserve">, </w:t>
      </w:r>
      <w:r w:rsidRPr="00F80C08">
        <w:rPr>
          <w:rFonts w:hint="cs"/>
          <w:rtl/>
        </w:rPr>
        <w:t>והיינו על ידי אכילת מצה ושתיית ד׳ כוסות בהסיבה</w:t>
      </w:r>
      <w:r w:rsidRPr="00F80C08">
        <w:rPr>
          <w:rtl/>
        </w:rPr>
        <w:t xml:space="preserve">, </w:t>
      </w:r>
      <w:r w:rsidRPr="00F80C08">
        <w:rPr>
          <w:rFonts w:hint="cs"/>
          <w:rtl/>
        </w:rPr>
        <w:t>יעויי״ש ובהערות הביאור בכל זה והנפק״מ המסתעפות מחקירה זו בארוכה</w:t>
      </w:r>
      <w:r w:rsidRPr="00F80C08">
        <w:rPr>
          <w:rtl/>
        </w:rPr>
        <w:t>.</w:t>
      </w:r>
    </w:p>
    <w:p w:rsidR="00900523" w:rsidRPr="00F80C08" w:rsidRDefault="00900523" w:rsidP="00F146A6">
      <w:pPr>
        <w:pStyle w:val="a3"/>
        <w:rPr>
          <w:rtl/>
        </w:rPr>
      </w:pPr>
      <w:r w:rsidRPr="00F80C08">
        <w:rPr>
          <w:rFonts w:hint="cs"/>
          <w:rtl/>
        </w:rPr>
        <w:t>ובגליונות שעברו כתבנו להעיר כמה עיונים והערות בדברי רבינו בכל זה</w:t>
      </w:r>
      <w:r w:rsidRPr="00F80C08">
        <w:rPr>
          <w:rtl/>
        </w:rPr>
        <w:t xml:space="preserve">, </w:t>
      </w:r>
      <w:r w:rsidRPr="00F80C08">
        <w:rPr>
          <w:rFonts w:hint="cs"/>
          <w:rtl/>
        </w:rPr>
        <w:t>ויש להוסיף בזה עוד כמה עיונים והערות וכדלקמן במרוצת דברינו בע״ה</w:t>
      </w:r>
      <w:r w:rsidRPr="00F80C08">
        <w:rPr>
          <w:rtl/>
        </w:rPr>
        <w:t>.</w:t>
      </w:r>
    </w:p>
    <w:p w:rsidR="00900523" w:rsidRPr="00F80C08" w:rsidRDefault="00900523" w:rsidP="00235D91">
      <w:pPr>
        <w:pStyle w:val="11"/>
        <w:bidi/>
        <w:rPr>
          <w:rtl/>
        </w:rPr>
      </w:pPr>
      <w:r w:rsidRPr="00F80C08">
        <w:rPr>
          <w:rFonts w:hint="cs"/>
          <w:rtl/>
        </w:rPr>
        <w:t>יסוד החילוק דהטעמים ודרשות חז״ל בתקנת ד׳ כוסות</w:t>
      </w:r>
    </w:p>
    <w:p w:rsidR="00900523" w:rsidRPr="00F80C08" w:rsidRDefault="00900523" w:rsidP="00F146A6">
      <w:pPr>
        <w:pStyle w:val="a3"/>
        <w:rPr>
          <w:rtl/>
        </w:rPr>
      </w:pPr>
      <w:r w:rsidRPr="00F80C08">
        <w:rPr>
          <w:rFonts w:hint="cs"/>
          <w:rtl/>
        </w:rPr>
        <w:t>ב</w:t>
      </w:r>
      <w:r w:rsidRPr="00F80C08">
        <w:rPr>
          <w:rtl/>
        </w:rPr>
        <w:t xml:space="preserve">. </w:t>
      </w:r>
      <w:r w:rsidRPr="00F80C08">
        <w:rPr>
          <w:rFonts w:hint="cs"/>
          <w:rtl/>
        </w:rPr>
        <w:t>דהנה יעויי״ש בהשיחה שמבאר רבינו יסוד החילוק דדרשות חז״ל בתקנת החיוב דד׳ כוסות</w:t>
      </w:r>
      <w:r w:rsidRPr="00F80C08">
        <w:rPr>
          <w:rtl/>
        </w:rPr>
        <w:t xml:space="preserve">, </w:t>
      </w:r>
      <w:r w:rsidRPr="00F80C08">
        <w:rPr>
          <w:rFonts w:hint="cs"/>
          <w:rtl/>
        </w:rPr>
        <w:t>דאיתא בירושלמי פסחים פ״י ה״א ״מנין לד׳ כוסות</w:t>
      </w:r>
      <w:r w:rsidRPr="00F80C08">
        <w:rPr>
          <w:rtl/>
        </w:rPr>
        <w:t xml:space="preserve">, </w:t>
      </w:r>
      <w:r w:rsidRPr="00F80C08">
        <w:rPr>
          <w:rFonts w:hint="cs"/>
          <w:rtl/>
        </w:rPr>
        <w:t xml:space="preserve">רבי יוחנן בשם ר׳ בניי׳ כנגד ד׳ גאולות </w:t>
      </w:r>
      <w:r w:rsidRPr="00F80C08">
        <w:rPr>
          <w:rtl/>
        </w:rPr>
        <w:t>[</w:t>
      </w:r>
      <w:r w:rsidRPr="00F80C08">
        <w:rPr>
          <w:rFonts w:hint="cs"/>
          <w:rtl/>
        </w:rPr>
        <w:t>לשונות של גאולה שהוזכרו בפרשה כשנתבשרו על גאולת מצרים</w:t>
      </w:r>
      <w:r w:rsidRPr="00F80C08">
        <w:rPr>
          <w:rtl/>
        </w:rPr>
        <w:t xml:space="preserve">, </w:t>
      </w:r>
      <w:r w:rsidRPr="00F80C08">
        <w:rPr>
          <w:rFonts w:hint="cs"/>
          <w:rtl/>
        </w:rPr>
        <w:lastRenderedPageBreak/>
        <w:t>פני משה</w:t>
      </w:r>
      <w:r w:rsidRPr="00F80C08">
        <w:rPr>
          <w:rtl/>
        </w:rPr>
        <w:t xml:space="preserve">], </w:t>
      </w:r>
      <w:r w:rsidRPr="00F80C08">
        <w:rPr>
          <w:rFonts w:hint="cs"/>
          <w:rtl/>
        </w:rPr>
        <w:t>לכן אומר וגו׳ והוצאתי גו׳ והצלתי גו׳ וגאלתי גו׳ ולקחתי גו׳״</w:t>
      </w:r>
      <w:r w:rsidRPr="00F80C08">
        <w:rPr>
          <w:rtl/>
        </w:rPr>
        <w:t>.</w:t>
      </w:r>
    </w:p>
    <w:p w:rsidR="00900523" w:rsidRPr="00F80C08" w:rsidRDefault="00900523" w:rsidP="00F146A6">
      <w:pPr>
        <w:pStyle w:val="a3"/>
        <w:rPr>
          <w:rtl/>
        </w:rPr>
      </w:pPr>
      <w:r w:rsidRPr="00F80C08">
        <w:rPr>
          <w:rFonts w:hint="cs"/>
          <w:rtl/>
        </w:rPr>
        <w:t>ועוד טעמים נאמרו בירושלמי שם ״ריב״ל אמר כנגד ד׳ כוסות של פרעה וכו׳</w:t>
      </w:r>
      <w:r w:rsidRPr="00F80C08">
        <w:rPr>
          <w:rtl/>
        </w:rPr>
        <w:t xml:space="preserve">, </w:t>
      </w:r>
      <w:r w:rsidRPr="00F80C08">
        <w:rPr>
          <w:rFonts w:hint="cs"/>
          <w:rtl/>
        </w:rPr>
        <w:t>ר׳ לוי אמר כנגד ד׳ מלכיות</w:t>
      </w:r>
      <w:r w:rsidRPr="00F80C08">
        <w:rPr>
          <w:rtl/>
        </w:rPr>
        <w:t xml:space="preserve">, </w:t>
      </w:r>
      <w:r w:rsidRPr="00F80C08">
        <w:rPr>
          <w:rFonts w:hint="cs"/>
          <w:rtl/>
        </w:rPr>
        <w:t xml:space="preserve">ורבנן אמרי כנגד ד׳ כוסות של פורענות שהקב״ה עתיד להשקות את אומות העולם </w:t>
      </w:r>
      <w:r w:rsidRPr="00F80C08">
        <w:rPr>
          <w:rtl/>
        </w:rPr>
        <w:t xml:space="preserve">. . </w:t>
      </w:r>
      <w:r w:rsidRPr="00F80C08">
        <w:rPr>
          <w:rFonts w:hint="cs"/>
          <w:rtl/>
        </w:rPr>
        <w:t xml:space="preserve">וכנגדן עתיד הקב״ה להשקות את ישראל ד׳ כוסות של נחמות וכו׳״ </w:t>
      </w:r>
      <w:r w:rsidRPr="00F80C08">
        <w:rPr>
          <w:rtl/>
        </w:rPr>
        <w:t>[</w:t>
      </w:r>
      <w:r w:rsidRPr="00F80C08">
        <w:rPr>
          <w:rFonts w:hint="cs"/>
          <w:rtl/>
        </w:rPr>
        <w:t>ועד״ז הוא גם בב״ר פפ״ח</w:t>
      </w:r>
      <w:r w:rsidRPr="00F80C08">
        <w:rPr>
          <w:rtl/>
        </w:rPr>
        <w:t xml:space="preserve">, </w:t>
      </w:r>
      <w:r w:rsidRPr="00F80C08">
        <w:rPr>
          <w:rFonts w:hint="cs"/>
          <w:rtl/>
        </w:rPr>
        <w:t>ה עיי״ש</w:t>
      </w:r>
      <w:r w:rsidRPr="00F80C08">
        <w:rPr>
          <w:rtl/>
        </w:rPr>
        <w:t>].</w:t>
      </w:r>
    </w:p>
    <w:p w:rsidR="00900523" w:rsidRPr="00F80C08" w:rsidRDefault="00900523" w:rsidP="00F146A6">
      <w:pPr>
        <w:pStyle w:val="a3"/>
        <w:rPr>
          <w:rtl/>
        </w:rPr>
      </w:pPr>
      <w:r w:rsidRPr="00F80C08">
        <w:rPr>
          <w:rFonts w:hint="cs"/>
          <w:rtl/>
        </w:rPr>
        <w:t xml:space="preserve">ומבאר רבינו דמהני טעמים ודרשות ביסוד החיוב דד׳ כוסות יוצא נפקא מינה להלכה בגדר החיוב דהסיבה </w:t>
      </w:r>
      <w:r w:rsidRPr="00F80C08">
        <w:rPr>
          <w:rtl/>
        </w:rPr>
        <w:t>[</w:t>
      </w:r>
      <w:r w:rsidRPr="00F80C08">
        <w:rPr>
          <w:rFonts w:hint="cs"/>
          <w:rtl/>
        </w:rPr>
        <w:t>בשייכות להמצוה דד׳ כוסות</w:t>
      </w:r>
      <w:r w:rsidRPr="00F80C08">
        <w:rPr>
          <w:rtl/>
        </w:rPr>
        <w:t xml:space="preserve">] </w:t>
      </w:r>
      <w:r w:rsidRPr="00F80C08">
        <w:rPr>
          <w:rFonts w:hint="cs"/>
          <w:rtl/>
        </w:rPr>
        <w:t>אם הוא תנאי ופרט בהמצוה דד׳ כוסות או שהוא מצוה כללית בפ״ע</w:t>
      </w:r>
      <w:r w:rsidRPr="00F80C08">
        <w:rPr>
          <w:rtl/>
        </w:rPr>
        <w:t xml:space="preserve">. </w:t>
      </w:r>
    </w:p>
    <w:p w:rsidR="00900523" w:rsidRPr="00F80C08" w:rsidRDefault="00900523" w:rsidP="00F146A6">
      <w:pPr>
        <w:pStyle w:val="a3"/>
        <w:rPr>
          <w:rtl/>
        </w:rPr>
      </w:pPr>
      <w:r w:rsidRPr="00F80C08">
        <w:rPr>
          <w:rFonts w:hint="cs"/>
          <w:rtl/>
        </w:rPr>
        <w:t>דהנה להני טעמים האחרים ״כנגד ד׳ כוסות של פרעה</w:t>
      </w:r>
      <w:r w:rsidRPr="00F80C08">
        <w:rPr>
          <w:rtl/>
        </w:rPr>
        <w:t xml:space="preserve"> . . </w:t>
      </w:r>
      <w:r w:rsidRPr="00F80C08">
        <w:rPr>
          <w:rFonts w:hint="cs"/>
          <w:rtl/>
        </w:rPr>
        <w:t>כנגד ד׳ מלכיות</w:t>
      </w:r>
      <w:r w:rsidRPr="00F80C08">
        <w:rPr>
          <w:rtl/>
        </w:rPr>
        <w:t xml:space="preserve"> . . </w:t>
      </w:r>
      <w:r w:rsidRPr="00F80C08">
        <w:rPr>
          <w:rFonts w:hint="cs"/>
          <w:rtl/>
        </w:rPr>
        <w:t xml:space="preserve">כנגד ד׳ כוסות של פורענות וכו׳ </w:t>
      </w:r>
      <w:r w:rsidRPr="00F80C08">
        <w:rPr>
          <w:rtl/>
        </w:rPr>
        <w:t xml:space="preserve">. . </w:t>
      </w:r>
      <w:r w:rsidRPr="00F80C08">
        <w:rPr>
          <w:rFonts w:hint="cs"/>
          <w:rtl/>
        </w:rPr>
        <w:t>וכנגדן עתיד הקב״ה להשקות את ישראל ד׳ כוסות של נחמות״</w:t>
      </w:r>
      <w:r w:rsidRPr="00F80C08">
        <w:rPr>
          <w:rtl/>
        </w:rPr>
        <w:t xml:space="preserve">, </w:t>
      </w:r>
      <w:r w:rsidRPr="00F80C08">
        <w:rPr>
          <w:rFonts w:hint="cs"/>
          <w:rtl/>
        </w:rPr>
        <w:t>הרי נמצינו למדים שאין עיקר התקנה דד׳ כוסות משום לתא דזכר לגאולה וחירות של ישראל</w:t>
      </w:r>
      <w:r w:rsidRPr="00F80C08">
        <w:rPr>
          <w:rtl/>
        </w:rPr>
        <w:t xml:space="preserve">, </w:t>
      </w:r>
      <w:r w:rsidRPr="00F80C08">
        <w:rPr>
          <w:rFonts w:hint="cs"/>
          <w:rtl/>
        </w:rPr>
        <w:t>משא״כ להך טעמא דהתקנה דד׳ כוסות היא כנגד ד׳ לשונות של גאולה</w:t>
      </w:r>
      <w:r w:rsidRPr="00F80C08">
        <w:rPr>
          <w:rtl/>
        </w:rPr>
        <w:t xml:space="preserve">, </w:t>
      </w:r>
      <w:r w:rsidRPr="00F80C08">
        <w:rPr>
          <w:rFonts w:hint="cs"/>
          <w:rtl/>
        </w:rPr>
        <w:t>הרי יוצא שכל ענינם ומהותם של הד׳ כוסות הם הם זכר לגאולה וחירות</w:t>
      </w:r>
      <w:r w:rsidRPr="00F80C08">
        <w:rPr>
          <w:rtl/>
        </w:rPr>
        <w:t>.</w:t>
      </w:r>
    </w:p>
    <w:p w:rsidR="00900523" w:rsidRPr="00F80C08" w:rsidRDefault="00900523" w:rsidP="00F146A6">
      <w:pPr>
        <w:pStyle w:val="a3"/>
        <w:rPr>
          <w:rtl/>
        </w:rPr>
      </w:pPr>
      <w:r w:rsidRPr="00F80C08">
        <w:rPr>
          <w:rFonts w:hint="cs"/>
          <w:rtl/>
        </w:rPr>
        <w:t>ולפ״ז י״ל דלהני טעמים האחרים אין חיוב הסיבה בגדר תנאי ופרט בהמצוה דד׳ כוסות</w:t>
      </w:r>
      <w:r w:rsidRPr="00F80C08">
        <w:rPr>
          <w:rtl/>
        </w:rPr>
        <w:t xml:space="preserve">, </w:t>
      </w:r>
      <w:r w:rsidRPr="00F80C08">
        <w:rPr>
          <w:rFonts w:hint="cs"/>
          <w:rtl/>
        </w:rPr>
        <w:t>דמהיכי תיתי</w:t>
      </w:r>
      <w:r w:rsidRPr="00F80C08">
        <w:rPr>
          <w:rtl/>
        </w:rPr>
        <w:t xml:space="preserve">, </w:t>
      </w:r>
      <w:r w:rsidRPr="00F80C08">
        <w:rPr>
          <w:rFonts w:hint="cs"/>
          <w:rtl/>
        </w:rPr>
        <w:t xml:space="preserve">ומדוע שתהא ההסיבה </w:t>
      </w:r>
      <w:r w:rsidRPr="00F80C08">
        <w:rPr>
          <w:rtl/>
        </w:rPr>
        <w:t>[</w:t>
      </w:r>
      <w:r w:rsidRPr="00F80C08">
        <w:rPr>
          <w:rFonts w:hint="cs"/>
          <w:rtl/>
        </w:rPr>
        <w:t>הנהגה דדרך חירות</w:t>
      </w:r>
      <w:r w:rsidRPr="00F80C08">
        <w:rPr>
          <w:rtl/>
        </w:rPr>
        <w:t xml:space="preserve">] </w:t>
      </w:r>
      <w:r w:rsidRPr="00F80C08">
        <w:rPr>
          <w:rFonts w:hint="cs"/>
          <w:rtl/>
        </w:rPr>
        <w:t xml:space="preserve">תנאי </w:t>
      </w:r>
      <w:r w:rsidRPr="00F80C08">
        <w:rPr>
          <w:rtl/>
        </w:rPr>
        <w:t xml:space="preserve">– </w:t>
      </w:r>
      <w:r w:rsidRPr="00F80C08">
        <w:rPr>
          <w:rFonts w:hint="cs"/>
          <w:rtl/>
        </w:rPr>
        <w:t xml:space="preserve">ועוד לעיכובא </w:t>
      </w:r>
      <w:r w:rsidRPr="00F80C08">
        <w:rPr>
          <w:rtl/>
        </w:rPr>
        <w:t xml:space="preserve">– </w:t>
      </w:r>
      <w:r w:rsidRPr="00F80C08">
        <w:rPr>
          <w:rFonts w:hint="cs"/>
          <w:rtl/>
        </w:rPr>
        <w:t>בהמצוה דד׳ כוסות</w:t>
      </w:r>
      <w:r w:rsidRPr="00F80C08">
        <w:rPr>
          <w:rtl/>
        </w:rPr>
        <w:t xml:space="preserve">, </w:t>
      </w:r>
      <w:r w:rsidRPr="00F80C08">
        <w:rPr>
          <w:rFonts w:hint="cs"/>
          <w:rtl/>
        </w:rPr>
        <w:t>דבשלמא אם תיקנו חכמים לשתות ד׳ כוסות משום זכר לגאולה וחירות</w:t>
      </w:r>
      <w:r w:rsidRPr="00F80C08">
        <w:rPr>
          <w:rtl/>
        </w:rPr>
        <w:t xml:space="preserve">, </w:t>
      </w:r>
      <w:r w:rsidRPr="00F80C08">
        <w:rPr>
          <w:rFonts w:hint="cs"/>
          <w:rtl/>
        </w:rPr>
        <w:t>שפיר ניתן לומר שגם תיקנו שההסיבה היא תנאי בהמצוה</w:t>
      </w:r>
      <w:r w:rsidRPr="00F80C08">
        <w:rPr>
          <w:rtl/>
        </w:rPr>
        <w:t xml:space="preserve">, </w:t>
      </w:r>
      <w:r w:rsidRPr="00F80C08">
        <w:rPr>
          <w:rFonts w:hint="cs"/>
          <w:rtl/>
        </w:rPr>
        <w:t xml:space="preserve">והיינו שתוכן ענינם של ד׳ כוסות </w:t>
      </w:r>
      <w:r w:rsidRPr="00F80C08">
        <w:rPr>
          <w:rtl/>
        </w:rPr>
        <w:t>[</w:t>
      </w:r>
      <w:r w:rsidRPr="00F80C08">
        <w:rPr>
          <w:rFonts w:hint="cs"/>
          <w:rtl/>
        </w:rPr>
        <w:t>זכר לגאולה וחירות</w:t>
      </w:r>
      <w:r w:rsidRPr="00F80C08">
        <w:rPr>
          <w:rtl/>
        </w:rPr>
        <w:t xml:space="preserve">] </w:t>
      </w:r>
      <w:r w:rsidRPr="00F80C08">
        <w:rPr>
          <w:rFonts w:hint="cs"/>
          <w:rtl/>
        </w:rPr>
        <w:t>מצריך בהם את חיוב ההסיבה בכדי שה״זכר לגאולה ולחירות״ שלהן יהי׳ שלם בכל הפרטים</w:t>
      </w:r>
      <w:r w:rsidRPr="00F80C08">
        <w:rPr>
          <w:rtl/>
        </w:rPr>
        <w:t xml:space="preserve">, </w:t>
      </w:r>
      <w:r w:rsidRPr="00F80C08">
        <w:rPr>
          <w:rFonts w:hint="cs"/>
          <w:rtl/>
        </w:rPr>
        <w:t>משא״כ אם נאמר שאין לחיוב ד׳ כוסות שייכות לגאולה וחירות של ישראל אלא לד׳ כוסות של פרעה וכו׳</w:t>
      </w:r>
      <w:r w:rsidRPr="00F80C08">
        <w:rPr>
          <w:rtl/>
        </w:rPr>
        <w:t xml:space="preserve">, </w:t>
      </w:r>
      <w:r w:rsidRPr="00F80C08">
        <w:rPr>
          <w:rFonts w:hint="cs"/>
          <w:rtl/>
        </w:rPr>
        <w:t xml:space="preserve">הרי א״א לומר שחיוב ההסיבה </w:t>
      </w:r>
      <w:r w:rsidRPr="00F80C08">
        <w:rPr>
          <w:rtl/>
        </w:rPr>
        <w:t>[</w:t>
      </w:r>
      <w:r w:rsidRPr="00F80C08">
        <w:rPr>
          <w:rFonts w:hint="cs"/>
          <w:rtl/>
        </w:rPr>
        <w:t>הנהגה דדרך חירות</w:t>
      </w:r>
      <w:r w:rsidRPr="00F80C08">
        <w:rPr>
          <w:rtl/>
        </w:rPr>
        <w:t>]</w:t>
      </w:r>
      <w:r w:rsidRPr="00F80C08">
        <w:rPr>
          <w:rFonts w:hint="cs"/>
          <w:rtl/>
        </w:rPr>
        <w:t xml:space="preserve"> יהא תנאי בהמצוה דד׳ כוסות</w:t>
      </w:r>
      <w:r w:rsidRPr="00F80C08">
        <w:rPr>
          <w:rtl/>
        </w:rPr>
        <w:t xml:space="preserve">, </w:t>
      </w:r>
      <w:r w:rsidRPr="00F80C08">
        <w:rPr>
          <w:rFonts w:hint="cs"/>
          <w:rtl/>
        </w:rPr>
        <w:t xml:space="preserve">ובע״כ שלטעמים אלו חיוב ההסיבה </w:t>
      </w:r>
      <w:r w:rsidRPr="00F80C08">
        <w:rPr>
          <w:rtl/>
        </w:rPr>
        <w:t>[</w:t>
      </w:r>
      <w:r w:rsidRPr="00F80C08">
        <w:rPr>
          <w:rFonts w:hint="cs"/>
          <w:rtl/>
        </w:rPr>
        <w:t>בשייכות להד׳ כוסות</w:t>
      </w:r>
      <w:r w:rsidRPr="009F0D7D">
        <w:rPr>
          <w:vertAlign w:val="superscript"/>
        </w:rPr>
        <w:footnoteReference w:id="91"/>
      </w:r>
      <w:r w:rsidRPr="00F80C08">
        <w:rPr>
          <w:rtl/>
        </w:rPr>
        <w:t xml:space="preserve">] </w:t>
      </w:r>
      <w:r w:rsidRPr="00F80C08">
        <w:rPr>
          <w:rFonts w:hint="cs"/>
          <w:rtl/>
        </w:rPr>
        <w:t>היא מצוה כללית בפ״ע</w:t>
      </w:r>
      <w:r w:rsidRPr="00F80C08">
        <w:rPr>
          <w:rtl/>
        </w:rPr>
        <w:t>.</w:t>
      </w:r>
    </w:p>
    <w:p w:rsidR="00900523" w:rsidRPr="00F80C08" w:rsidRDefault="00900523" w:rsidP="00F146A6">
      <w:pPr>
        <w:pStyle w:val="a3"/>
        <w:rPr>
          <w:rtl/>
        </w:rPr>
      </w:pPr>
      <w:r w:rsidRPr="00F80C08">
        <w:rPr>
          <w:rFonts w:hint="cs"/>
          <w:rtl/>
        </w:rPr>
        <w:lastRenderedPageBreak/>
        <w:t>משא״כ להך טעמא דתקנת הד׳ כוסות היא כנגד ד׳ לשונות של גאולה</w:t>
      </w:r>
      <w:r w:rsidRPr="00F80C08">
        <w:rPr>
          <w:rtl/>
        </w:rPr>
        <w:t xml:space="preserve">, </w:t>
      </w:r>
      <w:r w:rsidRPr="00F80C08">
        <w:rPr>
          <w:rFonts w:hint="cs"/>
          <w:rtl/>
        </w:rPr>
        <w:t>הרי שפיר יש לומר דהסיבה היא תנאי ופרט בהמצוה דד׳ כוסות</w:t>
      </w:r>
      <w:r w:rsidRPr="00F80C08">
        <w:rPr>
          <w:rtl/>
        </w:rPr>
        <w:t xml:space="preserve">, </w:t>
      </w:r>
      <w:r w:rsidRPr="00F80C08">
        <w:rPr>
          <w:rFonts w:hint="cs"/>
          <w:rtl/>
        </w:rPr>
        <w:t>והיינו דמכיון שלטעם זה ענינם של ד׳ כוסות הוא הוא זכר לגאולה של ישראל</w:t>
      </w:r>
      <w:r w:rsidRPr="00F80C08">
        <w:rPr>
          <w:rtl/>
        </w:rPr>
        <w:t xml:space="preserve">, </w:t>
      </w:r>
      <w:r w:rsidRPr="00F80C08">
        <w:rPr>
          <w:rFonts w:hint="cs"/>
          <w:rtl/>
        </w:rPr>
        <w:t>הנה שפיר יתכן לומר שתיקנו חכמים שיהא אופן שתייתם של ד׳ כוסות בהסיבה ודרך חירות</w:t>
      </w:r>
      <w:r w:rsidRPr="00F80C08">
        <w:rPr>
          <w:rtl/>
        </w:rPr>
        <w:t xml:space="preserve">, </w:t>
      </w:r>
      <w:r w:rsidRPr="00F80C08">
        <w:rPr>
          <w:rFonts w:hint="cs"/>
          <w:rtl/>
        </w:rPr>
        <w:t>בכדי שהזכר לגאולה שלהן יהי׳ שלם בכל הפרטים</w:t>
      </w:r>
      <w:r w:rsidRPr="00F80C08">
        <w:rPr>
          <w:rtl/>
        </w:rPr>
        <w:t xml:space="preserve">, </w:t>
      </w:r>
      <w:r w:rsidRPr="00F80C08">
        <w:rPr>
          <w:rFonts w:hint="cs"/>
          <w:rtl/>
        </w:rPr>
        <w:t xml:space="preserve">יעויי״ש בכל זה בהשיחה שם עמ׳ </w:t>
      </w:r>
      <w:r w:rsidRPr="00F80C08">
        <w:rPr>
          <w:rtl/>
        </w:rPr>
        <w:t>19-20.</w:t>
      </w:r>
    </w:p>
    <w:p w:rsidR="00900523" w:rsidRPr="00F80C08" w:rsidRDefault="00900523" w:rsidP="00F146A6">
      <w:pPr>
        <w:pStyle w:val="a3"/>
        <w:rPr>
          <w:rtl/>
        </w:rPr>
      </w:pPr>
      <w:r w:rsidRPr="00F80C08">
        <w:rPr>
          <w:rFonts w:hint="cs"/>
          <w:rtl/>
        </w:rPr>
        <w:t>ג</w:t>
      </w:r>
      <w:r w:rsidRPr="00F80C08">
        <w:rPr>
          <w:rtl/>
        </w:rPr>
        <w:t xml:space="preserve">. </w:t>
      </w:r>
      <w:r w:rsidRPr="00F80C08">
        <w:rPr>
          <w:rFonts w:hint="cs"/>
          <w:rtl/>
        </w:rPr>
        <w:t>ויש להעיר ולהבהיר בביאור הדברים</w:t>
      </w:r>
      <w:r w:rsidRPr="00F80C08">
        <w:rPr>
          <w:rtl/>
        </w:rPr>
        <w:t xml:space="preserve">, </w:t>
      </w:r>
      <w:r w:rsidRPr="00F80C08">
        <w:rPr>
          <w:rFonts w:hint="cs"/>
          <w:rtl/>
        </w:rPr>
        <w:t xml:space="preserve">דחלוקים הני טעמים האחרים שבהם אי אפשר לומר כהצד דהסיבה היא תנאי ופרט בהמצוה דד׳ כוסות ועל כרחך צ״ל לטעמים אלו דהסיבה </w:t>
      </w:r>
      <w:r w:rsidRPr="00F80C08">
        <w:rPr>
          <w:rtl/>
        </w:rPr>
        <w:t>[</w:t>
      </w:r>
      <w:r w:rsidRPr="00F80C08">
        <w:rPr>
          <w:rFonts w:hint="cs"/>
          <w:rtl/>
        </w:rPr>
        <w:t>בשייכות לד׳ כוסות</w:t>
      </w:r>
      <w:r w:rsidRPr="00F80C08">
        <w:rPr>
          <w:rtl/>
        </w:rPr>
        <w:t xml:space="preserve">] </w:t>
      </w:r>
      <w:r w:rsidRPr="00F80C08">
        <w:rPr>
          <w:rFonts w:hint="cs"/>
          <w:rtl/>
        </w:rPr>
        <w:t>הוי מצוה כללית בפ״ע</w:t>
      </w:r>
      <w:r w:rsidRPr="00F80C08">
        <w:rPr>
          <w:rtl/>
        </w:rPr>
        <w:t xml:space="preserve">, </w:t>
      </w:r>
      <w:r w:rsidRPr="00F80C08">
        <w:rPr>
          <w:rFonts w:hint="cs"/>
          <w:rtl/>
        </w:rPr>
        <w:t>מהך טעמא דד׳ כוסות נתקנו כנגד ד׳ לשונות של גאולה</w:t>
      </w:r>
      <w:r w:rsidRPr="00F80C08">
        <w:rPr>
          <w:rtl/>
        </w:rPr>
        <w:t xml:space="preserve">, </w:t>
      </w:r>
      <w:r w:rsidRPr="00F80C08">
        <w:rPr>
          <w:rFonts w:hint="cs"/>
          <w:rtl/>
        </w:rPr>
        <w:t>שאין הפירוש כי לטעם זה בעל כרחך צריך לומר כהצד דהסיבה היא תנאי ופרט בהמצוה דד׳ כוסות</w:t>
      </w:r>
      <w:r w:rsidRPr="00F80C08">
        <w:rPr>
          <w:rtl/>
        </w:rPr>
        <w:t xml:space="preserve">, </w:t>
      </w:r>
      <w:r w:rsidRPr="00F80C08">
        <w:rPr>
          <w:rFonts w:hint="cs"/>
          <w:rtl/>
        </w:rPr>
        <w:t>אלא הפירוש הוא רק דשפיר יתכן לומר כן</w:t>
      </w:r>
      <w:r w:rsidRPr="00F80C08">
        <w:rPr>
          <w:rtl/>
        </w:rPr>
        <w:t xml:space="preserve">, </w:t>
      </w:r>
      <w:r w:rsidRPr="00F80C08">
        <w:rPr>
          <w:rFonts w:hint="cs"/>
          <w:rtl/>
        </w:rPr>
        <w:t>אמנם עדיין שפיר יש מקום בסברא לומר גם דס״ל לטעם זה כהצד דהסיבה היא מצוה כללית בפ״ע</w:t>
      </w:r>
      <w:r w:rsidRPr="00F80C08">
        <w:rPr>
          <w:rtl/>
        </w:rPr>
        <w:t>.</w:t>
      </w:r>
    </w:p>
    <w:p w:rsidR="00900523" w:rsidRPr="00F80C08" w:rsidRDefault="00900523" w:rsidP="00F146A6">
      <w:pPr>
        <w:pStyle w:val="a3"/>
        <w:rPr>
          <w:rtl/>
        </w:rPr>
      </w:pPr>
      <w:r w:rsidRPr="00F80C08">
        <w:rPr>
          <w:rFonts w:hint="cs"/>
          <w:rtl/>
        </w:rPr>
        <w:t xml:space="preserve">והיינו דמזה שתיקנו חכמים ד׳ כוסות כנגד לשונות של גאולה אינו מוכרח דהסיבה תהא תנאי </w:t>
      </w:r>
      <w:r w:rsidRPr="00F80C08">
        <w:rPr>
          <w:rtl/>
        </w:rPr>
        <w:t xml:space="preserve">– </w:t>
      </w:r>
      <w:r w:rsidRPr="00F80C08">
        <w:rPr>
          <w:rFonts w:hint="cs"/>
          <w:rtl/>
        </w:rPr>
        <w:t xml:space="preserve">ועוד לעיכובא </w:t>
      </w:r>
      <w:r w:rsidRPr="00F80C08">
        <w:rPr>
          <w:rtl/>
        </w:rPr>
        <w:t xml:space="preserve">– </w:t>
      </w:r>
      <w:r w:rsidRPr="00F80C08">
        <w:rPr>
          <w:rFonts w:hint="cs"/>
          <w:rtl/>
        </w:rPr>
        <w:t>בהמצוה דד׳ כוסות</w:t>
      </w:r>
      <w:r w:rsidRPr="00F80C08">
        <w:rPr>
          <w:rtl/>
        </w:rPr>
        <w:t xml:space="preserve">, </w:t>
      </w:r>
      <w:r w:rsidRPr="00F80C08">
        <w:rPr>
          <w:rFonts w:hint="cs"/>
          <w:rtl/>
        </w:rPr>
        <w:t>ששפיר י״ל דהד׳ כוסות נתקנו בעיקרם משום זכר לגאולה</w:t>
      </w:r>
      <w:r w:rsidRPr="00F80C08">
        <w:rPr>
          <w:rtl/>
        </w:rPr>
        <w:t xml:space="preserve">, </w:t>
      </w:r>
      <w:r w:rsidRPr="00F80C08">
        <w:rPr>
          <w:rFonts w:hint="cs"/>
          <w:rtl/>
        </w:rPr>
        <w:t>ומ״מ לא בעו הסיבה כתנאי בהמצוה</w:t>
      </w:r>
      <w:r w:rsidRPr="00F80C08">
        <w:rPr>
          <w:rtl/>
        </w:rPr>
        <w:t xml:space="preserve">, </w:t>
      </w:r>
      <w:r w:rsidRPr="00F80C08">
        <w:rPr>
          <w:rFonts w:hint="cs"/>
          <w:rtl/>
        </w:rPr>
        <w:t>דסגי בזה ששותה ד׳ כוסות של יין לעשות זכר לגאולה</w:t>
      </w:r>
      <w:r w:rsidRPr="00F80C08">
        <w:rPr>
          <w:rtl/>
        </w:rPr>
        <w:t xml:space="preserve">, </w:t>
      </w:r>
      <w:r w:rsidRPr="00F80C08">
        <w:rPr>
          <w:rFonts w:hint="cs"/>
          <w:rtl/>
        </w:rPr>
        <w:t xml:space="preserve">והא דיין בעי הסיבה נאמר שהוא מצד המצוה הכללית דהסיבה </w:t>
      </w:r>
      <w:r w:rsidRPr="00F80C08">
        <w:rPr>
          <w:rtl/>
        </w:rPr>
        <w:t>[</w:t>
      </w:r>
      <w:r w:rsidRPr="00F80C08">
        <w:rPr>
          <w:rFonts w:hint="cs"/>
          <w:rtl/>
        </w:rPr>
        <w:t>אלא שתיקנו חכמים לקיים אותה בעת שתיית ד׳ כוסות עכ״פ</w:t>
      </w:r>
      <w:r w:rsidRPr="00F80C08">
        <w:rPr>
          <w:rtl/>
        </w:rPr>
        <w:t xml:space="preserve">, </w:t>
      </w:r>
      <w:r w:rsidRPr="00F80C08">
        <w:rPr>
          <w:rFonts w:hint="cs"/>
          <w:rtl/>
        </w:rPr>
        <w:t>שכיון שסו״ס ענינם הוא חירות</w:t>
      </w:r>
      <w:r w:rsidRPr="00F80C08">
        <w:rPr>
          <w:rtl/>
        </w:rPr>
        <w:t xml:space="preserve">, </w:t>
      </w:r>
      <w:r w:rsidRPr="00F80C08">
        <w:rPr>
          <w:rFonts w:hint="cs"/>
          <w:rtl/>
        </w:rPr>
        <w:t xml:space="preserve">מתאים לקיים מצות הסיבה בענינים אלו שתוכן ענינם </w:t>
      </w:r>
      <w:r w:rsidRPr="00F80C08">
        <w:rPr>
          <w:rFonts w:hint="cs"/>
          <w:rtl/>
        </w:rPr>
        <w:lastRenderedPageBreak/>
        <w:t>הוא גאולה וחירות</w:t>
      </w:r>
      <w:r w:rsidRPr="00F80C08">
        <w:rPr>
          <w:rtl/>
        </w:rPr>
        <w:t xml:space="preserve">, </w:t>
      </w:r>
      <w:r w:rsidRPr="00F80C08">
        <w:rPr>
          <w:rFonts w:hint="cs"/>
          <w:rtl/>
        </w:rPr>
        <w:t xml:space="preserve">וכמבואר בהערה </w:t>
      </w:r>
      <w:r w:rsidRPr="00F80C08">
        <w:rPr>
          <w:rtl/>
        </w:rPr>
        <w:t xml:space="preserve">9 </w:t>
      </w:r>
      <w:r w:rsidRPr="00F80C08">
        <w:rPr>
          <w:rFonts w:hint="cs"/>
          <w:rtl/>
        </w:rPr>
        <w:t>עיי״ש</w:t>
      </w:r>
      <w:r w:rsidRPr="009F0D7D">
        <w:rPr>
          <w:vertAlign w:val="superscript"/>
        </w:rPr>
        <w:footnoteReference w:id="92"/>
      </w:r>
      <w:r w:rsidRPr="00F80C08">
        <w:rPr>
          <w:rtl/>
        </w:rPr>
        <w:t>].</w:t>
      </w:r>
    </w:p>
    <w:p w:rsidR="00900523" w:rsidRPr="00F80C08" w:rsidRDefault="00900523" w:rsidP="00F146A6">
      <w:pPr>
        <w:pStyle w:val="a3"/>
        <w:rPr>
          <w:rtl/>
        </w:rPr>
      </w:pPr>
      <w:r w:rsidRPr="00F80C08">
        <w:rPr>
          <w:rFonts w:hint="cs"/>
          <w:rtl/>
        </w:rPr>
        <w:t>והפירוש בהשיחה הוא רק דלטעם זה שהוא כנגד ד׳ לשונות של גאולה</w:t>
      </w:r>
      <w:r w:rsidRPr="00F80C08">
        <w:rPr>
          <w:rtl/>
        </w:rPr>
        <w:t xml:space="preserve">, </w:t>
      </w:r>
      <w:r w:rsidRPr="00F80C08">
        <w:rPr>
          <w:rFonts w:hint="cs"/>
          <w:rtl/>
        </w:rPr>
        <w:t>שפיר ניתן לומר דהסיבה היא תנאי ופרט בהמצוה דד׳ כוסות</w:t>
      </w:r>
      <w:r w:rsidRPr="00F80C08">
        <w:rPr>
          <w:rtl/>
        </w:rPr>
        <w:t xml:space="preserve">, </w:t>
      </w:r>
      <w:r w:rsidRPr="00F80C08">
        <w:rPr>
          <w:rFonts w:hint="cs"/>
          <w:rtl/>
        </w:rPr>
        <w:t>שכן מאחר ונתקנו משום גאולה וחירות</w:t>
      </w:r>
      <w:r w:rsidRPr="00F80C08">
        <w:rPr>
          <w:rtl/>
        </w:rPr>
        <w:t xml:space="preserve">, </w:t>
      </w:r>
      <w:r w:rsidRPr="00F80C08">
        <w:rPr>
          <w:rFonts w:hint="cs"/>
          <w:rtl/>
        </w:rPr>
        <w:t xml:space="preserve">הרי יתכן לומר שחכמים גם הצריכו בזה תנאי באופן השתייה להסב דרך חירות </w:t>
      </w:r>
      <w:r w:rsidRPr="00F80C08">
        <w:rPr>
          <w:rtl/>
        </w:rPr>
        <w:t>[</w:t>
      </w:r>
      <w:r w:rsidRPr="00F80C08">
        <w:rPr>
          <w:rFonts w:hint="cs"/>
          <w:rtl/>
        </w:rPr>
        <w:t>משא״כ להני טעמים אחרים שאין לד׳ כוסות שייכות לגאולה של ישראל</w:t>
      </w:r>
      <w:r w:rsidRPr="00F80C08">
        <w:rPr>
          <w:rtl/>
        </w:rPr>
        <w:t xml:space="preserve">, </w:t>
      </w:r>
      <w:r w:rsidRPr="00F80C08">
        <w:rPr>
          <w:rFonts w:hint="cs"/>
          <w:rtl/>
        </w:rPr>
        <w:t>הנה אי אפשר לומר דס״ל כהך צד דהסיבה הוי תנאי בהמצוה דד׳ כוסות</w:t>
      </w:r>
      <w:r w:rsidRPr="00F80C08">
        <w:rPr>
          <w:rtl/>
        </w:rPr>
        <w:t xml:space="preserve">]. </w:t>
      </w:r>
    </w:p>
    <w:p w:rsidR="00900523" w:rsidRPr="00F80C08" w:rsidRDefault="00900523" w:rsidP="00F146A6">
      <w:pPr>
        <w:pStyle w:val="a3"/>
        <w:rPr>
          <w:rtl/>
        </w:rPr>
      </w:pPr>
      <w:r w:rsidRPr="00F80C08">
        <w:rPr>
          <w:rFonts w:hint="cs"/>
          <w:rtl/>
        </w:rPr>
        <w:t>וכד דייקת שפיר הרי שכן מבואר ומדוקדק בלשון רבינו</w:t>
      </w:r>
      <w:r w:rsidRPr="00F80C08">
        <w:rPr>
          <w:rtl/>
        </w:rPr>
        <w:t xml:space="preserve">, </w:t>
      </w:r>
      <w:r w:rsidRPr="00F80C08">
        <w:rPr>
          <w:rFonts w:hint="cs"/>
          <w:rtl/>
        </w:rPr>
        <w:t xml:space="preserve">דבנוגע להני טעמים אחרים כתב וזלה״ק </w:t>
      </w:r>
      <w:r w:rsidRPr="00F80C08">
        <w:rPr>
          <w:rtl/>
        </w:rPr>
        <w:t>[</w:t>
      </w:r>
      <w:r w:rsidRPr="00F80C08">
        <w:rPr>
          <w:rFonts w:hint="cs"/>
          <w:rtl/>
        </w:rPr>
        <w:t>ההדגשות אינו במקור</w:t>
      </w:r>
      <w:r w:rsidRPr="00F80C08">
        <w:rPr>
          <w:rtl/>
        </w:rPr>
        <w:t xml:space="preserve">] </w:t>
      </w:r>
      <w:r w:rsidRPr="00F80C08">
        <w:rPr>
          <w:rFonts w:hint="cs"/>
          <w:rtl/>
        </w:rPr>
        <w:t xml:space="preserve">״ </w:t>
      </w:r>
      <w:r w:rsidRPr="00F80C08">
        <w:rPr>
          <w:rtl/>
        </w:rPr>
        <w:t xml:space="preserve">. . </w:t>
      </w:r>
      <w:r w:rsidRPr="00F80C08">
        <w:rPr>
          <w:rFonts w:hint="cs"/>
          <w:rtl/>
        </w:rPr>
        <w:t xml:space="preserve">שלכל אלו הטעמים הרי ד׳ הכוסות אינו זכר לגאולה וחירות של ישראל </w:t>
      </w:r>
      <w:r w:rsidRPr="00F80C08">
        <w:rPr>
          <w:rtl/>
        </w:rPr>
        <w:t xml:space="preserve">– </w:t>
      </w:r>
      <w:r w:rsidRPr="00F80C08">
        <w:rPr>
          <w:rFonts w:hint="cs"/>
          <w:rtl/>
        </w:rPr>
        <w:t>ולפיהם אינו מובן הטעם למה תהי׳ ההסיבה תנאי במצות ד׳ הכוסות״</w:t>
      </w:r>
      <w:r w:rsidRPr="00F80C08">
        <w:rPr>
          <w:rtl/>
        </w:rPr>
        <w:t xml:space="preserve">. </w:t>
      </w:r>
    </w:p>
    <w:p w:rsidR="00900523" w:rsidRPr="00F80C08" w:rsidRDefault="00900523" w:rsidP="00F146A6">
      <w:pPr>
        <w:pStyle w:val="a3"/>
        <w:rPr>
          <w:rtl/>
        </w:rPr>
      </w:pPr>
      <w:r w:rsidRPr="00F80C08">
        <w:rPr>
          <w:rFonts w:hint="cs"/>
          <w:rtl/>
        </w:rPr>
        <w:t>משא״כ בנוגע להך טעמא שנתקנו כנגד ד׳ לשונות של גאולה כתב וזלה״ק ״דרק עפ״ז ש״ד׳ כוסות תקנו חכמים כנגד ד׳ לשונות של גאולה״</w:t>
      </w:r>
      <w:r w:rsidRPr="00F80C08">
        <w:rPr>
          <w:rtl/>
        </w:rPr>
        <w:t xml:space="preserve">, </w:t>
      </w:r>
      <w:r w:rsidRPr="00F80C08">
        <w:rPr>
          <w:rFonts w:hint="cs"/>
          <w:rtl/>
        </w:rPr>
        <w:t xml:space="preserve">יתכן לומר שחיוב ההסיבה הוא כתנאי בד׳ הכוסות </w:t>
      </w:r>
      <w:r w:rsidRPr="00F80C08">
        <w:rPr>
          <w:rtl/>
        </w:rPr>
        <w:t>(</w:t>
      </w:r>
      <w:r w:rsidRPr="00F80C08">
        <w:rPr>
          <w:rFonts w:hint="cs"/>
          <w:rtl/>
        </w:rPr>
        <w:t>משא״כ להטעמים ״כנגד ד׳ כוסות של פרעה וכו׳״</w:t>
      </w:r>
      <w:r w:rsidRPr="00F80C08">
        <w:rPr>
          <w:rtl/>
        </w:rPr>
        <w:t>)</w:t>
      </w:r>
      <w:r w:rsidRPr="00F80C08">
        <w:rPr>
          <w:rFonts w:hint="cs"/>
          <w:rtl/>
        </w:rPr>
        <w:t>״</w:t>
      </w:r>
      <w:r w:rsidRPr="00F80C08">
        <w:rPr>
          <w:rtl/>
        </w:rPr>
        <w:t>.</w:t>
      </w:r>
    </w:p>
    <w:p w:rsidR="00900523" w:rsidRPr="00F80C08" w:rsidRDefault="00900523" w:rsidP="00F146A6">
      <w:pPr>
        <w:pStyle w:val="a3"/>
        <w:rPr>
          <w:rtl/>
        </w:rPr>
      </w:pPr>
      <w:r w:rsidRPr="00F80C08">
        <w:rPr>
          <w:rFonts w:hint="cs"/>
          <w:rtl/>
        </w:rPr>
        <w:t>והן הן הדברים</w:t>
      </w:r>
      <w:r w:rsidRPr="00F80C08">
        <w:rPr>
          <w:rtl/>
        </w:rPr>
        <w:t xml:space="preserve">, </w:t>
      </w:r>
      <w:r w:rsidRPr="00F80C08">
        <w:rPr>
          <w:rFonts w:hint="cs"/>
          <w:rtl/>
        </w:rPr>
        <w:t>דלהני טעמים האחרים ״אינו מובן</w:t>
      </w:r>
      <w:r w:rsidRPr="00F80C08">
        <w:rPr>
          <w:rtl/>
        </w:rPr>
        <w:t xml:space="preserve"> </w:t>
      </w:r>
      <w:r w:rsidRPr="00F80C08">
        <w:rPr>
          <w:rFonts w:hint="cs"/>
          <w:rtl/>
        </w:rPr>
        <w:t>הטעם למה תהי׳ ההסיבה תנאי במצות ד׳ הכוסות״</w:t>
      </w:r>
      <w:r w:rsidRPr="00F80C08">
        <w:rPr>
          <w:rtl/>
        </w:rPr>
        <w:t xml:space="preserve">, </w:t>
      </w:r>
      <w:r w:rsidRPr="00F80C08">
        <w:rPr>
          <w:rFonts w:hint="cs"/>
          <w:rtl/>
        </w:rPr>
        <w:t xml:space="preserve">והיינו שא״א לומר כצד זה ובע״כ צ״ל כהצד דהסיבה הוי מצוה </w:t>
      </w:r>
      <w:r w:rsidRPr="00F80C08">
        <w:rPr>
          <w:rFonts w:hint="cs"/>
          <w:rtl/>
        </w:rPr>
        <w:lastRenderedPageBreak/>
        <w:t>כללית בפ״ע</w:t>
      </w:r>
      <w:r w:rsidRPr="00F80C08">
        <w:rPr>
          <w:rtl/>
        </w:rPr>
        <w:t xml:space="preserve">, </w:t>
      </w:r>
      <w:r w:rsidRPr="00F80C08">
        <w:rPr>
          <w:rFonts w:hint="cs"/>
          <w:rtl/>
        </w:rPr>
        <w:t>משא״כ להך טעמא שנתקנו כנגד ד׳ לשונות של גאולה שכתב רק ש״יתכן לומר״ כהצד שהסיבה הוי פרט ותנאי בהמצוה</w:t>
      </w:r>
      <w:r w:rsidRPr="00F80C08">
        <w:rPr>
          <w:rtl/>
        </w:rPr>
        <w:t xml:space="preserve">, </w:t>
      </w:r>
      <w:r w:rsidRPr="00F80C08">
        <w:rPr>
          <w:rFonts w:hint="cs"/>
          <w:rtl/>
        </w:rPr>
        <w:t>אך אינו מוכרח לומר כן</w:t>
      </w:r>
      <w:r w:rsidRPr="00F80C08">
        <w:rPr>
          <w:rtl/>
        </w:rPr>
        <w:t xml:space="preserve">. </w:t>
      </w:r>
      <w:r w:rsidRPr="00F80C08">
        <w:rPr>
          <w:rFonts w:hint="cs"/>
          <w:rtl/>
        </w:rPr>
        <w:t>וז״פ</w:t>
      </w:r>
      <w:r w:rsidRPr="009F0D7D">
        <w:rPr>
          <w:vertAlign w:val="superscript"/>
        </w:rPr>
        <w:footnoteReference w:id="93"/>
      </w:r>
      <w:r w:rsidRPr="00F80C08">
        <w:rPr>
          <w:rtl/>
        </w:rPr>
        <w:t>.</w:t>
      </w:r>
    </w:p>
    <w:p w:rsidR="00900523" w:rsidRPr="00F80C08" w:rsidRDefault="00900523" w:rsidP="00235D91">
      <w:pPr>
        <w:pStyle w:val="11"/>
        <w:bidi/>
        <w:rPr>
          <w:rtl/>
        </w:rPr>
      </w:pPr>
      <w:r w:rsidRPr="00F80C08">
        <w:rPr>
          <w:rFonts w:hint="cs"/>
          <w:rtl/>
        </w:rPr>
        <w:t>טעם קיום מצות הסיבה בעת שתיית ד׳ כוסות</w:t>
      </w:r>
    </w:p>
    <w:p w:rsidR="00900523" w:rsidRPr="00F80C08" w:rsidRDefault="00900523" w:rsidP="00F146A6">
      <w:pPr>
        <w:pStyle w:val="a3"/>
        <w:rPr>
          <w:rtl/>
        </w:rPr>
      </w:pPr>
      <w:r w:rsidRPr="00F80C08">
        <w:rPr>
          <w:rFonts w:hint="cs"/>
          <w:rtl/>
        </w:rPr>
        <w:t>ד</w:t>
      </w:r>
      <w:r w:rsidRPr="00F80C08">
        <w:rPr>
          <w:rtl/>
        </w:rPr>
        <w:t xml:space="preserve">. </w:t>
      </w:r>
      <w:r w:rsidRPr="00F80C08">
        <w:rPr>
          <w:rFonts w:hint="cs"/>
          <w:rtl/>
        </w:rPr>
        <w:t>אלא שלפ״ז צ״ב לכאורה</w:t>
      </w:r>
      <w:r w:rsidRPr="00F80C08">
        <w:rPr>
          <w:rtl/>
        </w:rPr>
        <w:t xml:space="preserve">, </w:t>
      </w:r>
      <w:r w:rsidRPr="00F80C08">
        <w:rPr>
          <w:rFonts w:hint="cs"/>
          <w:rtl/>
        </w:rPr>
        <w:t>מדוע א״כ להני טעמים האחרים תיקנו חכמים להסב בשעת שתיית הד׳ כוסות דייקא</w:t>
      </w:r>
      <w:r w:rsidRPr="00F80C08">
        <w:rPr>
          <w:rtl/>
        </w:rPr>
        <w:t xml:space="preserve">, </w:t>
      </w:r>
      <w:r w:rsidRPr="00F80C08">
        <w:rPr>
          <w:rFonts w:hint="cs"/>
          <w:rtl/>
        </w:rPr>
        <w:t>דבשלמא הא דתיקנו להסב בשעת אכילת המצה שפיר מובן כיון שעניינה הוא זכר לגאולה וחירות</w:t>
      </w:r>
      <w:r w:rsidRPr="00F80C08">
        <w:rPr>
          <w:rtl/>
        </w:rPr>
        <w:t xml:space="preserve">, </w:t>
      </w:r>
      <w:r w:rsidRPr="00F80C08">
        <w:rPr>
          <w:rFonts w:hint="cs"/>
          <w:rtl/>
        </w:rPr>
        <w:t>ולכן תיקנו חכמים לקיים את המצוה הכללית דהסיבה שתוכן עניינה להראות דרך חירות בשעת המצוה דאכילת מצה שגם עניינה הוא חירות</w:t>
      </w:r>
      <w:r w:rsidRPr="00F80C08">
        <w:rPr>
          <w:rtl/>
        </w:rPr>
        <w:t xml:space="preserve">, </w:t>
      </w:r>
      <w:r w:rsidRPr="00F80C08">
        <w:rPr>
          <w:rFonts w:hint="cs"/>
          <w:rtl/>
        </w:rPr>
        <w:t xml:space="preserve">וכמבואר לעיל בהשיחה בהערה </w:t>
      </w:r>
      <w:r w:rsidRPr="00F80C08">
        <w:rPr>
          <w:rtl/>
        </w:rPr>
        <w:t xml:space="preserve">9 </w:t>
      </w:r>
      <w:r w:rsidRPr="00F80C08">
        <w:rPr>
          <w:rFonts w:hint="cs"/>
          <w:rtl/>
        </w:rPr>
        <w:t>וכנ״ל</w:t>
      </w:r>
      <w:r w:rsidRPr="00F80C08">
        <w:rPr>
          <w:rtl/>
        </w:rPr>
        <w:t>.</w:t>
      </w:r>
    </w:p>
    <w:p w:rsidR="00900523" w:rsidRPr="00F80C08" w:rsidRDefault="00900523" w:rsidP="00F146A6">
      <w:pPr>
        <w:pStyle w:val="a3"/>
        <w:rPr>
          <w:rtl/>
        </w:rPr>
      </w:pPr>
      <w:r w:rsidRPr="00F80C08">
        <w:rPr>
          <w:rFonts w:hint="cs"/>
          <w:rtl/>
        </w:rPr>
        <w:t xml:space="preserve">אמנם מדוע תיקנו חכמים לקיים את המצוה הכללית דהסיבה בשעת שתיית ד׳ כוסות דייקא </w:t>
      </w:r>
      <w:r w:rsidRPr="00F80C08">
        <w:rPr>
          <w:rtl/>
        </w:rPr>
        <w:t>[</w:t>
      </w:r>
      <w:r w:rsidRPr="00F80C08">
        <w:rPr>
          <w:rFonts w:hint="cs"/>
          <w:rtl/>
        </w:rPr>
        <w:t>ולא בשעת שאר שתייה סתם</w:t>
      </w:r>
      <w:r w:rsidRPr="009F0D7D">
        <w:rPr>
          <w:vertAlign w:val="superscript"/>
        </w:rPr>
        <w:footnoteReference w:id="94"/>
      </w:r>
      <w:r w:rsidRPr="00F80C08">
        <w:rPr>
          <w:rtl/>
        </w:rPr>
        <w:t xml:space="preserve">], </w:t>
      </w:r>
      <w:r w:rsidRPr="00F80C08">
        <w:rPr>
          <w:rFonts w:hint="cs"/>
          <w:rtl/>
        </w:rPr>
        <w:t>שכן להני טעמים האחרים הרי אין שום שייכות מיוחדת בין הד׳ כוסות לגאולה וחירות של ישראל</w:t>
      </w:r>
      <w:r w:rsidRPr="00F80C08">
        <w:rPr>
          <w:rtl/>
        </w:rPr>
        <w:t xml:space="preserve">, </w:t>
      </w:r>
      <w:r w:rsidRPr="00F80C08">
        <w:rPr>
          <w:rFonts w:hint="cs"/>
          <w:rtl/>
        </w:rPr>
        <w:t>וא״כ מדוע תיקנו לשיטה זו לקיים את מצות ההסיבה הכללית בעת שתיית ד׳ כוסות דייקא</w:t>
      </w:r>
      <w:r w:rsidRPr="00F80C08">
        <w:rPr>
          <w:rtl/>
        </w:rPr>
        <w:t>.</w:t>
      </w:r>
    </w:p>
    <w:p w:rsidR="00900523" w:rsidRPr="00F80C08" w:rsidRDefault="00900523" w:rsidP="00F146A6">
      <w:pPr>
        <w:pStyle w:val="a3"/>
        <w:rPr>
          <w:rtl/>
        </w:rPr>
      </w:pPr>
      <w:r w:rsidRPr="00F80C08">
        <w:rPr>
          <w:rFonts w:hint="cs"/>
          <w:rtl/>
        </w:rPr>
        <w:t>ובשלמא להך טעמא דד׳ כוסות נתקנו כנגד ד׳ לשונות של גאולה שפיר מובן היטב הטעם שתיקנו חכמים להסב בשעת שתיית הד׳ כוסות דייקא</w:t>
      </w:r>
      <w:r w:rsidRPr="00F80C08">
        <w:rPr>
          <w:rtl/>
        </w:rPr>
        <w:t xml:space="preserve">, </w:t>
      </w:r>
      <w:r w:rsidRPr="00F80C08">
        <w:rPr>
          <w:rFonts w:hint="cs"/>
          <w:rtl/>
        </w:rPr>
        <w:t>הן להאופן דהסיבה היא תנאי ופרט בהמצוה דד׳ כוסות וכמובן בפשטות</w:t>
      </w:r>
      <w:r w:rsidRPr="00F80C08">
        <w:rPr>
          <w:rtl/>
        </w:rPr>
        <w:t xml:space="preserve">, </w:t>
      </w:r>
      <w:r w:rsidRPr="00F80C08">
        <w:rPr>
          <w:rFonts w:hint="cs"/>
          <w:rtl/>
        </w:rPr>
        <w:t>והן להאופן אי נימא דס״ל להך טעמא כהצד דהסיבה היא מצוה כללית בפ״ע</w:t>
      </w:r>
      <w:r w:rsidRPr="00F80C08">
        <w:rPr>
          <w:rtl/>
        </w:rPr>
        <w:t xml:space="preserve">, </w:t>
      </w:r>
      <w:r w:rsidRPr="00F80C08">
        <w:rPr>
          <w:rFonts w:hint="cs"/>
          <w:rtl/>
        </w:rPr>
        <w:t>שכן מכיון שסו״ס תוכן עניינם של ד׳ כוסות הוא גאולה וחירות</w:t>
      </w:r>
      <w:r w:rsidRPr="00F80C08">
        <w:rPr>
          <w:rtl/>
        </w:rPr>
        <w:t xml:space="preserve">, </w:t>
      </w:r>
      <w:r w:rsidRPr="00F80C08">
        <w:rPr>
          <w:rFonts w:hint="cs"/>
          <w:rtl/>
        </w:rPr>
        <w:t>מתאים לתקן את מצות ההסיבה הכללית בשעת שתייתם</w:t>
      </w:r>
      <w:r w:rsidRPr="00F80C08">
        <w:rPr>
          <w:rtl/>
        </w:rPr>
        <w:t xml:space="preserve">, </w:t>
      </w:r>
      <w:r w:rsidRPr="00F80C08">
        <w:rPr>
          <w:rFonts w:hint="cs"/>
          <w:rtl/>
        </w:rPr>
        <w:t>אולם להני טעמים האחרים הרי שום שייכות לכאורה בין מצות ד׳ כוסות למצות ההסיבה וצ״ב</w:t>
      </w:r>
      <w:r w:rsidRPr="009F0D7D">
        <w:rPr>
          <w:vertAlign w:val="superscript"/>
        </w:rPr>
        <w:footnoteReference w:id="95"/>
      </w:r>
      <w:r w:rsidRPr="00F80C08">
        <w:rPr>
          <w:rtl/>
        </w:rPr>
        <w:t>.</w:t>
      </w:r>
    </w:p>
    <w:p w:rsidR="00900523" w:rsidRPr="00F80C08" w:rsidRDefault="00900523" w:rsidP="00F146A6">
      <w:pPr>
        <w:pStyle w:val="a3"/>
        <w:rPr>
          <w:rtl/>
        </w:rPr>
      </w:pPr>
      <w:r w:rsidRPr="00F80C08">
        <w:rPr>
          <w:rFonts w:hint="cs"/>
          <w:rtl/>
        </w:rPr>
        <w:lastRenderedPageBreak/>
        <w:t>ה</w:t>
      </w:r>
      <w:r w:rsidRPr="00F80C08">
        <w:rPr>
          <w:rtl/>
        </w:rPr>
        <w:t xml:space="preserve">. </w:t>
      </w:r>
      <w:r w:rsidRPr="00F80C08">
        <w:rPr>
          <w:rFonts w:hint="cs"/>
          <w:rtl/>
        </w:rPr>
        <w:t>ויתכן לומר בזה</w:t>
      </w:r>
      <w:r w:rsidRPr="00F80C08">
        <w:rPr>
          <w:rtl/>
        </w:rPr>
        <w:t xml:space="preserve">, </w:t>
      </w:r>
      <w:r w:rsidRPr="00F80C08">
        <w:rPr>
          <w:rFonts w:hint="cs"/>
          <w:rtl/>
        </w:rPr>
        <w:t xml:space="preserve">דהנה יעויין בתחילת השיחה הערה </w:t>
      </w:r>
      <w:r w:rsidRPr="00F80C08">
        <w:rPr>
          <w:rtl/>
        </w:rPr>
        <w:t xml:space="preserve">4 </w:t>
      </w:r>
      <w:r w:rsidRPr="00F80C08">
        <w:rPr>
          <w:rFonts w:hint="cs"/>
          <w:rtl/>
        </w:rPr>
        <w:t>שהעיר רבינו מדברי המאירי לפסחים צט</w:t>
      </w:r>
      <w:r w:rsidRPr="00F80C08">
        <w:rPr>
          <w:rtl/>
        </w:rPr>
        <w:t xml:space="preserve">, </w:t>
      </w:r>
      <w:r w:rsidRPr="00F80C08">
        <w:rPr>
          <w:rFonts w:hint="cs"/>
          <w:rtl/>
        </w:rPr>
        <w:t>ב שכתב להך טעמא דנתקנו הד׳ כוסות כנגד ד׳ כוסות של פרעה וז״ל ״ובירושלמי רמזו בהם כנגד ארבע כוסות שנאמרו בענין פרעה בפרשת שר המשקים וכו׳</w:t>
      </w:r>
      <w:r w:rsidRPr="00F80C08">
        <w:rPr>
          <w:rtl/>
        </w:rPr>
        <w:t xml:space="preserve">, </w:t>
      </w:r>
      <w:r w:rsidRPr="00F80C08">
        <w:rPr>
          <w:rFonts w:hint="cs"/>
          <w:rtl/>
        </w:rPr>
        <w:t>שענינם היה סיבה לגאולת מצרים״</w:t>
      </w:r>
      <w:r w:rsidRPr="00F80C08">
        <w:rPr>
          <w:rtl/>
        </w:rPr>
        <w:t xml:space="preserve">. </w:t>
      </w:r>
    </w:p>
    <w:p w:rsidR="00900523" w:rsidRPr="00F80C08" w:rsidRDefault="00900523" w:rsidP="00F146A6">
      <w:pPr>
        <w:pStyle w:val="a3"/>
        <w:rPr>
          <w:rtl/>
        </w:rPr>
      </w:pPr>
      <w:r w:rsidRPr="00F80C08">
        <w:rPr>
          <w:rFonts w:hint="cs"/>
          <w:rtl/>
        </w:rPr>
        <w:t>ועוד מעיר שם מפירוש קרבן העדה לירושלמי שם שכתב וז״ל ״כנגד ד׳ כוסות של פרעה</w:t>
      </w:r>
      <w:r w:rsidRPr="00F80C08">
        <w:rPr>
          <w:rtl/>
        </w:rPr>
        <w:t xml:space="preserve">, </w:t>
      </w:r>
      <w:r w:rsidRPr="00F80C08">
        <w:rPr>
          <w:rFonts w:hint="cs"/>
          <w:rtl/>
        </w:rPr>
        <w:t>ונרמזה גאולת ישראל בהאי עניינא</w:t>
      </w:r>
      <w:r w:rsidRPr="00F80C08">
        <w:rPr>
          <w:rtl/>
        </w:rPr>
        <w:t xml:space="preserve">, </w:t>
      </w:r>
      <w:r w:rsidRPr="00F80C08">
        <w:rPr>
          <w:rFonts w:hint="cs"/>
          <w:rtl/>
        </w:rPr>
        <w:t xml:space="preserve">כדדריש בב״ר </w:t>
      </w:r>
      <w:r w:rsidRPr="00F80C08">
        <w:rPr>
          <w:rtl/>
        </w:rPr>
        <w:t>[</w:t>
      </w:r>
      <w:r w:rsidRPr="00F80C08">
        <w:rPr>
          <w:rFonts w:hint="cs"/>
          <w:rtl/>
        </w:rPr>
        <w:t>פפ״ח</w:t>
      </w:r>
      <w:r w:rsidRPr="00F80C08">
        <w:rPr>
          <w:rtl/>
        </w:rPr>
        <w:t xml:space="preserve">, </w:t>
      </w:r>
      <w:r w:rsidRPr="00F80C08">
        <w:rPr>
          <w:rFonts w:hint="cs"/>
          <w:rtl/>
        </w:rPr>
        <w:t>ה</w:t>
      </w:r>
      <w:r w:rsidRPr="00F80C08">
        <w:rPr>
          <w:rtl/>
        </w:rPr>
        <w:t xml:space="preserve">] </w:t>
      </w:r>
      <w:r w:rsidRPr="00F80C08">
        <w:rPr>
          <w:rFonts w:hint="cs"/>
          <w:rtl/>
        </w:rPr>
        <w:t>והנה גפן לפני אלו ישראל גפן ממצרים תסיע״</w:t>
      </w:r>
      <w:r w:rsidRPr="00F80C08">
        <w:rPr>
          <w:rtl/>
        </w:rPr>
        <w:t xml:space="preserve">, </w:t>
      </w:r>
      <w:r w:rsidRPr="00F80C08">
        <w:rPr>
          <w:rFonts w:hint="cs"/>
          <w:rtl/>
        </w:rPr>
        <w:t>ובפני משה שם וז״ל ״לפי שבאותו חלום של שר המשקים נתבשר יוסף הצדיק על הגאולה</w:t>
      </w:r>
      <w:r w:rsidRPr="00F80C08">
        <w:rPr>
          <w:rtl/>
        </w:rPr>
        <w:t xml:space="preserve">, </w:t>
      </w:r>
      <w:r w:rsidRPr="00F80C08">
        <w:rPr>
          <w:rFonts w:hint="cs"/>
          <w:rtl/>
        </w:rPr>
        <w:t>כדרש חז״ל מקרא והנה גפן לפני וכו׳״</w:t>
      </w:r>
      <w:r w:rsidRPr="00F80C08">
        <w:rPr>
          <w:rtl/>
        </w:rPr>
        <w:t xml:space="preserve">. </w:t>
      </w:r>
      <w:r w:rsidRPr="00F80C08">
        <w:rPr>
          <w:rFonts w:hint="cs"/>
          <w:rtl/>
        </w:rPr>
        <w:t>ועוד כתב בפני משה שם בהמשך וז״ל ״כנגד ארבעה כוסות של פורענות וכו׳</w:t>
      </w:r>
      <w:r w:rsidRPr="00F80C08">
        <w:rPr>
          <w:rtl/>
        </w:rPr>
        <w:t xml:space="preserve">, </w:t>
      </w:r>
      <w:r w:rsidRPr="00F80C08">
        <w:rPr>
          <w:rFonts w:hint="cs"/>
          <w:rtl/>
        </w:rPr>
        <w:t>כלומר שמרמזין הן גם על הגאולה לעתיד״</w:t>
      </w:r>
      <w:r w:rsidRPr="00F80C08">
        <w:rPr>
          <w:rtl/>
        </w:rPr>
        <w:t xml:space="preserve">. </w:t>
      </w:r>
    </w:p>
    <w:p w:rsidR="00900523" w:rsidRPr="00F80C08" w:rsidRDefault="00900523" w:rsidP="00F146A6">
      <w:pPr>
        <w:pStyle w:val="a3"/>
        <w:rPr>
          <w:rtl/>
        </w:rPr>
      </w:pPr>
      <w:r w:rsidRPr="00F80C08">
        <w:rPr>
          <w:rFonts w:hint="cs"/>
          <w:rtl/>
        </w:rPr>
        <w:t>ובעץ יוסף לב״ר שם ״כי מיוסף צמח התחלת רדת ישראל למצרים וכו׳ ומן החלום הזה התחילה מעלת יוסף לצמוח וכו׳ עד שמזה יפריח גאולתן וכו׳״</w:t>
      </w:r>
      <w:r w:rsidRPr="00F80C08">
        <w:rPr>
          <w:rtl/>
        </w:rPr>
        <w:t xml:space="preserve">, </w:t>
      </w:r>
      <w:r w:rsidRPr="00F80C08">
        <w:rPr>
          <w:rFonts w:hint="cs"/>
          <w:rtl/>
        </w:rPr>
        <w:t>ועיי״ש רמזים נוספים לגאולת מצרים</w:t>
      </w:r>
      <w:r w:rsidRPr="00F80C08">
        <w:rPr>
          <w:rtl/>
        </w:rPr>
        <w:t xml:space="preserve">, </w:t>
      </w:r>
      <w:r w:rsidRPr="00F80C08">
        <w:rPr>
          <w:rFonts w:hint="cs"/>
          <w:rtl/>
        </w:rPr>
        <w:t>ובהמשך שם ״כנגד ד׳ מלכיות וכו׳</w:t>
      </w:r>
      <w:r w:rsidRPr="00F80C08">
        <w:rPr>
          <w:rtl/>
        </w:rPr>
        <w:t xml:space="preserve">, </w:t>
      </w:r>
      <w:r w:rsidRPr="00F80C08">
        <w:rPr>
          <w:rFonts w:hint="cs"/>
          <w:rtl/>
        </w:rPr>
        <w:t>והרמז לבטחון שכמו שנגאלנו ממצרים כן נגאל מאלה כו׳״</w:t>
      </w:r>
      <w:r w:rsidRPr="00F80C08">
        <w:rPr>
          <w:rtl/>
        </w:rPr>
        <w:t xml:space="preserve">, </w:t>
      </w:r>
      <w:r w:rsidRPr="00F80C08">
        <w:rPr>
          <w:rFonts w:hint="cs"/>
          <w:rtl/>
        </w:rPr>
        <w:t>וראה בשאר מפרשי המדרש שם עיי״ש</w:t>
      </w:r>
      <w:r w:rsidRPr="00F80C08">
        <w:rPr>
          <w:rtl/>
        </w:rPr>
        <w:t xml:space="preserve">. </w:t>
      </w:r>
    </w:p>
    <w:p w:rsidR="00900523" w:rsidRPr="00F80C08" w:rsidRDefault="00900523" w:rsidP="00F146A6">
      <w:pPr>
        <w:pStyle w:val="a3"/>
        <w:rPr>
          <w:rtl/>
        </w:rPr>
      </w:pPr>
      <w:r w:rsidRPr="00F80C08">
        <w:rPr>
          <w:rFonts w:hint="cs"/>
          <w:rtl/>
        </w:rPr>
        <w:t>הרי מבואר דגם לפי טעמים אלו איכא בזה שייכות לגאולת מצרים</w:t>
      </w:r>
      <w:r w:rsidRPr="00F80C08">
        <w:rPr>
          <w:rtl/>
        </w:rPr>
        <w:t xml:space="preserve">, </w:t>
      </w:r>
      <w:r w:rsidRPr="00F80C08">
        <w:rPr>
          <w:rFonts w:hint="cs"/>
          <w:rtl/>
        </w:rPr>
        <w:t>אלא שע״ז כתב בלקו״ש שם ״אבל מובן</w:t>
      </w:r>
      <w:r w:rsidRPr="00F80C08">
        <w:rPr>
          <w:rtl/>
        </w:rPr>
        <w:t xml:space="preserve">, </w:t>
      </w:r>
      <w:r w:rsidRPr="00F80C08">
        <w:rPr>
          <w:rFonts w:hint="cs"/>
          <w:rtl/>
        </w:rPr>
        <w:t>שזה רק סבה לסבה דסבה כו׳ ושייכות רחוקה לגאולה</w:t>
      </w:r>
      <w:r w:rsidRPr="00F80C08">
        <w:rPr>
          <w:rtl/>
        </w:rPr>
        <w:t xml:space="preserve">, </w:t>
      </w:r>
      <w:r w:rsidRPr="00F80C08">
        <w:rPr>
          <w:rFonts w:hint="cs"/>
          <w:rtl/>
        </w:rPr>
        <w:t>משא״כ להטעם ״כנגד ד׳ גאולות״ הרי זהו ענין ה״גאולה״ עצמה״</w:t>
      </w:r>
      <w:r w:rsidRPr="00F80C08">
        <w:rPr>
          <w:rtl/>
        </w:rPr>
        <w:t xml:space="preserve">. </w:t>
      </w:r>
    </w:p>
    <w:p w:rsidR="00900523" w:rsidRPr="00F80C08" w:rsidRDefault="00900523" w:rsidP="00F146A6">
      <w:pPr>
        <w:pStyle w:val="a3"/>
        <w:rPr>
          <w:rtl/>
        </w:rPr>
      </w:pPr>
      <w:r w:rsidRPr="00F80C08">
        <w:rPr>
          <w:rFonts w:hint="cs"/>
          <w:rtl/>
        </w:rPr>
        <w:t>ו</w:t>
      </w:r>
      <w:r w:rsidRPr="00F80C08">
        <w:rPr>
          <w:rtl/>
        </w:rPr>
        <w:t xml:space="preserve">. </w:t>
      </w:r>
      <w:r w:rsidRPr="00F80C08">
        <w:rPr>
          <w:rFonts w:hint="cs"/>
          <w:rtl/>
        </w:rPr>
        <w:t>ועפ״ז יש לבאר הטעם דגם לטעמים אלו תיקנו חכמים לקיים את מצות ההסיבה הכללית בעת שתיית ד׳ כוסות דייקא</w:t>
      </w:r>
      <w:r w:rsidRPr="00F80C08">
        <w:rPr>
          <w:rtl/>
        </w:rPr>
        <w:t xml:space="preserve">, </w:t>
      </w:r>
      <w:r w:rsidRPr="00F80C08">
        <w:rPr>
          <w:rFonts w:hint="cs"/>
          <w:rtl/>
        </w:rPr>
        <w:t>והיינו משום כי גם לטעמים אלו ישנה שייכות כלשהי עכ״פ לענין גאולת מצרים</w:t>
      </w:r>
      <w:r w:rsidRPr="00F80C08">
        <w:rPr>
          <w:rtl/>
        </w:rPr>
        <w:t xml:space="preserve">, </w:t>
      </w:r>
      <w:r w:rsidRPr="00F80C08">
        <w:rPr>
          <w:rFonts w:hint="cs"/>
          <w:rtl/>
        </w:rPr>
        <w:t>ולכן מתאים לקיים את מצות ההסיבה הכללית שתוכן עניינה להראות דרך חירות בעת שתיית הד׳ כוסות</w:t>
      </w:r>
      <w:r w:rsidRPr="00F80C08">
        <w:rPr>
          <w:rtl/>
        </w:rPr>
        <w:t xml:space="preserve">, </w:t>
      </w:r>
      <w:r w:rsidRPr="00F80C08">
        <w:rPr>
          <w:rFonts w:hint="cs"/>
          <w:rtl/>
        </w:rPr>
        <w:t>שכן הם רומזים עכ״פ לענין החירות ממצרים</w:t>
      </w:r>
      <w:r w:rsidRPr="00F80C08">
        <w:rPr>
          <w:rtl/>
        </w:rPr>
        <w:t xml:space="preserve">. </w:t>
      </w:r>
    </w:p>
    <w:p w:rsidR="00900523" w:rsidRPr="00F80C08" w:rsidRDefault="00900523" w:rsidP="00F146A6">
      <w:pPr>
        <w:pStyle w:val="a3"/>
        <w:rPr>
          <w:rtl/>
        </w:rPr>
      </w:pPr>
      <w:r w:rsidRPr="00F80C08">
        <w:rPr>
          <w:rtl/>
        </w:rPr>
        <w:t>[</w:t>
      </w:r>
      <w:r w:rsidRPr="00F80C08">
        <w:rPr>
          <w:rFonts w:hint="cs"/>
          <w:rtl/>
        </w:rPr>
        <w:t xml:space="preserve">וכד דייקת שפיר הנה יעויין בהשיחה שם הערה </w:t>
      </w:r>
      <w:r w:rsidRPr="00F80C08">
        <w:rPr>
          <w:rtl/>
        </w:rPr>
        <w:t xml:space="preserve">33 </w:t>
      </w:r>
      <w:r w:rsidRPr="00F80C08">
        <w:rPr>
          <w:rFonts w:hint="cs"/>
          <w:rtl/>
        </w:rPr>
        <w:t xml:space="preserve">שהעיר רבינו </w:t>
      </w:r>
      <w:r w:rsidRPr="00F80C08">
        <w:rPr>
          <w:rtl/>
        </w:rPr>
        <w:t>[</w:t>
      </w:r>
      <w:r w:rsidRPr="00F80C08">
        <w:rPr>
          <w:rFonts w:hint="cs"/>
          <w:rtl/>
        </w:rPr>
        <w:t xml:space="preserve">אמש״כ בפנים ״ </w:t>
      </w:r>
      <w:r w:rsidRPr="00F80C08">
        <w:rPr>
          <w:rtl/>
        </w:rPr>
        <w:t xml:space="preserve">. . </w:t>
      </w:r>
      <w:r w:rsidRPr="00F80C08">
        <w:rPr>
          <w:rFonts w:hint="cs"/>
          <w:rtl/>
        </w:rPr>
        <w:t>משא״כ בד׳ כוסות של פרעה וכו׳</w:t>
      </w:r>
      <w:r w:rsidRPr="00F80C08">
        <w:rPr>
          <w:rtl/>
        </w:rPr>
        <w:t xml:space="preserve">, </w:t>
      </w:r>
      <w:r w:rsidRPr="00F80C08">
        <w:rPr>
          <w:rFonts w:hint="cs"/>
          <w:rtl/>
        </w:rPr>
        <w:t>שאין בתוכן הפרשיות בהן נזכרים כוסות אלו</w:t>
      </w:r>
      <w:r w:rsidRPr="00F80C08">
        <w:rPr>
          <w:rtl/>
        </w:rPr>
        <w:t xml:space="preserve">, </w:t>
      </w:r>
      <w:r w:rsidRPr="00F80C08">
        <w:rPr>
          <w:rFonts w:hint="cs"/>
          <w:rtl/>
        </w:rPr>
        <w:lastRenderedPageBreak/>
        <w:t>שייכות ליציאת מצרים״</w:t>
      </w:r>
      <w:r w:rsidRPr="00F80C08">
        <w:rPr>
          <w:rtl/>
        </w:rPr>
        <w:t xml:space="preserve">] </w:t>
      </w:r>
      <w:r w:rsidRPr="00F80C08">
        <w:rPr>
          <w:rFonts w:hint="cs"/>
          <w:rtl/>
        </w:rPr>
        <w:t xml:space="preserve">וזלה״ק ״אף את״ל שגם לפי טעמים הנ״ל יש להכוסות שייכות לענין ה״גאולה״ </w:t>
      </w:r>
      <w:r w:rsidRPr="00F80C08">
        <w:rPr>
          <w:rtl/>
        </w:rPr>
        <w:t xml:space="preserve">– </w:t>
      </w:r>
      <w:r w:rsidRPr="00F80C08">
        <w:rPr>
          <w:rFonts w:hint="cs"/>
          <w:rtl/>
        </w:rPr>
        <w:t xml:space="preserve">ראה לעיל הערה </w:t>
      </w:r>
      <w:r w:rsidRPr="00F80C08">
        <w:rPr>
          <w:rtl/>
        </w:rPr>
        <w:t>4</w:t>
      </w:r>
      <w:r w:rsidRPr="00F80C08">
        <w:rPr>
          <w:rFonts w:hint="cs"/>
          <w:rtl/>
        </w:rPr>
        <w:t>״</w:t>
      </w:r>
      <w:r w:rsidRPr="00F80C08">
        <w:rPr>
          <w:rtl/>
        </w:rPr>
        <w:t>.</w:t>
      </w:r>
    </w:p>
    <w:p w:rsidR="00900523" w:rsidRPr="00F80C08" w:rsidRDefault="00900523" w:rsidP="00F146A6">
      <w:pPr>
        <w:pStyle w:val="a3"/>
        <w:rPr>
          <w:rtl/>
        </w:rPr>
      </w:pPr>
      <w:r w:rsidRPr="00F80C08">
        <w:rPr>
          <w:rFonts w:hint="cs"/>
          <w:rtl/>
        </w:rPr>
        <w:t>ואולי יש לומר בכוונת רבינו</w:t>
      </w:r>
      <w:r w:rsidRPr="00F80C08">
        <w:rPr>
          <w:rtl/>
        </w:rPr>
        <w:t xml:space="preserve">, </w:t>
      </w:r>
      <w:r w:rsidRPr="00F80C08">
        <w:rPr>
          <w:rFonts w:hint="cs"/>
          <w:rtl/>
        </w:rPr>
        <w:t xml:space="preserve">שהעיר כן לא רק </w:t>
      </w:r>
      <w:r w:rsidRPr="00F80C08">
        <w:rPr>
          <w:rtl/>
        </w:rPr>
        <w:t>[</w:t>
      </w:r>
      <w:r w:rsidRPr="00F80C08">
        <w:rPr>
          <w:rFonts w:hint="cs"/>
          <w:rtl/>
        </w:rPr>
        <w:t>כפי המשמעות הפשוטה של השיחה</w:t>
      </w:r>
      <w:r w:rsidRPr="00F80C08">
        <w:rPr>
          <w:rtl/>
        </w:rPr>
        <w:t xml:space="preserve">] </w:t>
      </w:r>
      <w:r w:rsidRPr="00F80C08">
        <w:rPr>
          <w:rFonts w:hint="cs"/>
          <w:rtl/>
        </w:rPr>
        <w:t>להבהיר אמש״כ בפנים דרק להך טעמא דד׳ כוסות נתקנו כנגד ד׳ לשונות של גאולה ״האמורים בפרשת וארא״ ניתן לומר שהסיבה היא תנאי ופרט במצות ד׳ כוסות אלו</w:t>
      </w:r>
      <w:r w:rsidRPr="00F80C08">
        <w:rPr>
          <w:rtl/>
        </w:rPr>
        <w:t xml:space="preserve">, </w:t>
      </w:r>
      <w:r w:rsidRPr="00F80C08">
        <w:rPr>
          <w:rFonts w:hint="cs"/>
          <w:rtl/>
        </w:rPr>
        <w:t>משא״כ להני טעמים האחרים שא״א לומר כן כיון שאין בתוכן הפרשיות בהן נזכרים כוסות אלו שייכות לגאולה</w:t>
      </w:r>
      <w:r w:rsidRPr="00F80C08">
        <w:rPr>
          <w:rtl/>
        </w:rPr>
        <w:t xml:space="preserve">, </w:t>
      </w:r>
      <w:r w:rsidRPr="00F80C08">
        <w:rPr>
          <w:rFonts w:hint="cs"/>
          <w:rtl/>
        </w:rPr>
        <w:t>וע״ז העיר דגם להמבואר שיש להם שייכות ורמז לגאולת מצרים עכ״פ</w:t>
      </w:r>
      <w:r w:rsidRPr="00F80C08">
        <w:rPr>
          <w:rtl/>
        </w:rPr>
        <w:t xml:space="preserve">, </w:t>
      </w:r>
      <w:r w:rsidRPr="00F80C08">
        <w:rPr>
          <w:rFonts w:hint="cs"/>
          <w:rtl/>
        </w:rPr>
        <w:t>מ״מ הרי אין זה אלא סיבה וסיבה דסיבה ושייכות רחוקה לגאולה</w:t>
      </w:r>
      <w:r w:rsidRPr="00F80C08">
        <w:rPr>
          <w:rtl/>
        </w:rPr>
        <w:t xml:space="preserve">, </w:t>
      </w:r>
      <w:r w:rsidRPr="00F80C08">
        <w:rPr>
          <w:rFonts w:hint="cs"/>
          <w:rtl/>
        </w:rPr>
        <w:t xml:space="preserve">ולכן עדיין א״א לומר שמשום זה הסיבה תהא תנאי ופרט </w:t>
      </w:r>
      <w:r w:rsidRPr="00F80C08">
        <w:rPr>
          <w:rtl/>
        </w:rPr>
        <w:t>[</w:t>
      </w:r>
      <w:r w:rsidRPr="00F80C08">
        <w:rPr>
          <w:rFonts w:hint="cs"/>
          <w:rtl/>
        </w:rPr>
        <w:t>לעיכובא</w:t>
      </w:r>
      <w:r w:rsidRPr="00F80C08">
        <w:rPr>
          <w:rtl/>
        </w:rPr>
        <w:t xml:space="preserve">] </w:t>
      </w:r>
      <w:r w:rsidRPr="00F80C08">
        <w:rPr>
          <w:rFonts w:hint="cs"/>
          <w:rtl/>
        </w:rPr>
        <w:t>בהמצוה דד׳ כוסות</w:t>
      </w:r>
      <w:r w:rsidRPr="00F80C08">
        <w:rPr>
          <w:rtl/>
        </w:rPr>
        <w:t>.</w:t>
      </w:r>
    </w:p>
    <w:p w:rsidR="00900523" w:rsidRPr="00F80C08" w:rsidRDefault="00900523" w:rsidP="00F146A6">
      <w:pPr>
        <w:pStyle w:val="a3"/>
        <w:rPr>
          <w:rtl/>
        </w:rPr>
      </w:pPr>
      <w:r w:rsidRPr="00F80C08">
        <w:rPr>
          <w:rFonts w:hint="cs"/>
          <w:rtl/>
        </w:rPr>
        <w:t>הנה בנוסף ע״ז אולי יתכן לומר דכוונת רבינו בהערה זו היא גם לרמז ולהבהיר אגב אורחא הטעם מדוע עכ״פ גם לטעמים אלו תיקנו לקיים את המצוה דהסיבה הכללית בעת שתיית הד׳ כוסות</w:t>
      </w:r>
      <w:r w:rsidRPr="00F80C08">
        <w:rPr>
          <w:rtl/>
        </w:rPr>
        <w:t xml:space="preserve">, </w:t>
      </w:r>
      <w:r w:rsidRPr="00F80C08">
        <w:rPr>
          <w:rFonts w:hint="cs"/>
          <w:rtl/>
        </w:rPr>
        <w:t>והיינו טעמא משום ״שגם לפי טעמים הנ״ל יש להכוסות שייכות לענין הגאולה״ עכ״פ</w:t>
      </w:r>
      <w:r w:rsidRPr="00F80C08">
        <w:rPr>
          <w:rtl/>
        </w:rPr>
        <w:t xml:space="preserve">, </w:t>
      </w:r>
      <w:r w:rsidRPr="00F80C08">
        <w:rPr>
          <w:rFonts w:hint="cs"/>
          <w:rtl/>
        </w:rPr>
        <w:t>וכמוש״נ</w:t>
      </w:r>
      <w:r w:rsidRPr="00F80C08">
        <w:rPr>
          <w:rtl/>
        </w:rPr>
        <w:t>]</w:t>
      </w:r>
      <w:r w:rsidRPr="009F0D7D">
        <w:rPr>
          <w:vertAlign w:val="superscript"/>
        </w:rPr>
        <w:footnoteReference w:id="96"/>
      </w:r>
      <w:r w:rsidRPr="00F80C08">
        <w:rPr>
          <w:rtl/>
        </w:rPr>
        <w:t>.</w:t>
      </w:r>
    </w:p>
    <w:p w:rsidR="00900523" w:rsidRPr="00F80C08" w:rsidRDefault="00900523" w:rsidP="00F146A6">
      <w:pPr>
        <w:pStyle w:val="a3"/>
        <w:rPr>
          <w:rtl/>
        </w:rPr>
      </w:pPr>
      <w:r w:rsidRPr="00F80C08">
        <w:rPr>
          <w:rFonts w:hint="cs"/>
          <w:rtl/>
        </w:rPr>
        <w:t>ז</w:t>
      </w:r>
      <w:r w:rsidRPr="00F80C08">
        <w:rPr>
          <w:rtl/>
        </w:rPr>
        <w:t xml:space="preserve">. </w:t>
      </w:r>
      <w:r w:rsidRPr="00F80C08">
        <w:rPr>
          <w:rFonts w:hint="cs"/>
          <w:rtl/>
        </w:rPr>
        <w:t>ולהמבואר נמצא דגדר תקנת ההסיבה בשייכות למצות ד׳ כוסות אם היא מצוה כללית בפ״ע או פרט ותנאי בד׳ כוסות</w:t>
      </w:r>
      <w:r w:rsidRPr="00F80C08">
        <w:rPr>
          <w:rtl/>
        </w:rPr>
        <w:t xml:space="preserve">, </w:t>
      </w:r>
      <w:r w:rsidRPr="00F80C08">
        <w:rPr>
          <w:rFonts w:hint="cs"/>
          <w:rtl/>
        </w:rPr>
        <w:t>הרי היא עולה בקנה אחד ומתאימה היטב עם תוכנם ומהותם של ד׳ כוסות</w:t>
      </w:r>
      <w:r w:rsidRPr="00F80C08">
        <w:rPr>
          <w:rtl/>
        </w:rPr>
        <w:t xml:space="preserve">, </w:t>
      </w:r>
      <w:r w:rsidRPr="00F80C08">
        <w:rPr>
          <w:rFonts w:hint="cs"/>
          <w:rtl/>
        </w:rPr>
        <w:t>דאי נימא דד׳ כוסות נתקנו כנגד ד׳ לשונות של גאולה</w:t>
      </w:r>
      <w:r w:rsidRPr="00F80C08">
        <w:rPr>
          <w:rtl/>
        </w:rPr>
        <w:t xml:space="preserve">, </w:t>
      </w:r>
      <w:r w:rsidRPr="00F80C08">
        <w:rPr>
          <w:rFonts w:hint="cs"/>
          <w:rtl/>
        </w:rPr>
        <w:t>והיינו שהם הם זכר לענין הגאולה עצמה</w:t>
      </w:r>
      <w:r w:rsidRPr="00F80C08">
        <w:rPr>
          <w:rtl/>
        </w:rPr>
        <w:t xml:space="preserve">, </w:t>
      </w:r>
      <w:r w:rsidRPr="00F80C08">
        <w:rPr>
          <w:rFonts w:hint="cs"/>
          <w:rtl/>
        </w:rPr>
        <w:t>הרי שפיר ניתן לומר שההסיבה וההנהגה דדרך חירות היא פרט וחלק מהם</w:t>
      </w:r>
      <w:r w:rsidRPr="00F80C08">
        <w:rPr>
          <w:rtl/>
        </w:rPr>
        <w:t xml:space="preserve">. </w:t>
      </w:r>
    </w:p>
    <w:p w:rsidR="00900523" w:rsidRPr="00F80C08" w:rsidRDefault="00900523" w:rsidP="00F146A6">
      <w:pPr>
        <w:pStyle w:val="a3"/>
        <w:rPr>
          <w:rtl/>
        </w:rPr>
      </w:pPr>
      <w:r w:rsidRPr="00F80C08">
        <w:rPr>
          <w:rFonts w:hint="cs"/>
          <w:rtl/>
        </w:rPr>
        <w:t>משא״כ אי נימא דנתקנו משום ד׳ כוסות של פרעה וכו׳ או כשאר הטעמים</w:t>
      </w:r>
      <w:r w:rsidRPr="00F80C08">
        <w:rPr>
          <w:rtl/>
        </w:rPr>
        <w:t xml:space="preserve">, </w:t>
      </w:r>
      <w:r w:rsidRPr="00F80C08">
        <w:rPr>
          <w:rFonts w:hint="cs"/>
          <w:rtl/>
        </w:rPr>
        <w:t>דאיכא רק שייכות רחוקה לגאולה</w:t>
      </w:r>
      <w:r w:rsidRPr="00F80C08">
        <w:rPr>
          <w:rtl/>
        </w:rPr>
        <w:t xml:space="preserve">, </w:t>
      </w:r>
      <w:r w:rsidRPr="00F80C08">
        <w:rPr>
          <w:rFonts w:hint="cs"/>
          <w:rtl/>
        </w:rPr>
        <w:t>הרי מצד אחד א״א לומר שהסיבה תהא פרט עיקרי ותנאי בהם</w:t>
      </w:r>
      <w:r w:rsidRPr="00F80C08">
        <w:rPr>
          <w:rtl/>
        </w:rPr>
        <w:t xml:space="preserve">, </w:t>
      </w:r>
      <w:r w:rsidRPr="00F80C08">
        <w:rPr>
          <w:rFonts w:hint="cs"/>
          <w:rtl/>
        </w:rPr>
        <w:t>אמנם מ״מ מצד שני הרי שפיר יש להם שייכות לענין ההסיבה והגאולה</w:t>
      </w:r>
      <w:r w:rsidRPr="00F80C08">
        <w:rPr>
          <w:rtl/>
        </w:rPr>
        <w:t xml:space="preserve">, </w:t>
      </w:r>
      <w:r w:rsidRPr="00F80C08">
        <w:rPr>
          <w:rFonts w:hint="cs"/>
          <w:rtl/>
        </w:rPr>
        <w:t>ולכן עכ״פ כאשר תיקנו חכמים את מצות ההסיבה תיקנו לקיימה בעת שתיית הד׳ כוסות וכמוש״נ</w:t>
      </w:r>
      <w:r w:rsidRPr="00F80C08">
        <w:rPr>
          <w:rtl/>
        </w:rPr>
        <w:t>.</w:t>
      </w:r>
    </w:p>
    <w:p w:rsidR="00900523" w:rsidRPr="00F80C08" w:rsidRDefault="00900523" w:rsidP="00F146A6">
      <w:pPr>
        <w:pStyle w:val="a3"/>
        <w:rPr>
          <w:rtl/>
        </w:rPr>
      </w:pPr>
      <w:r w:rsidRPr="00F80C08">
        <w:rPr>
          <w:rFonts w:hint="cs"/>
          <w:rtl/>
        </w:rPr>
        <w:t>עוד יש להעיר בביאור דברי רבינו בהמשך השיחה שם</w:t>
      </w:r>
      <w:r w:rsidRPr="00F80C08">
        <w:rPr>
          <w:rtl/>
        </w:rPr>
        <w:t xml:space="preserve">, </w:t>
      </w:r>
      <w:r w:rsidRPr="00F80C08">
        <w:rPr>
          <w:rFonts w:hint="cs"/>
          <w:rtl/>
        </w:rPr>
        <w:t>ועוד חזון למועד בע״ה</w:t>
      </w:r>
      <w:r w:rsidRPr="00F80C08">
        <w:rPr>
          <w:rtl/>
        </w:rPr>
        <w:t>.</w:t>
      </w:r>
    </w:p>
    <w:p w:rsidR="00900523" w:rsidRDefault="00900523" w:rsidP="00900523">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3A407F" w:rsidRDefault="003A407F" w:rsidP="00430298">
      <w:pPr>
        <w:pStyle w:val="a0"/>
        <w:bidi w:val="0"/>
        <w:rPr>
          <w:rtl/>
        </w:rPr>
      </w:pPr>
      <w:bookmarkStart w:id="123" w:name="_Toc43963097"/>
      <w:r>
        <w:rPr>
          <w:rtl/>
        </w:rPr>
        <w:lastRenderedPageBreak/>
        <w:t>תפילת כהן גדול</w:t>
      </w:r>
      <w:bookmarkEnd w:id="123"/>
    </w:p>
    <w:p w:rsidR="00430298" w:rsidRDefault="00430298" w:rsidP="00F146A6">
      <w:pPr>
        <w:pStyle w:val="a"/>
        <w:rPr>
          <w:rtl/>
        </w:rPr>
      </w:pPr>
      <w:bookmarkStart w:id="124" w:name="_Toc43963098"/>
      <w:r>
        <w:rPr>
          <w:rFonts w:hint="cs"/>
          <w:rtl/>
        </w:rPr>
        <w:t>הת' משה צייטאג</w:t>
      </w:r>
      <w:bookmarkEnd w:id="124"/>
    </w:p>
    <w:p w:rsidR="00430298" w:rsidRDefault="00430298" w:rsidP="00430298">
      <w:pPr>
        <w:pStyle w:val="a1"/>
      </w:pPr>
      <w:r>
        <w:rPr>
          <w:rFonts w:hint="cs"/>
          <w:rtl/>
        </w:rPr>
        <w:t>תלמיד בישיבה שע"י הציון הק'</w:t>
      </w:r>
    </w:p>
    <w:p w:rsidR="003A407F" w:rsidRDefault="003A407F" w:rsidP="00F146A6">
      <w:pPr>
        <w:pStyle w:val="a3"/>
      </w:pPr>
      <w:r>
        <w:rPr>
          <w:b/>
          <w:rtl/>
        </w:rPr>
        <w:t>א.</w:t>
      </w:r>
      <w:r>
        <w:rPr>
          <w:rtl/>
        </w:rPr>
        <w:t xml:space="preserve"> במס' מכות בפרק "אלו הן הגולין" מדובר הרבה אודות מי שרצח בשוגג וגלה לעיר מקלטו, ואיתא במשנה</w:t>
      </w:r>
      <w:r>
        <w:rPr>
          <w:vertAlign w:val="superscript"/>
        </w:rPr>
        <w:footnoteReference w:id="97"/>
      </w:r>
      <w:r>
        <w:rPr>
          <w:rtl/>
        </w:rPr>
        <w:t>: "אחד משוח בשמן המשחה, ואחד המרובה בבגדים, ואחד שעבר ממשיחותו מחזירין את הרוצח (במיתתן כמו שנאמר "ואחרי מות הכהן הגדול ישוב הרוצח". רש"י). רבי יהודה אומר אף משוח מלחמה מחזיר את הרוצח. לפיכך, אימותיהן של כהנים מספקות להן מחי' וכסות כדי שלא יתפללו על בניהם שימותו".</w:t>
      </w:r>
    </w:p>
    <w:p w:rsidR="003A407F" w:rsidRDefault="003A407F" w:rsidP="00F146A6">
      <w:pPr>
        <w:pStyle w:val="a3"/>
      </w:pPr>
      <w:r>
        <w:rPr>
          <w:rtl/>
        </w:rPr>
        <w:t>ודנה</w:t>
      </w:r>
      <w:r>
        <w:t xml:space="preserve"> </w:t>
      </w:r>
      <w:r>
        <w:rPr>
          <w:rtl/>
        </w:rPr>
        <w:t xml:space="preserve">הגמ' על סיום המשנה </w:t>
      </w:r>
      <w:r>
        <w:rPr>
          <w:b/>
          <w:rtl/>
        </w:rPr>
        <w:t>"לפיכך אימותיהן של כהנים וכו'"</w:t>
      </w:r>
      <w:r>
        <w:t xml:space="preserve"> </w:t>
      </w:r>
      <w:r>
        <w:rPr>
          <w:b/>
        </w:rPr>
        <w:t>-</w:t>
      </w:r>
      <w:r>
        <w:rPr>
          <w:rtl/>
        </w:rPr>
        <w:t xml:space="preserve"> "טעמא דלא מצלו, הא מצלו מייתי. והכתיב "כציפור לנוד כדרור לעוף כן קללת חנם לא תבא"? אמר ההוא סבא, מפירקי</w:t>
      </w:r>
      <w:r>
        <w:t>'</w:t>
      </w:r>
      <w:r>
        <w:rPr>
          <w:rtl/>
        </w:rPr>
        <w:t xml:space="preserve"> דרבא שמיע לי שהי</w:t>
      </w:r>
      <w:r>
        <w:t>'</w:t>
      </w:r>
      <w:r>
        <w:rPr>
          <w:rtl/>
        </w:rPr>
        <w:t xml:space="preserve"> להן לבקש רחמים על דורן ולא בקשו (הלכך לאו קללת חנם היא. רש"י) ואיכא דמתני כדי שיתפללו על בניהם שלא ימותו. טעמא דמצלו, הא לא מצלו מייתי, מאי הוה לי</w:t>
      </w:r>
      <w:r>
        <w:t>'</w:t>
      </w:r>
      <w:r>
        <w:rPr>
          <w:rtl/>
        </w:rPr>
        <w:t xml:space="preserve"> למעבד?</w:t>
      </w:r>
      <w:r>
        <w:t xml:space="preserve"> . .</w:t>
      </w:r>
      <w:r>
        <w:rPr>
          <w:rtl/>
        </w:rPr>
        <w:t xml:space="preserve"> אמר ההוא סבא מפירקי</w:t>
      </w:r>
      <w:r>
        <w:t>'</w:t>
      </w:r>
      <w:r>
        <w:rPr>
          <w:rtl/>
        </w:rPr>
        <w:t xml:space="preserve"> דרבא שמיע לי שהי</w:t>
      </w:r>
      <w:r>
        <w:t>'</w:t>
      </w:r>
      <w:r>
        <w:rPr>
          <w:rtl/>
        </w:rPr>
        <w:t xml:space="preserve"> להן לבקש רחמים על דורן ולא בקשו כי הא דההוא גברא דאכלא אריא ברחוק תלתא פרסי מיני</w:t>
      </w:r>
      <w:r>
        <w:t>'</w:t>
      </w:r>
      <w:r>
        <w:rPr>
          <w:rtl/>
        </w:rPr>
        <w:t xml:space="preserve"> דר' יהושע בן לוי, ולא אישתעי אליהו בהדי</w:t>
      </w:r>
      <w:r>
        <w:t>'</w:t>
      </w:r>
      <w:r>
        <w:rPr>
          <w:rtl/>
        </w:rPr>
        <w:t xml:space="preserve"> תלתיא יומי.</w:t>
      </w:r>
    </w:p>
    <w:p w:rsidR="003A407F" w:rsidRDefault="003A407F" w:rsidP="00F146A6">
      <w:pPr>
        <w:pStyle w:val="a3"/>
      </w:pPr>
      <w:r>
        <w:rPr>
          <w:rtl/>
        </w:rPr>
        <w:t>והקשו הרבה מפרשים, למה הטעם "שהי' להן לבקש רחמים על דורן ולא בקשו" מספיק לאשמת הכה"ג (או שהרוצחים יכולים</w:t>
      </w:r>
      <w:r>
        <w:t xml:space="preserve"> </w:t>
      </w:r>
      <w:r>
        <w:rPr>
          <w:rtl/>
        </w:rPr>
        <w:t>להתפלל על הכה"ג שימות, או שימות אם לא יתפללו הרוצחים עליו שלא ימות)</w:t>
      </w:r>
      <w:r>
        <w:t xml:space="preserve">? </w:t>
      </w:r>
      <w:r>
        <w:rPr>
          <w:rtl/>
        </w:rPr>
        <w:t>הרי, איך מועילה תפילת הכה"ג שלא תארע רציחה בימיו, הלא זה לנגד הבחירה הטבעית של הרוצח</w:t>
      </w:r>
      <w:r>
        <w:rPr>
          <w:vertAlign w:val="superscript"/>
        </w:rPr>
        <w:footnoteReference w:id="98"/>
      </w:r>
      <w:r>
        <w:t>?</w:t>
      </w:r>
    </w:p>
    <w:p w:rsidR="003A407F" w:rsidRDefault="003A407F" w:rsidP="00F146A6">
      <w:pPr>
        <w:pStyle w:val="a3"/>
      </w:pPr>
      <w:r>
        <w:rPr>
          <w:rtl/>
        </w:rPr>
        <w:t xml:space="preserve">ונאמרו בזה הרבה תירוצים, ומהם: </w:t>
      </w:r>
    </w:p>
    <w:p w:rsidR="003A407F" w:rsidRDefault="003A407F" w:rsidP="00F146A6">
      <w:pPr>
        <w:pStyle w:val="a3"/>
      </w:pPr>
      <w:r>
        <w:rPr>
          <w:rtl/>
        </w:rPr>
        <w:t xml:space="preserve">1) תפילת הכה"ג היא רק שלא תארע רציחה </w:t>
      </w:r>
      <w:r>
        <w:rPr>
          <w:b/>
          <w:rtl/>
        </w:rPr>
        <w:t>בשוגג</w:t>
      </w:r>
      <w:r>
        <w:rPr>
          <w:rtl/>
        </w:rPr>
        <w:t xml:space="preserve"> (שהרי מדובר בהמשנה ובהגמ' אודות רציחה בשוגג), ואין זה לנגד הבחירה של הרוצח, מפני שאין בזה בקשה שיעשה האדם לרעה או לטובה מדעתו בבחירתו (ויש מפרשים שכמו"כ ברציחה במזיד, שיכול הכה"ג להתפלל על </w:t>
      </w:r>
      <w:r>
        <w:rPr>
          <w:b/>
          <w:rtl/>
        </w:rPr>
        <w:t xml:space="preserve">הנרצחים </w:t>
      </w:r>
      <w:r>
        <w:rPr>
          <w:rtl/>
        </w:rPr>
        <w:t>שיצילם הקב"ה מיד הרוצחים</w:t>
      </w:r>
      <w:r>
        <w:rPr>
          <w:vertAlign w:val="superscript"/>
        </w:rPr>
        <w:footnoteReference w:id="99"/>
      </w:r>
      <w:r w:rsidR="00430298">
        <w:rPr>
          <w:rFonts w:hint="cs"/>
          <w:rtl/>
        </w:rPr>
        <w:t>)</w:t>
      </w:r>
      <w:r>
        <w:t>.</w:t>
      </w:r>
    </w:p>
    <w:p w:rsidR="003A407F" w:rsidRDefault="003A407F" w:rsidP="00F146A6">
      <w:pPr>
        <w:pStyle w:val="a3"/>
      </w:pPr>
      <w:r>
        <w:rPr>
          <w:rtl/>
        </w:rPr>
        <w:t xml:space="preserve">2) תפילת הכה"ג אינה על מעשה הרוצח, שהרי זהו לנגד הבחירה, אלא התפילה היא </w:t>
      </w:r>
      <w:r>
        <w:rPr>
          <w:b/>
          <w:rtl/>
        </w:rPr>
        <w:t xml:space="preserve">שלא יבוא לידי מצב </w:t>
      </w:r>
      <w:r>
        <w:rPr>
          <w:rtl/>
        </w:rPr>
        <w:t xml:space="preserve">שיכול לעשות מעשה רציחה (ע"ד שמתפללין בכל בוקר "ויהי רצון מלפניך . . ואל תביאנו לידי חטא, ולא לידי עבירה ועון ולא לידי נסיון </w:t>
      </w:r>
      <w:r>
        <w:rPr>
          <w:rtl/>
        </w:rPr>
        <w:lastRenderedPageBreak/>
        <w:t>וכו')</w:t>
      </w:r>
      <w:r>
        <w:t>.</w:t>
      </w:r>
      <w:r w:rsidR="00430298">
        <w:rPr>
          <w:vertAlign w:val="superscript"/>
        </w:rPr>
        <w:footnoteReference w:id="100"/>
      </w:r>
    </w:p>
    <w:p w:rsidR="003A407F" w:rsidRDefault="003A407F" w:rsidP="00F146A6">
      <w:pPr>
        <w:pStyle w:val="a3"/>
      </w:pPr>
      <w:r>
        <w:rPr>
          <w:rtl/>
        </w:rPr>
        <w:t xml:space="preserve">והנה, ע"פ ביאורו של כ"ק אדמו"ר בענין עבירה בשוגג אפשר לבאר כל זה באופן אחר, כדלקמן.                   </w:t>
      </w:r>
    </w:p>
    <w:p w:rsidR="003A407F" w:rsidRDefault="003A407F" w:rsidP="00F146A6">
      <w:pPr>
        <w:pStyle w:val="a3"/>
      </w:pPr>
      <w:r>
        <w:rPr>
          <w:b/>
          <w:rtl/>
        </w:rPr>
        <w:t>ב.</w:t>
      </w:r>
      <w:r>
        <w:rPr>
          <w:rtl/>
        </w:rPr>
        <w:t xml:space="preserve"> בלקוטי שיחות</w:t>
      </w:r>
      <w:r>
        <w:rPr>
          <w:vertAlign w:val="superscript"/>
        </w:rPr>
        <w:footnoteReference w:id="101"/>
      </w:r>
      <w:r>
        <w:rPr>
          <w:rtl/>
        </w:rPr>
        <w:t xml:space="preserve"> מביא כ"ק אדמו"ר ב' מחלוקות בין ר"מ וחכמים בדיני קרבן אשם שלכאורה סותרות זל"ז:</w:t>
      </w:r>
    </w:p>
    <w:p w:rsidR="003A407F" w:rsidRDefault="003A407F" w:rsidP="00F146A6">
      <w:pPr>
        <w:pStyle w:val="a3"/>
      </w:pPr>
      <w:r>
        <w:rPr>
          <w:rtl/>
        </w:rPr>
        <w:t>במס' כריתות</w:t>
      </w:r>
      <w:r>
        <w:rPr>
          <w:vertAlign w:val="superscript"/>
        </w:rPr>
        <w:footnoteReference w:id="102"/>
      </w:r>
      <w:r>
        <w:rPr>
          <w:rtl/>
        </w:rPr>
        <w:t xml:space="preserve"> כתוב בברייתא "השוחט אשם תלוי בחוץ, ר"מ מחייב ("משום שחוטי חוץ, אף על גב דאיכא למימר שמא לא אכל חלב ואשם זה חולין הוא, דלא בעי קביעות לאיסור". רש"י) וחכמים פוטרין" ("דלא איקבע איסורא דשמא חולין הוא". רש"י). והיינו, שלדעת חכמים מפני שקרבן אשם תלוי בא על ספק (כמבואר בסוף פרשת ויקרא), לכן, אי אפשר לחייב על שחיטתו בחוץ. והרמב"ם פסק</w:t>
      </w:r>
      <w:r>
        <w:rPr>
          <w:vertAlign w:val="superscript"/>
        </w:rPr>
        <w:footnoteReference w:id="103"/>
      </w:r>
      <w:r>
        <w:rPr>
          <w:rtl/>
        </w:rPr>
        <w:t xml:space="preserve"> "אשם תלוי . . הבאה על הספק שהקריבן בחוץ פטור, שהרי לא נקבע האיסור", והיינו כדעת חכמים</w:t>
      </w:r>
      <w:r>
        <w:t>.</w:t>
      </w:r>
      <w:r w:rsidR="00430298">
        <w:rPr>
          <w:vertAlign w:val="superscript"/>
        </w:rPr>
        <w:footnoteReference w:id="104"/>
      </w:r>
      <w:r>
        <w:t xml:space="preserve"> </w:t>
      </w:r>
    </w:p>
    <w:p w:rsidR="003A407F" w:rsidRDefault="003A407F" w:rsidP="00F146A6">
      <w:pPr>
        <w:pStyle w:val="a3"/>
      </w:pPr>
      <w:r>
        <w:rPr>
          <w:rtl/>
        </w:rPr>
        <w:t>ובמשנה אחרת</w:t>
      </w:r>
      <w:r>
        <w:rPr>
          <w:vertAlign w:val="superscript"/>
        </w:rPr>
        <w:footnoteReference w:id="105"/>
      </w:r>
      <w:r>
        <w:rPr>
          <w:rtl/>
        </w:rPr>
        <w:t xml:space="preserve"> ישנה מחלוקת נוספת: "המביא אשם תלוי ונודע לו שלא חטא, אם עד שלא נשחט יצא וירעה בעדר ("עם שאר צאנו כחולין גמורין". רש"י) דברי ר"מ. וחכמים אומרים ירעה עד שיסתאב, וימכר ויפלו דמיו לנדבה". היינו, שלדעת חכמים יש להבהמה דין קרבן, אבל א"א להקריבה מפני שיודע שלא חטא אלא צריך לפדותה. ופסק הרמב"ם</w:t>
      </w:r>
      <w:r>
        <w:rPr>
          <w:vertAlign w:val="superscript"/>
        </w:rPr>
        <w:footnoteReference w:id="106"/>
      </w:r>
      <w:r>
        <w:rPr>
          <w:rtl/>
        </w:rPr>
        <w:t xml:space="preserve"> "הביא אשם תלוי ונודע לו שלא חטא או שחטא ודאי, אם עד שלא נשחט ירעה עד שיפלו בו מום ויפלו דמיו לנדבה מפני שלבו של אדם דוה על עונותיו, והואיל ועל ספק הפרישו גמר בלבו להקדיש" (עיין ברש"י</w:t>
      </w:r>
      <w:r>
        <w:rPr>
          <w:vertAlign w:val="superscript"/>
        </w:rPr>
        <w:footnoteReference w:id="107"/>
      </w:r>
      <w:r>
        <w:rPr>
          <w:rtl/>
        </w:rPr>
        <w:t>), והיינו כדעת חכמים</w:t>
      </w:r>
      <w:r>
        <w:t>.</w:t>
      </w:r>
      <w:r w:rsidR="00430298">
        <w:rPr>
          <w:vertAlign w:val="superscript"/>
        </w:rPr>
        <w:footnoteReference w:id="108"/>
      </w:r>
    </w:p>
    <w:p w:rsidR="003A407F" w:rsidRDefault="003A407F" w:rsidP="00F146A6">
      <w:pPr>
        <w:pStyle w:val="a3"/>
      </w:pPr>
      <w:r>
        <w:rPr>
          <w:rtl/>
        </w:rPr>
        <w:t>ויש בזה קושיא גדולה לדעת חכמים (וכמו שהקשה הלחם משנה בהל' מעשה הקרבנות)</w:t>
      </w:r>
      <w:r>
        <w:rPr>
          <w:vertAlign w:val="superscript"/>
        </w:rPr>
        <w:footnoteReference w:id="109"/>
      </w:r>
      <w:r>
        <w:rPr>
          <w:rtl/>
        </w:rPr>
        <w:t xml:space="preserve"> - בשחיטה בחוץ למה לא חייב, והרי זהו כ"ש, אם כשיודע בודאי שלא </w:t>
      </w:r>
      <w:r>
        <w:rPr>
          <w:rtl/>
        </w:rPr>
        <w:lastRenderedPageBreak/>
        <w:t xml:space="preserve">חטא נשאר הקדש משום </w:t>
      </w:r>
      <w:r>
        <w:rPr>
          <w:b/>
          <w:rtl/>
        </w:rPr>
        <w:t>שגמר בלבו להקדיש</w:t>
      </w:r>
      <w:r>
        <w:rPr>
          <w:rtl/>
        </w:rPr>
        <w:t>, בודאי שכן הוא אם נשאר בספק ושחט בחוץ, שהקרבן צ"ל הקדש ויתחייב על שחיטתו? ומטעם קושיא זו כתבו התוס'</w:t>
      </w:r>
      <w:r>
        <w:rPr>
          <w:vertAlign w:val="superscript"/>
        </w:rPr>
        <w:footnoteReference w:id="110"/>
      </w:r>
      <w:r>
        <w:t xml:space="preserve"> </w:t>
      </w:r>
      <w:r>
        <w:rPr>
          <w:b/>
          <w:rtl/>
        </w:rPr>
        <w:t xml:space="preserve">"שלאו היינו חכ' דלקמן </w:t>
      </w:r>
      <w:r>
        <w:rPr>
          <w:rtl/>
        </w:rPr>
        <w:t>דפליגי עלי' דר"מ פ' המביא דאמר ירעה עד שיסתאב וימכר ויפלו דמיו לנדבה, דא"כ הקדש גמור הוא וחייבין עליו בחוץ, אלא חכמים היינו כר"מ". והלחם משנה מתרץ דעת הרמב"ם (שפסק כחכמים בב' המקומות) באופן אחר: "ואולי י"ל דהוא סובר דלא כדברי התוס', אלא דאפי' רבנן דאמרי התם דגמר ומקדיש הכא מודו דפטור המקריב בחוץ, דאע"פ שהקדישו מ"מ כיון דאם לא הי' לו ספק חטא לא הי' מקדישו, לא הוה הקדש גמור</w:t>
      </w:r>
      <w:r w:rsidR="00430298">
        <w:rPr>
          <w:rFonts w:hint="cs"/>
          <w:rtl/>
        </w:rPr>
        <w:t>".</w:t>
      </w:r>
    </w:p>
    <w:p w:rsidR="003A407F" w:rsidRDefault="003A407F" w:rsidP="00F146A6">
      <w:pPr>
        <w:pStyle w:val="a3"/>
      </w:pPr>
      <w:r>
        <w:rPr>
          <w:b/>
          <w:rtl/>
        </w:rPr>
        <w:t>ג.</w:t>
      </w:r>
      <w:r>
        <w:rPr>
          <w:rtl/>
        </w:rPr>
        <w:t xml:space="preserve"> וכדי לבאר כל זה מקדים בהשיחה</w:t>
      </w:r>
      <w:r>
        <w:rPr>
          <w:vertAlign w:val="superscript"/>
        </w:rPr>
        <w:footnoteReference w:id="111"/>
      </w:r>
      <w:r>
        <w:rPr>
          <w:rtl/>
        </w:rPr>
        <w:t xml:space="preserve"> שבעבירה בשוגג צריך האדם כפרה ע"י קרבן (שיותר יקר מקרבן שבא על עבירה במזיד), מפני שזה שעשה מעשה עבירה מורה שיש בו משהו שאינו כדבעי, ומפני זה עשה מעשה העבירה. שאם הי' כראוי לא הי' עושה שום עבירות כמ"ש "לא יאונה לצדיק כל און"</w:t>
      </w:r>
      <w:r>
        <w:rPr>
          <w:vertAlign w:val="superscript"/>
        </w:rPr>
        <w:footnoteReference w:id="112"/>
      </w:r>
      <w:r>
        <w:rPr>
          <w:rtl/>
        </w:rPr>
        <w:t>, היינו אע"פ שעכשיו הוא עשה עבירה רק בשוגג שהי' שלא מדעתו, אבל הוא חיזק את הנה"ב שלו עד כדי כך שעשה עבירה שלא מדעתו</w:t>
      </w:r>
      <w:r>
        <w:rPr>
          <w:vertAlign w:val="superscript"/>
        </w:rPr>
        <w:footnoteReference w:id="113"/>
      </w:r>
      <w:r>
        <w:rPr>
          <w:rtl/>
        </w:rPr>
        <w:t xml:space="preserve">. וממעשים אלו שנעשים בדרך ממילא, שלא מדעתו וכוונתו, יודעים באיזה ענין הוא מונח: בצדיקים שמונחים באלקות כל עשיותיהם הן אלקות, וברשעים שמונחים בעוה"ז עשיותיהם הן בענינים רעים. ולכן הפגם של עבירות בשוגג בפרט זה גרוע יותר מעבירה במזיד, שהרי כשעושה עבירה במזיד הרי זה אינו מראה על מהותו, יכול להיות שכל השייכות שלו להעבירה הוא רק בדעתו, שהרי </w:t>
      </w:r>
      <w:r>
        <w:rPr>
          <w:b/>
          <w:rtl/>
        </w:rPr>
        <w:t>חשב</w:t>
      </w:r>
      <w:r>
        <w:rPr>
          <w:rtl/>
        </w:rPr>
        <w:t xml:space="preserve"> אודות העבירה, ורק בכח המעשה שלו, שהרי </w:t>
      </w:r>
      <w:r>
        <w:rPr>
          <w:b/>
          <w:rtl/>
        </w:rPr>
        <w:t>עשה</w:t>
      </w:r>
      <w:r>
        <w:rPr>
          <w:rtl/>
        </w:rPr>
        <w:t xml:space="preserve"> מעשה עבירה, ויכול להיות שכל השייכות שלו להעבירה הוא רק בשעה שעשה את העבירה. אבל כשעושה מעשה עבירה בשוגג ה"ז כממילא, ולכן זה מורה על מהותו למעלה מכוונתו ודעתו הגלויות, שזהו בחוזק עד כדי כך שבא במעשה בפועל שלא מדעתו.  </w:t>
      </w:r>
    </w:p>
    <w:p w:rsidR="003A407F" w:rsidRDefault="003A407F" w:rsidP="00F146A6">
      <w:pPr>
        <w:pStyle w:val="a3"/>
      </w:pPr>
      <w:r>
        <w:rPr>
          <w:rtl/>
        </w:rPr>
        <w:t>ועפ"ז מבאר כמה ענינים, ואחד מהם הוא מה שכתוב בכתבי האריז"ל שמי שנזהר ממשהו חמץ בפסח הוא מובטח שלא יעשה עבירות כל השנה. דקשה, הלא זה לנגד הבחירה, שע"י פעולות בימי הפסח אינו שייך לעשות שום עבירות כל השנה הבאה?</w:t>
      </w:r>
    </w:p>
    <w:p w:rsidR="003A407F" w:rsidRDefault="003A407F" w:rsidP="00F146A6">
      <w:pPr>
        <w:pStyle w:val="a3"/>
      </w:pPr>
      <w:r>
        <w:rPr>
          <w:rtl/>
        </w:rPr>
        <w:t>ומבאר שהמדובר כאן הוא אודות חטאים בשוגג ועדיין הוא בעל בחירה בענינים הנוגעים לדעתו, אבל ע"י שנזהר באיסור חמץ בפסח נעשה נפשו במידה מסויימת מהות של קדושה, ובמילא אינו שייך (כ"כ) לעשות עבירות שלא מדעתו.</w:t>
      </w:r>
    </w:p>
    <w:p w:rsidR="003A407F" w:rsidRDefault="003A407F" w:rsidP="00F146A6">
      <w:pPr>
        <w:pStyle w:val="a3"/>
      </w:pPr>
      <w:r>
        <w:rPr>
          <w:rtl/>
        </w:rPr>
        <w:lastRenderedPageBreak/>
        <w:t>ומבאר שע"ד חומרת הפגם של איסור שוגג על איסור מזיד, ישנו עד"ז חומרה בספק איסור (היינו שאינו יודע שעשה עבירה אפי' לאחר זמן) לודאי איסור (היינו שיודע שעשה עבירה לאחר זמן)</w:t>
      </w:r>
      <w:r>
        <w:rPr>
          <w:vertAlign w:val="superscript"/>
        </w:rPr>
        <w:footnoteReference w:id="114"/>
      </w:r>
      <w:r>
        <w:rPr>
          <w:rtl/>
        </w:rPr>
        <w:t>. בודאי איסור אע"פ שמזה שעשה איסור שוגג מראה על מהותו כנ"ל, אעפ"כ לאחרי שעשה האיסור מכיר שמה שעשה הוא בסתירה למהותו (ואע"פ שהמעשים שעשה הביאו אותו למצב זה, סוף-סוף הוא מרגיש שזהו בסתירה לרצון העליון)</w:t>
      </w:r>
      <w:r>
        <w:t>.</w:t>
      </w:r>
      <w:r w:rsidR="00430298">
        <w:rPr>
          <w:vertAlign w:val="superscript"/>
        </w:rPr>
        <w:footnoteReference w:id="115"/>
      </w:r>
    </w:p>
    <w:p w:rsidR="003A407F" w:rsidRDefault="003A407F" w:rsidP="00F146A6">
      <w:pPr>
        <w:pStyle w:val="a3"/>
      </w:pPr>
      <w:r>
        <w:rPr>
          <w:rtl/>
        </w:rPr>
        <w:t xml:space="preserve">וע"פ כל זה מבאר שתי המחלוקות בין חכמים ור"מ, שמה שפסק הרמב"ם כדעת חכמים שאשם תלוי שהקריבו בחוץ פטור הוא מפני שבעונשי התורה הולכים אחרי מה שכלפי שמיא גליא ובעונשים העיקר הוא מעשה בפועל, ועכשיו יכול להיות שבאמת לא חטא בפועל. ולכן א"א לענוש מי שחטא והקריב קרבן אשם תלוי בחוץ, שהרי יכול להיות שבאמת אינו הקדש. ומה שפסק הרמב"ם "ירעה עד שיסתאב" הוא בנוגע לדיני גברא, שהרי הוא בא לידי מצב של ספק חטא וזה מראה על מצב נפשו כנ"ל, ואפי' אם נודע לו שלא חטא, צריך לנהוג בבהמה דיני קרבן. ועצם הדבר הזה שבא לידי מצב של ספק עבירה הוא הוכחה שיש לו איזה שייכות להאיסור. עיי"ש בארוכה. </w:t>
      </w:r>
    </w:p>
    <w:p w:rsidR="003A407F" w:rsidRDefault="003A407F" w:rsidP="00F146A6">
      <w:pPr>
        <w:pStyle w:val="a3"/>
      </w:pPr>
      <w:r>
        <w:rPr>
          <w:b/>
          <w:rtl/>
        </w:rPr>
        <w:t>ד.</w:t>
      </w:r>
      <w:r>
        <w:rPr>
          <w:rtl/>
        </w:rPr>
        <w:t xml:space="preserve"> וע"פ זה לכאורה יש לבאר גם את שיטת ר"מ בשתי המחלוקות, שסובר שדיני גברא ודיני שמיא אינם שני ענינים, אלא שכל הבאת קרבן אשם הוא משום ספק חטא, ולכן בשעת "לא נודע" ו"ספיקו" יש דיני קרבן אשם על הבהמה לכל הדברים. ולכן חייב אם שחטו בחוץ, וגם יש עליו כל החומרות של איסור שוגג בנוגע למצב נפשו כמבואר לעיל באריכות. אבל אם נודע לו שלא חטא, הרי זה מגלה למפרע שלא הי' צורך בקרבן. וכמ"ש בגמ'</w:t>
      </w:r>
      <w:r>
        <w:rPr>
          <w:vertAlign w:val="superscript"/>
        </w:rPr>
        <w:footnoteReference w:id="116"/>
      </w:r>
      <w:r>
        <w:rPr>
          <w:rtl/>
        </w:rPr>
        <w:t xml:space="preserve"> "ר"מ סבר כיון דלא צריך לי' לא מקדיש לי'" היינו, שלאחרי שנתגלה בבירור אם חטא או לא, זה מראה עליו שלא הי' צריך לו מלכתחילה, ולכן התבטלה למפרע קדושת הקרבן מפני שלכתחילה לא הפרישו אלא במצב שאינו יודע אם חטא. ובלחם משנה</w:t>
      </w:r>
      <w:r>
        <w:rPr>
          <w:vertAlign w:val="superscript"/>
        </w:rPr>
        <w:footnoteReference w:id="117"/>
      </w:r>
      <w:r>
        <w:rPr>
          <w:rtl/>
        </w:rPr>
        <w:t xml:space="preserve"> כתוב "דלר"מ יצא וירעה דזה לא הפרישו אלא מספק וכיון דנתברר לו דאין כאן חטא הוי חולין". ולכן בהדין של שחוטי חוץ אמר ר"מ שחייב, </w:t>
      </w:r>
      <w:r>
        <w:rPr>
          <w:rtl/>
        </w:rPr>
        <w:lastRenderedPageBreak/>
        <w:t xml:space="preserve">מפני שעדיין "לא נודע לו". ובהדין של "נודע לו" פסק דהוה כחולין גמורין מפני שכבר בטל הספק וגם חומרת ספק עבירה שבאה עמו. ולכן גם לגבי האדם - אם חייב לנהוג כלפי הקרבן דיני קדושה - וגם לגבי "כלפי שמיא גליא" - אם השוחט בחוץ חייב - אין שום קדושה מפני שנתגלה למפרע שאינו קרבן. </w:t>
      </w:r>
    </w:p>
    <w:p w:rsidR="003A407F" w:rsidRDefault="003A407F" w:rsidP="00F146A6">
      <w:pPr>
        <w:pStyle w:val="a3"/>
      </w:pPr>
      <w:r>
        <w:rPr>
          <w:rtl/>
        </w:rPr>
        <w:t>והנה, בהמשך הגמ'</w:t>
      </w:r>
      <w:r>
        <w:rPr>
          <w:vertAlign w:val="superscript"/>
        </w:rPr>
        <w:footnoteReference w:id="118"/>
      </w:r>
      <w:r>
        <w:rPr>
          <w:rtl/>
        </w:rPr>
        <w:t xml:space="preserve"> איתא "תנא, בין שנודע לו שחטא ובין שנודע לו שלא חטא פליגי ר"מ ורבנן, בנודע לו שחטא להודיעך כחו דר"מ דאע"ג דידע דחטא כיון דבעידנא דאפרשי' לא ידע, תצא ותרעה בעדר. ובנודע לו שלא חטא להודיעך כחן דרבנן דאע"ג דלא חטא כיון דבעידנא דאפרשי' לא ידע, לבו נוקפו הוה הלכך גמר ומקדיש".</w:t>
      </w:r>
    </w:p>
    <w:p w:rsidR="003A407F" w:rsidRDefault="003A407F" w:rsidP="00F146A6">
      <w:pPr>
        <w:pStyle w:val="a3"/>
      </w:pPr>
      <w:r>
        <w:rPr>
          <w:rtl/>
        </w:rPr>
        <w:t>והנה יש מפרשים</w:t>
      </w:r>
      <w:r>
        <w:rPr>
          <w:vertAlign w:val="superscript"/>
        </w:rPr>
        <w:footnoteReference w:id="119"/>
      </w:r>
      <w:r>
        <w:rPr>
          <w:rtl/>
        </w:rPr>
        <w:t xml:space="preserve"> סברת הגמ' שבדעת ר"מ כשנודע לו שחטא נתברר שהי' צורך בהקרבן אשם "להגין עליו" וכו'</w:t>
      </w:r>
      <w:r>
        <w:rPr>
          <w:vertAlign w:val="superscript"/>
        </w:rPr>
        <w:footnoteReference w:id="120"/>
      </w:r>
      <w:r>
        <w:rPr>
          <w:rtl/>
        </w:rPr>
        <w:t xml:space="preserve"> עד שיביא את החטאת לאחרי שנודע לו, וקמ"ל שמפני שלא נודע לו בשעת הפרשה לא התכוין להקדישו רק אם יצטרך להקריבו, ולכן הוה חולין. ולדעת חכמים קמ"ל שבכל מקרה מקדישו מפני "שלבו נוקפו", ולכן אע"ג שנודע לו שלא חטא בפועל עדיין הקדש הוה, ואע"פ שאין שום צורך בהקרבן - אפי' בשביל הגנה וכו' עד שיביא חטאת - מפני שבפועל לא חטא, צריך לנהוג בו דיני קרבן.  </w:t>
      </w:r>
    </w:p>
    <w:p w:rsidR="003A407F" w:rsidRDefault="003A407F" w:rsidP="00F146A6">
      <w:pPr>
        <w:pStyle w:val="a3"/>
      </w:pPr>
      <w:r>
        <w:rPr>
          <w:rtl/>
        </w:rPr>
        <w:t xml:space="preserve">וע"פ ההסברה הנ"ל בשיחה אודות חומרת ספק עבירה יש לבאר גמ' זו באופן אחר: במקרה של "נודע לו שחטא" בתחילה חשב שהוא עשה עבירה, היינו בכל החומרות של ספק חטא, ולכן כשנודע לו שחטא נסתלק הענין החמור של ספק חטא. ובל' הגמ' "דאע"ג דידע דחטא" - היינו שסוף סוף עשה עבירה בפועל, וא"כ למה הקרבן אשם תלוי אינו הקדש? אלא - "כיון דבעידנא דאפרשי' לא ידע תצא ותרעה בעדר" - היינו כיון שבתחילה הפריש הבהמה על ספק עבירה היינו בכל החומרות שלו, ולבסוף נודע לו שאין לו כל החומרות הללו, אלא עבירה בפועל, היינו שלא נפגם מהותו אלא כוחותיו הגלויים כנ"ל, לכן "תצא ותרעה בעדר" והיינו כשיטת ר"מ שמצב נפשו וקרבנו תלויים זב"ז, ועכשיו נתגלה למפרע שאינו צריך לאשם תלוי אלא קרבן חטאת, ולכן הוה הקרבן כחולין גמורין וזהו "כחו דר"מ" שאע"פ שבפועל חטא, מ"מ הוה הבהמה חולין. </w:t>
      </w:r>
    </w:p>
    <w:p w:rsidR="003A407F" w:rsidRDefault="003A407F" w:rsidP="00F146A6">
      <w:pPr>
        <w:pStyle w:val="a3"/>
      </w:pPr>
      <w:r>
        <w:rPr>
          <w:rtl/>
        </w:rPr>
        <w:lastRenderedPageBreak/>
        <w:t>ובדעת רבנן יש לבאר הסברת הגמ' ע"פ המבואר לעיל מהשיחה, שבדיני גברא כיון שהפריש הקרבן חלים עליו דיני הקדש לגביו, לכן אע"פ שנודע לו בסוף שלא חטא הרי בהמה זו הקדש הוה. ועפ"ז יש לבאר סברת הגמ' "דאע"ג דלא חטא" - וא"כ למה לא הוה הקרבן חולין? - "כיון דבעידנא דאפרשי' לא ידע, לבו נוקפו הוה הלכך גמר ומקדיש" - היינו שלגבי דיני אדם כיון שהי' במצב של ספק עבירה ככל החומרות שבאות עמו, לכן "גמר ומקדיש", והוה הקדש אפי' לאחרי שנודע לו שלא חטא. וזהו "כחן דרבנן" שאע"פ שבפועל לא חטא מ"מ הקרבן הוה הקדש.</w:t>
      </w:r>
    </w:p>
    <w:p w:rsidR="003A407F" w:rsidRDefault="003A407F" w:rsidP="00F146A6">
      <w:pPr>
        <w:pStyle w:val="a3"/>
      </w:pPr>
      <w:r>
        <w:rPr>
          <w:rtl/>
        </w:rPr>
        <w:t>והנה לפי שני הביאורים, הפירוש של "להודיעך כחן דרבנן" הוא שאע"פ שנודע לו שלא חטא, וא"כ לכאורה נתגלתה שאין שום צורך בהקרבן - 1) אעפ"כ יש דיני קדושה עליו מפני שהקדיש אותו בדעת שיהי' הקדש, בכל המקרים שיהיו</w:t>
      </w:r>
      <w:r w:rsidR="00966B44">
        <w:rPr>
          <w:rFonts w:hint="cs"/>
          <w:rtl/>
        </w:rPr>
        <w:t>)</w:t>
      </w:r>
      <w:r>
        <w:rPr>
          <w:vertAlign w:val="superscript"/>
        </w:rPr>
        <w:footnoteReference w:id="121"/>
      </w:r>
      <w:r>
        <w:rPr>
          <w:rtl/>
        </w:rPr>
        <w:t>. 2) אעפ"כ לגבי דיני אדם הוה הקדש, מפני שהקדיש אותו כשהיתה נפשו נמוכה, והוה הקרבן הקדש כשהי' בתחילה.</w:t>
      </w:r>
    </w:p>
    <w:p w:rsidR="003A407F" w:rsidRDefault="003A407F" w:rsidP="00F146A6">
      <w:pPr>
        <w:pStyle w:val="a3"/>
      </w:pPr>
      <w:r>
        <w:rPr>
          <w:rtl/>
        </w:rPr>
        <w:t xml:space="preserve">והפירוש של "להודיעך כחו דר"מ" הוא שאע"פ שנודע לו שחטא וא"כ למה הוה הקרבן חולין - 1) מ"מ כיון שלא נתכוין להקדישו אא"כ יצטרך להקריבו הוה חולין. 2) מ"מ עכשיו (במידה מסוימת) מצב נפשו אינו במצב גרוע כמו שהי' בתחילה מפני שאינו במצב של ספק, ולכן תצא ותרעה.   </w:t>
      </w:r>
    </w:p>
    <w:p w:rsidR="003A407F" w:rsidRDefault="003A407F" w:rsidP="00F146A6">
      <w:pPr>
        <w:pStyle w:val="a3"/>
      </w:pPr>
      <w:r>
        <w:rPr>
          <w:b/>
          <w:rtl/>
        </w:rPr>
        <w:t>ה.</w:t>
      </w:r>
      <w:r>
        <w:rPr>
          <w:rtl/>
        </w:rPr>
        <w:t xml:space="preserve"> והנה בהמשך השיחה, באמצע ההסברה בדעת חכ' ע"פ כל הביאור אודות חומרת ספק עבירה כתוב בהערה 31: "ובזה יובן מה שבבא בן בוטא הי' מתנדב אשם תלוי בכל יום חוץ מאחר יוהכ"פ</w:t>
      </w:r>
      <w:r>
        <w:rPr>
          <w:vertAlign w:val="superscript"/>
        </w:rPr>
        <w:footnoteReference w:id="122"/>
      </w:r>
      <w:r>
        <w:rPr>
          <w:rtl/>
        </w:rPr>
        <w:t xml:space="preserve">, שלא חשש שמא חטא ח"ו בפועל כי אם, שחשש למצב עצם נפשו . . משא"כ לאחר יו"כ, שאז מאיר בחי' </w:t>
      </w:r>
      <w:r>
        <w:rPr>
          <w:b/>
          <w:rtl/>
        </w:rPr>
        <w:t xml:space="preserve">לפני </w:t>
      </w:r>
      <w:r>
        <w:rPr>
          <w:rtl/>
        </w:rPr>
        <w:t xml:space="preserve">ה', בחי' עצם דקדושה". עכ"ל. </w:t>
      </w:r>
    </w:p>
    <w:p w:rsidR="003A407F" w:rsidRDefault="003A407F" w:rsidP="00F146A6">
      <w:pPr>
        <w:pStyle w:val="a3"/>
      </w:pPr>
      <w:r>
        <w:rPr>
          <w:rtl/>
        </w:rPr>
        <w:t>ולכאורה יש לבאר זה ע"פ המבואר בלקו"ש חלק ד'</w:t>
      </w:r>
      <w:r>
        <w:rPr>
          <w:vertAlign w:val="superscript"/>
        </w:rPr>
        <w:footnoteReference w:id="123"/>
      </w:r>
      <w:r>
        <w:rPr>
          <w:rtl/>
        </w:rPr>
        <w:t xml:space="preserve"> שם מביא כ"ק אדמו"ר דברי הגמ' במס' שבועות</w:t>
      </w:r>
      <w:r>
        <w:rPr>
          <w:vertAlign w:val="superscript"/>
        </w:rPr>
        <w:footnoteReference w:id="124"/>
      </w:r>
      <w:r>
        <w:rPr>
          <w:rtl/>
        </w:rPr>
        <w:t xml:space="preserve"> "יוהכ"פ אין מכפר אלא על השבים, ואמר רבי בין עשה תשובה בין לא עשה תשובה יוהכ"פ מכפר". ומבאר שהפירוש בזה הוא, שגם לפי דעת רבנן "עיצומו של יום" מכפר. והיינו, שא"א להאדם בעבודת עצמו ע"י התשובה שלו להגיע למה שנפעל ע"י עצם היום, אלא שצריך תשובה כדי להגיע "לעיצומו של יום" שהוא למעלה מתשובה רגילה. משא"כ לדעת רבי אין צורך בשום פעולה ע"י האדם כדי להגיע לעיצומו של יום, אלא הוא בא בדרך ממילא. אבל הכל מודים ש"עיצומו </w:t>
      </w:r>
      <w:r>
        <w:rPr>
          <w:rtl/>
        </w:rPr>
        <w:lastRenderedPageBreak/>
        <w:t>של יום מכפר".</w:t>
      </w:r>
    </w:p>
    <w:p w:rsidR="003A407F" w:rsidRDefault="003A407F" w:rsidP="00F146A6">
      <w:pPr>
        <w:pStyle w:val="a3"/>
      </w:pPr>
      <w:r>
        <w:rPr>
          <w:rtl/>
        </w:rPr>
        <w:t>ומקשה שהפירוש ב'כפרה' הוא לא רק שלא מגיע עונש להאדם העושה עבירה, אלא שנעשית נשמתו נקי' מהעבירה שעשה, ועד לתכלית הכפרה שזדונות נעשו לו לזכיות. וא"כ, בשלמא בשעה שעושה תשובה, הרי ע"י חרטה על מה שעשה עוקר את התאוה של העבירה, ועי"ז נעשה נקי מהרע של העבירה (ועי"ז שהרע פעל עליו להיות אצלו צמאון גדול להקב"ה הם נחשבים לזכיות). אבל איך נעשה ע"י עיצומו של יום עקירת הרע, ונעשה נקי מהעבירה שעשה? בשלמא אם כל הענין של "עיצומו של יום" הי' למנוע העונש, אבל איך (וע"פ הנ"ל קושיא זו היא גם לרבנן ובפרט לדעת רבי) נעשה עי"ז כפרה לנפשו של החוטא?</w:t>
      </w:r>
    </w:p>
    <w:p w:rsidR="003A407F" w:rsidRDefault="003A407F" w:rsidP="00F146A6">
      <w:pPr>
        <w:pStyle w:val="a3"/>
      </w:pPr>
      <w:r>
        <w:rPr>
          <w:rtl/>
        </w:rPr>
        <w:t>ומתרץ, שיש בכללות ג' דרגות בההתקשרות של בנ"י עם הקב"ה:</w:t>
      </w:r>
    </w:p>
    <w:p w:rsidR="003A407F" w:rsidRDefault="003A407F" w:rsidP="00F146A6">
      <w:pPr>
        <w:pStyle w:val="a3"/>
      </w:pPr>
      <w:r>
        <w:rPr>
          <w:rtl/>
        </w:rPr>
        <w:t>1) הקשר של בנ"י ע"י קיום המצות, וקבלת עול מלכות שמים, שהוא מוכן לעשות ציווי הקב"ה, וענין זה נעשה ע"י עבודתו. ומצות הם רצונו של הקב"ה, ולכן הן מגיעות לרצונו כפי שבא בגילוי למטה. ובדרגא זו, הרי זה כאילו שבנ"י הם מציאות בפ"ע מהקב"ה ולכן צריכים לקיום המצות לקשר אתו.</w:t>
      </w:r>
    </w:p>
    <w:p w:rsidR="003A407F" w:rsidRDefault="003A407F" w:rsidP="00F146A6">
      <w:pPr>
        <w:pStyle w:val="a3"/>
      </w:pPr>
      <w:r>
        <w:rPr>
          <w:rtl/>
        </w:rPr>
        <w:t xml:space="preserve">2) עבודה שלמעלה מקיום המצות, ולכן אפי' אם עבר עבירה זה נוגע לו ועושה תשובה. ומפני שעבודת התשובה היא למעלה מהקשר שע"י קיום המצות, יש בכחה לעקור הפגם שהוא עשה ע"י עבירות. אבל מ"מ, דרגא זו ג"כ מוגבלת ויכולה לבוא עכ"פ בתנועה של תשובה. וכמו שבקיום המצות הקשר הוא כאילו ע"י ענין אחר כנ"ל, כמו"כ ע"י עבודת התשובה, שהרי כ"ז נוגע לקיום המצות </w:t>
      </w:r>
      <w:r>
        <w:rPr>
          <w:b/>
          <w:rtl/>
        </w:rPr>
        <w:t>שלו</w:t>
      </w:r>
      <w:r>
        <w:rPr>
          <w:rtl/>
        </w:rPr>
        <w:t xml:space="preserve"> ונעשה ע"י </w:t>
      </w:r>
      <w:r>
        <w:rPr>
          <w:b/>
          <w:rtl/>
        </w:rPr>
        <w:t>עבודתו</w:t>
      </w:r>
      <w:r>
        <w:rPr>
          <w:rtl/>
        </w:rPr>
        <w:t xml:space="preserve">. וגם כ"ז הוא בנוגע לעבודתו, חרטה על מה שעבר על רצונו ית' וקבלה טובה על להבא, וא"כ מובן שבדרגא זו הוא עדיין מציאות בפ"ע וצריך להתחבר אתו ית'.  </w:t>
      </w:r>
    </w:p>
    <w:p w:rsidR="003A407F" w:rsidRDefault="003A407F" w:rsidP="00F146A6">
      <w:pPr>
        <w:pStyle w:val="a3"/>
      </w:pPr>
      <w:r>
        <w:rPr>
          <w:rtl/>
        </w:rPr>
        <w:t xml:space="preserve">3) העצם של הנשמה שהוא חד עם עצמותו ית', ואין לה שום הגבלות אפי' של דרגא הב' שע"י עבודת התשובה. ודרגא זו אינה יכולה לבוא ע"י עבודה ופעולה שהרי כל הפעולות הן במדידה והגבלה, אלא זהו מצד נשמתו שהיא "חלק אלוקה ממעל ממש" ו"חבוקה ודבוקה בך יחידה לייחדך". וכשם שדרגא זו אינה יכולה להיות ע"י עבודה, כמו"כ ע"י העדר עבודה אין היא נפגמת או נחלשת. ומבאר, שהפירוש ב"עיצומו של יום מכפר" הוא שבא בגילוי מדריגה הג', שביוהכ"פ נתגלה עצם הנשמה של בנ"י ובמילא מתמלאים כל הפגמים. ומה שתשובה פועלת בדרגת הנשמה שצריכה תיקון, עושה עצם הנשמה של בנ"י בדרך ממילא ביוהכ"פ (והמחלוקת בין רבי ורבנן הוא רק אם צריך תשובה על מנת לגלות מדרגה זו או לא). ואין זו התקשרות ע"י  ענין אחר כמו בקיום המצות ובעבודת התשובה אלא התגלות העצם בלבד, ולכן אין חילוקים  בעבודה זו כמו שיש במצות ותשובה שתלוי על כאו"א לפי עבודתו וכו', משא"כ כאן שעבודה זו הוא מצד עצם הנפש, לכן כולם בשווה ממש. </w:t>
      </w:r>
    </w:p>
    <w:p w:rsidR="003A407F" w:rsidRDefault="003A407F" w:rsidP="00F146A6">
      <w:pPr>
        <w:pStyle w:val="a3"/>
      </w:pPr>
      <w:r>
        <w:rPr>
          <w:rtl/>
        </w:rPr>
        <w:lastRenderedPageBreak/>
        <w:t xml:space="preserve">ובאמצע הסברת מדריגה הג' מובא בהערה 12 "וב' בחינות אלו, תשובה ויו"כ הם בדוגמת החילוק שבין מענת התורה יביא אשם ויתכפר לו למענת הקב"ה יעשה תשובה כו' . . - דאף שגם מענת התורה יביא אשם - הו"ע התשובה, דאז דוקא מכפר הקרבן, מ"מ ע"י התשובה דבחי' זו נעשים הזדונות רק כשגגות (ואז מהני הקרבן שע"י הקרבן מתכפר שוגג זה . .) אבל אינו מתכפר לגמרי, (כי התשובה שע"י התורה שייכת לבחי' הרצון דתורה אלא שהיא "בעומק הרצון": "בבעל הרצון" . . דלהיות שהתורה היא בקו האמצעי מתגלה על ידה בחי' שלמעלה מהשתל', אבל מ"מ </w:t>
      </w:r>
      <w:r>
        <w:rPr>
          <w:b/>
          <w:rtl/>
        </w:rPr>
        <w:t>השייך</w:t>
      </w:r>
      <w:r>
        <w:rPr>
          <w:rtl/>
        </w:rPr>
        <w:t xml:space="preserve"> להשתל') ולכן יש בה מדידה כו', משא"כ התשובה דמענת הקב"ה שלמעלה מהתורה, היא מבחי' תענוג עצמי שלמעלה מהרצון </w:t>
      </w:r>
      <w:r>
        <w:rPr>
          <w:b/>
          <w:rtl/>
        </w:rPr>
        <w:t>לגמרי</w:t>
      </w:r>
      <w:r>
        <w:rPr>
          <w:rtl/>
        </w:rPr>
        <w:t xml:space="preserve">, דוגמת הכפרה דיו"כ, ולכן אין בה שום מדידות, ומכפרת גם על הזדונות, ועד שהזדונות נעשים כזכיות." עכ"ל. </w:t>
      </w:r>
    </w:p>
    <w:p w:rsidR="003A407F" w:rsidRDefault="003A407F" w:rsidP="00F146A6">
      <w:pPr>
        <w:pStyle w:val="a3"/>
      </w:pPr>
      <w:r>
        <w:rPr>
          <w:rtl/>
        </w:rPr>
        <w:t xml:space="preserve">ועל פי כל זה יש לבאר הסיפור של בבא בן בוטא, שהרי מבואר שע"י קרבן אשם נעשה כפרה באופן מדריגה הב' שע"י תשובה. וי"ל דכל זה שבבא בן בוטא הי' מקריב אשם תלוי כל ימות השנה הוא מפני שבכל השנה יש עבודה מוגבלת שבא מצד עבודת התשובה כנ"ל. אבל לאחרי יוה"כ שאז מאיר "עיצומו של יום מכפר", באים מזמן שנתגלה עצמותו ית' ובדרך ממילא עצם הנפש שאז נתכפרו בדרך ממילא אפי' זדונות מצד בחי' </w:t>
      </w:r>
      <w:r>
        <w:rPr>
          <w:b/>
          <w:rtl/>
        </w:rPr>
        <w:t xml:space="preserve">לפני </w:t>
      </w:r>
      <w:r>
        <w:rPr>
          <w:rtl/>
        </w:rPr>
        <w:t xml:space="preserve">ה', בחי' </w:t>
      </w:r>
      <w:r>
        <w:rPr>
          <w:b/>
          <w:rtl/>
        </w:rPr>
        <w:t>"עצם</w:t>
      </w:r>
      <w:r>
        <w:rPr>
          <w:rtl/>
        </w:rPr>
        <w:t xml:space="preserve"> דקדושה" שהוא </w:t>
      </w:r>
      <w:r>
        <w:rPr>
          <w:b/>
          <w:rtl/>
        </w:rPr>
        <w:t>"בתענוג עצמי שלמעלה מהרצון לגמרי"</w:t>
      </w:r>
      <w:r>
        <w:t>,</w:t>
      </w:r>
      <w:r>
        <w:rPr>
          <w:b/>
        </w:rPr>
        <w:t xml:space="preserve"> </w:t>
      </w:r>
      <w:r>
        <w:rPr>
          <w:rtl/>
        </w:rPr>
        <w:t>ולכן אז לא הי' צורך להקריב אשם תלוי כדי לפעול כפרה שהרי אז הי' הכפרה באופן נעלה יותר מתשובה וקרבנות וכו'. ובפשטות י"ל שע"י התגלות דרגה זו נתכפר אפי' פגם בשוגג שהוא (כמבואר לעיל) במדה מסוימת גרוע יותר מפגם שנעשה ע"י עבירות במזיד, ומתקן הנפש אם לא היתה כראוי, ומונע ירידה בנפש, ואפי' שייכותו לבוא לידי איסור שוגג. וכמשנת"ל שבשאר ימות השנה (בבא בן בוטא) "חשש למצב עצם נפשו" אבל מיד לאחרי יו"כ לא הי' אפי' חשש לזה, ולכן לא הקריב קרבן</w:t>
      </w:r>
      <w:r>
        <w:t>.</w:t>
      </w:r>
      <w:r w:rsidR="00430298">
        <w:rPr>
          <w:vertAlign w:val="superscript"/>
        </w:rPr>
        <w:footnoteReference w:id="125"/>
      </w:r>
    </w:p>
    <w:p w:rsidR="003A407F" w:rsidRDefault="003A407F" w:rsidP="00F146A6">
      <w:pPr>
        <w:pStyle w:val="a3"/>
      </w:pPr>
      <w:r>
        <w:rPr>
          <w:rtl/>
        </w:rPr>
        <w:t>ולהעיר מהשל"ה</w:t>
      </w:r>
      <w:r>
        <w:rPr>
          <w:vertAlign w:val="superscript"/>
        </w:rPr>
        <w:footnoteReference w:id="126"/>
      </w:r>
      <w:r>
        <w:rPr>
          <w:rtl/>
        </w:rPr>
        <w:t xml:space="preserve"> שמאריך שגם בד' הימים שבין יוהכ"פ לסוכות ישנו ענין התשובה, ומלשונו משמע, שיש בהם לא רק ענין של כפרה, אלא גם כפרה כמו יוהכ"פ ש"עיצומו של יום מכפר", והיינו, שעצם המציאות של ד' הימים </w:t>
      </w:r>
      <w:r w:rsidR="00430298">
        <w:rPr>
          <w:rtl/>
        </w:rPr>
        <w:t>כשלעצמה מכפרת בהמשך לכפרת יוהכ"</w:t>
      </w:r>
      <w:r>
        <w:rPr>
          <w:vertAlign w:val="superscript"/>
        </w:rPr>
        <w:footnoteReference w:id="127"/>
      </w:r>
      <w:r w:rsidR="00430298">
        <w:rPr>
          <w:rFonts w:hint="cs"/>
          <w:rtl/>
        </w:rPr>
        <w:t>.</w:t>
      </w:r>
      <w:r>
        <w:t xml:space="preserve"> </w:t>
      </w:r>
    </w:p>
    <w:p w:rsidR="003A407F" w:rsidRDefault="003A407F" w:rsidP="00F146A6">
      <w:pPr>
        <w:pStyle w:val="a3"/>
      </w:pPr>
      <w:r>
        <w:rPr>
          <w:b/>
          <w:rtl/>
        </w:rPr>
        <w:lastRenderedPageBreak/>
        <w:t>ו.</w:t>
      </w:r>
      <w:r>
        <w:rPr>
          <w:rtl/>
        </w:rPr>
        <w:t xml:space="preserve"> והנה בלקו"ש חלק כ"ז</w:t>
      </w:r>
      <w:r>
        <w:rPr>
          <w:vertAlign w:val="superscript"/>
        </w:rPr>
        <w:footnoteReference w:id="128"/>
      </w:r>
      <w:r>
        <w:rPr>
          <w:rtl/>
        </w:rPr>
        <w:t xml:space="preserve"> מבאר כ"ק אדמו"ר החילוק בין שעיר המשתלח וזה ש"עצמו של יום הכפורים מכפר". ונקודת הביאור: הענין של השעיר הוא "שמכפר על כל</w:t>
      </w:r>
      <w:r>
        <w:rPr>
          <w:b/>
          <w:rtl/>
        </w:rPr>
        <w:t xml:space="preserve"> עבירות </w:t>
      </w:r>
      <w:r>
        <w:rPr>
          <w:rtl/>
        </w:rPr>
        <w:t>שבתורה"</w:t>
      </w:r>
      <w:r>
        <w:rPr>
          <w:vertAlign w:val="superscript"/>
        </w:rPr>
        <w:footnoteReference w:id="129"/>
      </w:r>
      <w:r>
        <w:rPr>
          <w:rtl/>
        </w:rPr>
        <w:t xml:space="preserve"> היינו שמכפר על החפצא של העבירות, ולכן צריך לעשות תשובה רק על עבירות חמורות</w:t>
      </w:r>
      <w:r>
        <w:rPr>
          <w:vertAlign w:val="superscript"/>
        </w:rPr>
        <w:footnoteReference w:id="130"/>
      </w:r>
      <w:r>
        <w:rPr>
          <w:rtl/>
        </w:rPr>
        <w:t xml:space="preserve"> כדי שיהי' להשעיר כח לבטל החפצא דהעבירות, אבל בעבירות קלות יש מספיק כח בהקרבן אפי' בלי תשובה. ובעיטה אינו שייך בכלל בהשעיר, מפני שאינו תלוי על הפרט אלא כל' הרמב"ם "כפרה על כל ישראל", ואינו נוגע לעבודתו של כל אחד ואחד. </w:t>
      </w:r>
    </w:p>
    <w:p w:rsidR="003A407F" w:rsidRDefault="003A407F" w:rsidP="00F146A6">
      <w:pPr>
        <w:pStyle w:val="a3"/>
      </w:pPr>
      <w:r>
        <w:rPr>
          <w:rtl/>
        </w:rPr>
        <w:t>והענין של "עצמו של יום מכפר" הוא שמכפר רק על הגברא לטהר נפשו, ואינו מכפר על העבירות. ומדייק ממש"כ הרמב"ם</w:t>
      </w:r>
      <w:r>
        <w:rPr>
          <w:vertAlign w:val="superscript"/>
        </w:rPr>
        <w:footnoteReference w:id="131"/>
      </w:r>
      <w:r>
        <w:rPr>
          <w:rtl/>
        </w:rPr>
        <w:t xml:space="preserve"> "ועצמו של יום הכפורים מכפר </w:t>
      </w:r>
      <w:r>
        <w:rPr>
          <w:b/>
          <w:rtl/>
        </w:rPr>
        <w:t>לשבים</w:t>
      </w:r>
      <w:r>
        <w:rPr>
          <w:rtl/>
        </w:rPr>
        <w:t xml:space="preserve">", היינו שצ"ל תנאי כללי כדי לפעול עליו, ואינו מוכרח להיות ענין של תשובה דוקא. ומפני שענין זה נוגע </w:t>
      </w:r>
      <w:r>
        <w:rPr>
          <w:b/>
          <w:rtl/>
        </w:rPr>
        <w:t>אליו</w:t>
      </w:r>
      <w:r>
        <w:rPr>
          <w:rtl/>
        </w:rPr>
        <w:t xml:space="preserve"> בפרטיות יכול להיות בעיטה וכו' לאופן כפרה זו. ומפני שזה נוגע רק לנפש האדם, אינו נוגע כלל אם היו עבירות קלות או חמורות. וזהו כאילו נאמר ש"עצמו של יום" פועלת שהקב"ה מרים את האדם מהעבירות, וצ"ל מצד האדם רק התנאי כללי להיות במצב של שב.  </w:t>
      </w:r>
    </w:p>
    <w:p w:rsidR="003A407F" w:rsidRDefault="003A407F" w:rsidP="00F146A6">
      <w:pPr>
        <w:pStyle w:val="a3"/>
      </w:pPr>
      <w:r>
        <w:rPr>
          <w:rtl/>
        </w:rPr>
        <w:t>ועפ"ז מבאר</w:t>
      </w:r>
      <w:r>
        <w:rPr>
          <w:vertAlign w:val="superscript"/>
        </w:rPr>
        <w:footnoteReference w:id="132"/>
      </w:r>
      <w:r>
        <w:rPr>
          <w:rtl/>
        </w:rPr>
        <w:t xml:space="preserve"> מש"כ הרמב"ם</w:t>
      </w:r>
      <w:r>
        <w:rPr>
          <w:vertAlign w:val="superscript"/>
        </w:rPr>
        <w:footnoteReference w:id="133"/>
      </w:r>
      <w:r>
        <w:rPr>
          <w:rtl/>
        </w:rPr>
        <w:t xml:space="preserve"> וז"ל "חייבי חטאות ואשמות ודאים שעבר עליהן יום הכפורים - חיבין להביא לאחר יום הכפורים. וחייבי אשמות תלויין פטורין, שנאמר "מכל חטאותיכם לפני ה' תטהרו" כך למדו מפי השמועה שכל חטא שאין מכיר בו אלא ה' נתכפר לו. לפיכך, מי שבא על ידו ספק עבירה ביום הכפורים אפי' עם חשיכה - פטור מאשם תלוי, שכל היום מכפר. נמצאת למד, שאין מביאין על "לא הודע" של יום הכפורים אשם תלוי, אלא אם כן לא כפר לו יום הכפורים, כמו שיתבאר".</w:t>
      </w:r>
    </w:p>
    <w:p w:rsidR="003A407F" w:rsidRDefault="003A407F" w:rsidP="00F146A6">
      <w:pPr>
        <w:pStyle w:val="a3"/>
      </w:pPr>
      <w:r>
        <w:rPr>
          <w:rtl/>
        </w:rPr>
        <w:t>ובהל' שלאחרי זה</w:t>
      </w:r>
      <w:r>
        <w:rPr>
          <w:vertAlign w:val="superscript"/>
        </w:rPr>
        <w:footnoteReference w:id="134"/>
      </w:r>
      <w:r>
        <w:rPr>
          <w:rtl/>
        </w:rPr>
        <w:t xml:space="preserve"> ממשיך: "אין יום הכפורים ולא החטאת ולא האשם מכפרין אלא על השבים המאמנים בכפרתן, אבל המבעט בהם - אינם מכפרין בו. כיצד? הי' מבעט והביא חטאתו או אשמו והוא אומר או מחשב בלבו שאין אלו מכפרין, אע"פ שקרבו כמצותן - לא נתכפר לו, וכשיחזר בתשובה מבעיטתו צריך להביא חטאתו ואשמו. וכן המבעט ביום הכפורים - אין יום הכפורים מכפר עליו. לפיכך אם נתחייב </w:t>
      </w:r>
      <w:r>
        <w:rPr>
          <w:rtl/>
        </w:rPr>
        <w:lastRenderedPageBreak/>
        <w:t>באשם תלוי ועבר עליו יום הכפורים והוא מבעט בו - ה"ז לא נתכפר לו. וכשיחזור בתשובה אחר יום הכפורים, חייב להביא אשם תלוי שהי' חייב בו". עכ"ל.</w:t>
      </w:r>
    </w:p>
    <w:p w:rsidR="003A407F" w:rsidRDefault="003A407F" w:rsidP="00F146A6">
      <w:pPr>
        <w:pStyle w:val="a3"/>
      </w:pPr>
      <w:r>
        <w:rPr>
          <w:rtl/>
        </w:rPr>
        <w:t xml:space="preserve">ומבאר בהשיחה שזה שמביא הרמב"ם אודות "עצמו של יום" אע"פ שמדבר אודות קרבנות, והו"ל להביא אודות השעיר המשתלח, הוא מפני שבהשעיר אין שייך בעיטה (שהוא מכפר על "כל עונות בני ישראל", ומצב הפרטי של היהודי אינו נוגע, משא"כ "עצמו של יום" נוגע </w:t>
      </w:r>
      <w:r>
        <w:rPr>
          <w:b/>
          <w:rtl/>
        </w:rPr>
        <w:t xml:space="preserve">אליו </w:t>
      </w:r>
      <w:r>
        <w:rPr>
          <w:rtl/>
        </w:rPr>
        <w:t>דוקא), ושייך בעיטה רק בעצמו של יום, וע"י בעיטה בעצמו של יום שייך בעיטה ג"כ בהשעיר.</w:t>
      </w:r>
    </w:p>
    <w:p w:rsidR="003A407F" w:rsidRDefault="003A407F" w:rsidP="00F146A6">
      <w:pPr>
        <w:pStyle w:val="a3"/>
      </w:pPr>
      <w:r>
        <w:rPr>
          <w:rtl/>
        </w:rPr>
        <w:t xml:space="preserve">ומביא בהערה *41 "ובאו"א י"ל ש"מבעט" אינו יכול לבטל כפרת השעיר כלל, כ"א רק כפרת היום בלבד, והנפק"מ של דין מבעט בזמן הבית הוא רק לענין יוה"כ על חייבי אשמות תלויין (וכסיום ההלכה "וכן המבעט ביום הכפורים כו' </w:t>
      </w:r>
      <w:r>
        <w:rPr>
          <w:b/>
          <w:rtl/>
        </w:rPr>
        <w:t>לפיכך</w:t>
      </w:r>
      <w:r>
        <w:rPr>
          <w:rtl/>
        </w:rPr>
        <w:t xml:space="preserve"> אם נתחייב באשם תלוי כו') - שכפרה זו היא (לא מצד השעיר אלא) מצד </w:t>
      </w:r>
      <w:r>
        <w:rPr>
          <w:b/>
          <w:rtl/>
        </w:rPr>
        <w:t>היום</w:t>
      </w:r>
      <w:r>
        <w:rPr>
          <w:rtl/>
        </w:rPr>
        <w:t xml:space="preserve">, כדיוק לשון הרמב"ם בהלכה שלפנ"ז (בנוגע לכפרה זו) "שכל </w:t>
      </w:r>
      <w:r>
        <w:rPr>
          <w:b/>
          <w:rtl/>
        </w:rPr>
        <w:t>היום</w:t>
      </w:r>
      <w:r>
        <w:rPr>
          <w:rtl/>
        </w:rPr>
        <w:t xml:space="preserve"> מכפר . . אם לא כפר לו </w:t>
      </w:r>
      <w:r>
        <w:rPr>
          <w:b/>
          <w:rtl/>
        </w:rPr>
        <w:t xml:space="preserve">יום </w:t>
      </w:r>
      <w:r>
        <w:rPr>
          <w:rtl/>
        </w:rPr>
        <w:t>הכפורים". ע"ש.</w:t>
      </w:r>
      <w:r>
        <w:rPr>
          <w:b/>
        </w:rPr>
        <w:t xml:space="preserve"> </w:t>
      </w:r>
      <w:r>
        <w:t xml:space="preserve"> </w:t>
      </w:r>
    </w:p>
    <w:p w:rsidR="003A407F" w:rsidRDefault="003A407F" w:rsidP="00F146A6">
      <w:pPr>
        <w:pStyle w:val="a3"/>
      </w:pPr>
      <w:r>
        <w:rPr>
          <w:rtl/>
        </w:rPr>
        <w:t>וע"פ הנ"ל יש לבאר: שהענין של קרבן אשם תלוי הוא שבא על ספק חטא, ואפשר להיות שאין חפצא כלל של חטא. עד כדי כך שלשיטת חכמים במס' כריתות</w:t>
      </w:r>
      <w:r>
        <w:rPr>
          <w:vertAlign w:val="superscript"/>
        </w:rPr>
        <w:footnoteReference w:id="135"/>
      </w:r>
      <w:r>
        <w:rPr>
          <w:rtl/>
        </w:rPr>
        <w:t xml:space="preserve">, מי ששחט אשם תלוי בחוץ פטור, וכמבואר לעיל הטעם על זה משום שכלפי שמיא גליא וכו', ויכול להיות שבאמת לא חטא. ולכן י"ל שעיקר הטעם של הבאת אשם תלוי הוא כדי לכפר על מצב הנפש של החוטא. וכמבואר לעיל, שמי שיש בידו ספק עבירה הוא במצב גרוע יותר ממי שידוע לו שעשה עבירה. ולכן ביום הכפורים שאז מתגלה בכאו"א עצם נשמתו והתקשרותו להקב"ה שאינו יכול לפגום במדרגה זו כמבואר לעיל, בדרך ממילא נתקן הפגם של הספק חטא, ולכן לאחר יוהכ"פ אינו צריך להביא על זה קרבן אשם תלוי. וכמו בהסיפור של בבא בן בוטא כנ"ל שלא הביא אשם תלוי למחרת יוהכ"פ, מפני שכבר נפעל התיקון ע"י ההתגלות של עצם נשמתו. ולכן י"ל שזהו הטעם שרק בקרבן אשם תלוי יש ענין כזה שתלוי אם עבר יוהכ"פ לאחרי שחטא. </w:t>
      </w:r>
    </w:p>
    <w:p w:rsidR="003A407F" w:rsidRDefault="003A407F" w:rsidP="00F146A6">
      <w:pPr>
        <w:pStyle w:val="a3"/>
      </w:pPr>
      <w:r>
        <w:rPr>
          <w:rtl/>
        </w:rPr>
        <w:t>ויש לקשר זה עם מה שמבואר לקמן בהשיחה</w:t>
      </w:r>
      <w:r>
        <w:rPr>
          <w:vertAlign w:val="superscript"/>
        </w:rPr>
        <w:footnoteReference w:id="136"/>
      </w:r>
      <w:r>
        <w:rPr>
          <w:rtl/>
        </w:rPr>
        <w:t xml:space="preserve"> החילוק ע"פ פנימיות הענינים</w:t>
      </w:r>
      <w:r>
        <w:rPr>
          <w:vertAlign w:val="superscript"/>
        </w:rPr>
        <w:footnoteReference w:id="137"/>
      </w:r>
      <w:r>
        <w:rPr>
          <w:rtl/>
        </w:rPr>
        <w:t xml:space="preserve"> בין כפרת שעיר המשתלח, וכפרת עיצומו של יום, שבכל עבירה יש ב' ענינים א) רע בעולם. ב) פגם בנפש. וע"י השעיר נתבטל הרע ובדרך ממילא הפגם בנפשו. אבל ע"י עיצומו של יום נתגלה עצם נפשו, ובדרגא זו בנ"י מיוחדים ממש עם עצמותו ית', וענין זה הוא למעלה מכל מדידות והגבלות אפי' מעבודת התשובה. ובענין זה עבירות </w:t>
      </w:r>
      <w:r>
        <w:rPr>
          <w:rtl/>
        </w:rPr>
        <w:lastRenderedPageBreak/>
        <w:t xml:space="preserve">אינן יכולות לפעול שום חלישות, ובהתגלות מדרגה זו, בדרך ממילא מתבטלים הפגמים. וזהו כנ"ל שאינו צריך להביא אשם תלוי אם עבר עליו יוהכ"פ, מפני שפגם נפשו שנעשה ע"י שעבר איסור שוגג, כבר נתקן בדרך ממילא ע"י התגלות עצם נפשו.    </w:t>
      </w:r>
    </w:p>
    <w:p w:rsidR="003A407F" w:rsidRDefault="003A407F" w:rsidP="00F146A6">
      <w:pPr>
        <w:pStyle w:val="a3"/>
      </w:pPr>
      <w:r>
        <w:rPr>
          <w:b/>
          <w:rtl/>
        </w:rPr>
        <w:t>ז.</w:t>
      </w:r>
      <w:r>
        <w:rPr>
          <w:rtl/>
        </w:rPr>
        <w:t xml:space="preserve"> וע"פ כל הנ"ל יש לבאר הגמ' במכות אודות בקשת רחמים של הכה"ג בעבור שלא יהי' מישהו שירצח בשוגג, שהלא זה לנגד הבחירה של הרוצח? </w:t>
      </w:r>
    </w:p>
    <w:p w:rsidR="003A407F" w:rsidRDefault="003A407F" w:rsidP="00F146A6">
      <w:pPr>
        <w:pStyle w:val="a3"/>
      </w:pPr>
      <w:r>
        <w:rPr>
          <w:rtl/>
        </w:rPr>
        <w:t>ובהקדים: בלקו"ש חלק ד' הנ"ל</w:t>
      </w:r>
      <w:r>
        <w:rPr>
          <w:vertAlign w:val="superscript"/>
        </w:rPr>
        <w:footnoteReference w:id="138"/>
      </w:r>
      <w:r>
        <w:rPr>
          <w:rtl/>
        </w:rPr>
        <w:t xml:space="preserve"> מבאר כ"ק אדמו"ר שהענין של "עיצומו של יום מכפר" מצינו בעבודת כה"ג ביוהכ"פ, שמעיקרי עבודת כה"ג ביום זה הי' הכניסה לקה"ק, שלא הי' שם אפי' חיות הקודש ומלאכים היותר נעלים. וע"י עבודת הכה"ג שהוא השליח של כל בנ"י נתגלה היחוד של בנ"י עם הקב"ה - "ישראל ומלכא בלחודוהי". ומבאר שם שיתירה מזו, שהרי כניסת הכה"ג היתה ג"כ בזמן בית שני שלא הי' אז הארון, וזה מורה שהכניסה שלו היתה במקום נעלה יותר אפי' מאותיות החקיקה שבלוחות. והתשובה שנפעל עי"ז הוא למעלה מתשובה רגילה שהיא באופן של גילוי ולכן מועילה לכפר עונות, אלא שעי"ז נתגלה עצם הנשמה ובדרך ממילא נתכפר לו על כל העבירות.</w:t>
      </w:r>
    </w:p>
    <w:p w:rsidR="003A407F" w:rsidRDefault="003A407F" w:rsidP="00F146A6">
      <w:pPr>
        <w:pStyle w:val="a3"/>
      </w:pPr>
      <w:r>
        <w:rPr>
          <w:rtl/>
        </w:rPr>
        <w:t>ולהעיר ממה שכתב המהרש"א</w:t>
      </w:r>
      <w:r>
        <w:rPr>
          <w:vertAlign w:val="superscript"/>
        </w:rPr>
        <w:footnoteReference w:id="139"/>
      </w:r>
      <w:r>
        <w:rPr>
          <w:rtl/>
        </w:rPr>
        <w:t xml:space="preserve"> בד"ה "שהי' להן לבקש": "ודבר זה תלוי יותר בכ"ג </w:t>
      </w:r>
      <w:r>
        <w:rPr>
          <w:b/>
          <w:rtl/>
        </w:rPr>
        <w:t xml:space="preserve">שכך הי' תפלתו ביוה"כ </w:t>
      </w:r>
      <w:r>
        <w:rPr>
          <w:rtl/>
        </w:rPr>
        <w:t>על כפרת עון שתבטל הגזירה". עכ"ד.</w:t>
      </w:r>
    </w:p>
    <w:p w:rsidR="003A407F" w:rsidRDefault="003A407F" w:rsidP="00F146A6">
      <w:pPr>
        <w:pStyle w:val="a3"/>
      </w:pPr>
      <w:r>
        <w:rPr>
          <w:rtl/>
        </w:rPr>
        <w:t>וגם מתרגום יונתן בן עוזיאל</w:t>
      </w:r>
      <w:r>
        <w:rPr>
          <w:vertAlign w:val="superscript"/>
        </w:rPr>
        <w:footnoteReference w:id="140"/>
      </w:r>
      <w:r>
        <w:rPr>
          <w:rtl/>
        </w:rPr>
        <w:t xml:space="preserve"> משמע כן, שתרגם הפסוק "וישב בה עד מות הכהן הגדול אשר משח אתו בשמן הקודש": "ויתיב בה עד זמן דימות כהנא רבא דרבי יתי' סגיא במשח רבותא ומטול </w:t>
      </w:r>
      <w:r>
        <w:rPr>
          <w:b/>
          <w:rtl/>
        </w:rPr>
        <w:t>דלא צלי ביומא דכפורי</w:t>
      </w:r>
      <w:r>
        <w:t xml:space="preserve"> </w:t>
      </w:r>
      <w:r>
        <w:rPr>
          <w:b/>
          <w:rtl/>
        </w:rPr>
        <w:t xml:space="preserve">בקודש קודשיא </w:t>
      </w:r>
      <w:r>
        <w:rPr>
          <w:rtl/>
        </w:rPr>
        <w:t xml:space="preserve">על תלת עבירן קשין דלא יתקלון עמא בית ישראל . . </w:t>
      </w:r>
      <w:r>
        <w:rPr>
          <w:b/>
          <w:rtl/>
        </w:rPr>
        <w:t>ובשדיות אדם זכיא</w:t>
      </w:r>
      <w:r>
        <w:rPr>
          <w:rtl/>
        </w:rPr>
        <w:t>" (ולהעיר שרש"י כתב שם, בד"ה "עד מות הכה"ג": "ד"א לפי שהי' לו לכה"ג להתפלל שלא תארע תקלה זו לישראל בחייו" כמו בגמ' דידן).</w:t>
      </w:r>
    </w:p>
    <w:p w:rsidR="003A407F" w:rsidRDefault="003A407F" w:rsidP="00F146A6">
      <w:pPr>
        <w:pStyle w:val="a3"/>
      </w:pPr>
      <w:r>
        <w:rPr>
          <w:rtl/>
        </w:rPr>
        <w:t xml:space="preserve">והיינו שכל עבירה בשוגג בא מפני שדרגת הנפש של העובר לא היתה כדבעי (כנ"ל מלקו"ש חלק ג'), וזה שאדם יכול להרוג בשוגג מורה שדרגת נפשו לא היתה כדבעי גם לפני זה, עד שהי' באפשרותו לעבור עבירה בשוגג. ועבודת כה"ג ביוה"פ יכול לפעול כפרה, היינו לא רק העברת ומניעת העונש אלא גם נקיון גמור. וכמו במעשה של בבא בן בוטא שע"י מה שנפעל ביוהכ"פ לא חשש לעבירה בשוגג, היינו מפני שלאחרי יוהכ"פ לא הי' שום חשש לפגם בנפשו. </w:t>
      </w:r>
    </w:p>
    <w:p w:rsidR="003A407F" w:rsidRDefault="003A407F" w:rsidP="00F146A6">
      <w:pPr>
        <w:pStyle w:val="a3"/>
        <w:rPr>
          <w:sz w:val="28"/>
          <w:szCs w:val="28"/>
        </w:rPr>
      </w:pPr>
      <w:r>
        <w:rPr>
          <w:rtl/>
        </w:rPr>
        <w:t xml:space="preserve">ובמילא מתורצת הקושיא איך יכול הכה"ג לפעול על הבחירה חפשית של הרוצח, </w:t>
      </w:r>
      <w:r>
        <w:rPr>
          <w:rtl/>
        </w:rPr>
        <w:lastRenderedPageBreak/>
        <w:t>שהרי אין זו תפילה ובקשה שיעשה פעולות מיוחדות וכו' לנגד בחירתו, אלא עבודה שעל ידה נעשית עלי' של נשמת כאו"א (ומגלה עצם נפשם, שזהו למעלה מכל מדידות והגבלות כנ"ל), ועי"ז לא יוכל ולא יהי' שייך לבא לידי איסור שוגג. וי"ל אדרבה, שע"י עבודת הכה"ג לגלות עצם הנפש של כאו"א יש לכולם בחירה אמיתית, כמבואר בכ"מ שדוקא מצד העצם ויחידה שבנפש יכול להיות בחירה חפשית</w:t>
      </w:r>
      <w:r>
        <w:rPr>
          <w:vertAlign w:val="superscript"/>
        </w:rPr>
        <w:footnoteReference w:id="141"/>
      </w:r>
      <w:r>
        <w:rPr>
          <w:rtl/>
        </w:rPr>
        <w:t xml:space="preserve">. וי"ל שזה שאדם מבנ"י </w:t>
      </w:r>
      <w:r>
        <w:rPr>
          <w:b/>
          <w:rtl/>
        </w:rPr>
        <w:t>הרג</w:t>
      </w:r>
      <w:r>
        <w:rPr>
          <w:rtl/>
        </w:rPr>
        <w:t xml:space="preserve"> לאחרי עבודת כה"ג ביוה"כ מורה על חסרון גדול של עבודת כה"ג, ומפני חסרון זה בעבודתו בא זה לידי הריגה, ולכן שייך הכה"ג לחיוב מיתה (או שאם ההורגים יתפללו שימות אין זה לבטלה, או שאם ההרוג לא יתפלל עליו, ימות), שהרי הוא השליח של כל בנ"י לפעול "עיצומו של יום מכפר"</w:t>
      </w:r>
      <w:r>
        <w:t>.</w:t>
      </w:r>
      <w:r w:rsidR="00430298">
        <w:rPr>
          <w:vertAlign w:val="superscript"/>
        </w:rPr>
        <w:footnoteReference w:id="142"/>
      </w:r>
    </w:p>
    <w:p w:rsidR="003A407F" w:rsidRPr="000836F8" w:rsidRDefault="003A407F" w:rsidP="003A407F">
      <w:pPr>
        <w:tabs>
          <w:tab w:val="left" w:pos="2171"/>
          <w:tab w:val="center" w:pos="3096"/>
        </w:tabs>
        <w:bidi/>
        <w:spacing w:after="100" w:line="360" w:lineRule="auto"/>
        <w:ind w:firstLine="288"/>
        <w:jc w:val="center"/>
        <w:rPr>
          <w:rFonts w:ascii="Nymphette" w:eastAsia="Times New Roman" w:hAnsi="Nymphette" w:cs="Nymphette"/>
          <w:sz w:val="44"/>
          <w:szCs w:val="44"/>
        </w:rPr>
      </w:pPr>
      <w:r w:rsidRPr="000836F8">
        <w:rPr>
          <w:rFonts w:ascii="Nymphette" w:eastAsia="Times New Roman" w:hAnsi="Nymphette" w:cs="Nymphette"/>
          <w:sz w:val="44"/>
          <w:szCs w:val="44"/>
        </w:rPr>
        <w:t>g</w:t>
      </w:r>
    </w:p>
    <w:p w:rsidR="009011A6" w:rsidRDefault="009011A6" w:rsidP="009011A6">
      <w:pPr>
        <w:pStyle w:val="a0"/>
        <w:rPr>
          <w:rtl/>
        </w:rPr>
      </w:pPr>
      <w:bookmarkStart w:id="125" w:name="_Toc43963099"/>
      <w:r w:rsidRPr="0060438D">
        <w:rPr>
          <w:rFonts w:hint="cs"/>
          <w:rtl/>
        </w:rPr>
        <w:t>בני אדם הראשונים על אדמת אמריקא</w:t>
      </w:r>
      <w:r>
        <w:rPr>
          <w:rFonts w:hint="cs"/>
          <w:rtl/>
        </w:rPr>
        <w:t xml:space="preserve"> (גליון)</w:t>
      </w:r>
      <w:bookmarkEnd w:id="125"/>
    </w:p>
    <w:p w:rsidR="00900523" w:rsidRDefault="00900523" w:rsidP="00F146A6">
      <w:pPr>
        <w:pStyle w:val="a"/>
        <w:rPr>
          <w:shd w:val="clear" w:color="auto" w:fill="FFFFFF"/>
          <w:rtl/>
        </w:rPr>
      </w:pPr>
      <w:bookmarkStart w:id="126" w:name="_Toc43963100"/>
      <w:r>
        <w:rPr>
          <w:rFonts w:hint="cs"/>
          <w:shd w:val="clear" w:color="auto" w:fill="FFFFFF"/>
          <w:rtl/>
        </w:rPr>
        <w:t>הרב מנחם מענדל מישולבין</w:t>
      </w:r>
      <w:bookmarkEnd w:id="126"/>
    </w:p>
    <w:p w:rsidR="00900523" w:rsidRPr="00640279" w:rsidRDefault="00900523" w:rsidP="00900523">
      <w:pPr>
        <w:pStyle w:val="a1"/>
        <w:rPr>
          <w:rFonts w:ascii="Times New Roman" w:hAnsi="Times New Roman" w:cs="Times New Roman"/>
          <w:sz w:val="24"/>
          <w:szCs w:val="24"/>
        </w:rPr>
      </w:pPr>
      <w:r>
        <w:rPr>
          <w:rFonts w:hint="cs"/>
          <w:shd w:val="clear" w:color="auto" w:fill="FFFFFF"/>
          <w:rtl/>
        </w:rPr>
        <w:t>כולל שע"י בית חב"ד דגרעניטש</w:t>
      </w:r>
    </w:p>
    <w:p w:rsidR="009011A6" w:rsidRDefault="009011A6" w:rsidP="00F146A6">
      <w:pPr>
        <w:pStyle w:val="a3"/>
      </w:pPr>
      <w:r>
        <w:rPr>
          <w:rtl/>
        </w:rPr>
        <w:t>בגליון הקודם שאל הרב מ.מ. שבשיחת י"ב תמוז תשד"מ (התוועדויות תשד"מ ח"ד ע' 2190) מבואר, שיש תמיהות וקושיות על</w:t>
      </w:r>
      <w:r>
        <w:rPr>
          <w:rFonts w:ascii="Cambria" w:hAnsi="Cambria" w:cs="Cambria" w:hint="cs"/>
          <w:rtl/>
        </w:rPr>
        <w:t> </w:t>
      </w:r>
      <w:r>
        <w:rPr>
          <w:rtl/>
        </w:rPr>
        <w:t xml:space="preserve"> </w:t>
      </w:r>
      <w:r>
        <w:rPr>
          <w:rFonts w:hint="cs"/>
          <w:rtl/>
        </w:rPr>
        <w:t>מה</w:t>
      </w:r>
      <w:r>
        <w:rPr>
          <w:rtl/>
        </w:rPr>
        <w:t xml:space="preserve"> "</w:t>
      </w:r>
      <w:r>
        <w:rPr>
          <w:rFonts w:hint="cs"/>
          <w:rtl/>
        </w:rPr>
        <w:t>שבדרום</w:t>
      </w:r>
      <w:r>
        <w:rPr>
          <w:rtl/>
        </w:rPr>
        <w:t xml:space="preserve"> </w:t>
      </w:r>
      <w:r>
        <w:rPr>
          <w:rFonts w:hint="cs"/>
          <w:rtl/>
        </w:rPr>
        <w:t>אמריקה</w:t>
      </w:r>
      <w:r>
        <w:rPr>
          <w:rtl/>
        </w:rPr>
        <w:t xml:space="preserve"> </w:t>
      </w:r>
      <w:r>
        <w:rPr>
          <w:rFonts w:hint="cs"/>
          <w:rtl/>
        </w:rPr>
        <w:t>מצאו</w:t>
      </w:r>
      <w:r>
        <w:rPr>
          <w:rtl/>
        </w:rPr>
        <w:t xml:space="preserve"> </w:t>
      </w:r>
      <w:r>
        <w:rPr>
          <w:rFonts w:hint="cs"/>
          <w:rtl/>
        </w:rPr>
        <w:t>ציורים</w:t>
      </w:r>
      <w:r>
        <w:rPr>
          <w:rtl/>
        </w:rPr>
        <w:t xml:space="preserve"> </w:t>
      </w:r>
      <w:r>
        <w:rPr>
          <w:rFonts w:hint="cs"/>
          <w:rtl/>
        </w:rPr>
        <w:t>ואותיות</w:t>
      </w:r>
      <w:r>
        <w:rPr>
          <w:rtl/>
        </w:rPr>
        <w:t xml:space="preserve"> </w:t>
      </w:r>
      <w:r>
        <w:rPr>
          <w:rFonts w:hint="cs"/>
          <w:rtl/>
        </w:rPr>
        <w:t>שמקורם</w:t>
      </w:r>
      <w:r>
        <w:rPr>
          <w:rtl/>
        </w:rPr>
        <w:t xml:space="preserve"> </w:t>
      </w:r>
      <w:r>
        <w:rPr>
          <w:rFonts w:hint="cs"/>
          <w:rtl/>
        </w:rPr>
        <w:t>מהודו</w:t>
      </w:r>
      <w:r>
        <w:rPr>
          <w:rtl/>
        </w:rPr>
        <w:t xml:space="preserve"> </w:t>
      </w:r>
      <w:r>
        <w:rPr>
          <w:rFonts w:hint="cs"/>
          <w:rtl/>
        </w:rPr>
        <w:t>מדי</w:t>
      </w:r>
      <w:r>
        <w:rPr>
          <w:rtl/>
        </w:rPr>
        <w:t xml:space="preserve"> </w:t>
      </w:r>
      <w:r>
        <w:rPr>
          <w:rFonts w:hint="cs"/>
          <w:rtl/>
        </w:rPr>
        <w:t>ופרס</w:t>
      </w:r>
      <w:r>
        <w:rPr>
          <w:rtl/>
        </w:rPr>
        <w:t xml:space="preserve"> </w:t>
      </w:r>
      <w:r>
        <w:rPr>
          <w:rFonts w:hint="cs"/>
          <w:rtl/>
        </w:rPr>
        <w:t>וכיו</w:t>
      </w:r>
      <w:r>
        <w:rPr>
          <w:rtl/>
        </w:rPr>
        <w:t>"</w:t>
      </w:r>
      <w:r>
        <w:rPr>
          <w:rFonts w:hint="cs"/>
          <w:rtl/>
        </w:rPr>
        <w:t>ב</w:t>
      </w:r>
      <w:r>
        <w:rPr>
          <w:rtl/>
        </w:rPr>
        <w:t xml:space="preserve">, </w:t>
      </w:r>
      <w:r>
        <w:rPr>
          <w:rFonts w:hint="cs"/>
          <w:rtl/>
        </w:rPr>
        <w:t>ועד</w:t>
      </w:r>
      <w:r>
        <w:rPr>
          <w:rtl/>
        </w:rPr>
        <w:t xml:space="preserve"> </w:t>
      </w:r>
      <w:r>
        <w:rPr>
          <w:rFonts w:hint="cs"/>
          <w:rtl/>
        </w:rPr>
        <w:t>שמצאו</w:t>
      </w:r>
      <w:r>
        <w:rPr>
          <w:rtl/>
        </w:rPr>
        <w:t xml:space="preserve"> </w:t>
      </w:r>
      <w:r>
        <w:rPr>
          <w:rFonts w:hint="cs"/>
          <w:rtl/>
        </w:rPr>
        <w:t>אותיות</w:t>
      </w:r>
      <w:r>
        <w:rPr>
          <w:rtl/>
        </w:rPr>
        <w:t xml:space="preserve"> </w:t>
      </w:r>
      <w:r>
        <w:rPr>
          <w:rFonts w:hint="cs"/>
          <w:rtl/>
        </w:rPr>
        <w:t>שהם</w:t>
      </w:r>
      <w:r>
        <w:rPr>
          <w:rtl/>
        </w:rPr>
        <w:t xml:space="preserve"> </w:t>
      </w:r>
      <w:r>
        <w:rPr>
          <w:rFonts w:hint="cs"/>
          <w:rtl/>
        </w:rPr>
        <w:t>בדוגמת</w:t>
      </w:r>
      <w:r>
        <w:rPr>
          <w:rtl/>
        </w:rPr>
        <w:t xml:space="preserve"> </w:t>
      </w:r>
      <w:r>
        <w:rPr>
          <w:rFonts w:hint="cs"/>
          <w:rtl/>
        </w:rPr>
        <w:t>א</w:t>
      </w:r>
      <w:r>
        <w:rPr>
          <w:rtl/>
        </w:rPr>
        <w:t>"</w:t>
      </w:r>
      <w:r>
        <w:rPr>
          <w:rFonts w:hint="cs"/>
          <w:rtl/>
        </w:rPr>
        <w:t>ב</w:t>
      </w:r>
      <w:r>
        <w:rPr>
          <w:rtl/>
        </w:rPr>
        <w:t xml:space="preserve"> </w:t>
      </w:r>
      <w:r>
        <w:rPr>
          <w:rFonts w:hint="cs"/>
          <w:rtl/>
        </w:rPr>
        <w:t>בלשון</w:t>
      </w:r>
      <w:r>
        <w:rPr>
          <w:rtl/>
        </w:rPr>
        <w:t xml:space="preserve"> בקודש, ועד כדי כך, שאצל תושבי אמריקה שקדמו לקולומבוס מצאו כמה מנהגים שכל הסימנים מעידים שמקורם מדיני התורה".</w:t>
      </w:r>
    </w:p>
    <w:p w:rsidR="009011A6" w:rsidRDefault="009011A6" w:rsidP="00F146A6">
      <w:pPr>
        <w:pStyle w:val="a3"/>
        <w:rPr>
          <w:rtl/>
        </w:rPr>
      </w:pPr>
      <w:r>
        <w:rPr>
          <w:rtl/>
        </w:rPr>
        <w:t>ויש ש"מנסים לתרץ זאת – שעוד לפני קולמובוס היה גוי מגרינלאד שטעה בדרכו והגיע לאמריקה והוא שהביא עמו כל ענינים אלו".</w:t>
      </w:r>
    </w:p>
    <w:p w:rsidR="009011A6" w:rsidRDefault="009011A6" w:rsidP="00F146A6">
      <w:pPr>
        <w:pStyle w:val="a3"/>
        <w:rPr>
          <w:rtl/>
        </w:rPr>
      </w:pPr>
      <w:r>
        <w:rPr>
          <w:rtl/>
        </w:rPr>
        <w:t>והיא "סברא שאין לה כל שחר ואחיזה במציאות, לומר, שגוי שנסע ממקום למקום וטעה בדרכו, לא היתה לו דאגה אחרת אלא לקחת עמו אותיות התורה, מנהגי ישראל וכיו"ב..זהו "נס שבנסים" שצריכים להיות "פתי" להאמין בו".</w:t>
      </w:r>
    </w:p>
    <w:p w:rsidR="009011A6" w:rsidRDefault="009011A6" w:rsidP="00F146A6">
      <w:pPr>
        <w:pStyle w:val="a3"/>
        <w:rPr>
          <w:rtl/>
        </w:rPr>
      </w:pPr>
      <w:r>
        <w:rPr>
          <w:rtl/>
        </w:rPr>
        <w:t xml:space="preserve">"אמנם ע"פ האמור לעיל – מובן הדבר בפשטות, שכן בריאת אדם וחוה, בעלי חיים, וכל הצמחים למיניהם, היתה אמנם במקום מסויים, סמוך לנהר פרת..ומשם נפוצו על פני כל הארץ – בכל קצוי תבל, כך שעוד בזמנים הכי קדומים הגיעו כבר </w:t>
      </w:r>
      <w:r>
        <w:rPr>
          <w:rtl/>
        </w:rPr>
        <w:lastRenderedPageBreak/>
        <w:t>תרבויות ומנהגים שונים וכיו"ב – גם ליבשת אמריקה". (ולעיל שם איתא שהגיעו לכל מקום "בסירות וספינות וכיו"ב").</w:t>
      </w:r>
    </w:p>
    <w:p w:rsidR="009011A6" w:rsidRDefault="009011A6" w:rsidP="00F146A6">
      <w:pPr>
        <w:pStyle w:val="a3"/>
        <w:rPr>
          <w:rtl/>
        </w:rPr>
      </w:pPr>
      <w:r>
        <w:rPr>
          <w:rtl/>
        </w:rPr>
        <w:t>ושאל הנ"ל דלכאורה צריך הסבר מהו הקושי ומה התירוץ. דהנה לכאורה הקושי היסודי איך הגיעו לחצי כדור התחתון מנהגים וסמלים מחצי כדור העליון הוא משום שלפי הנחת המקשים לא היו בעולם הישן ספינות חזקות דיים ואמצעים לעבור באוקיינוס מרחק ענק זה שבין אירופה ואפריקה לאמריקה, ולכן המציאו סברא שבני האדם הראשונים שהגיעו עברו דרך היבשה בצד הצפוני, ששם המרחק בין היבשות הוא קטן יותר.</w:t>
      </w:r>
    </w:p>
    <w:p w:rsidR="009011A6" w:rsidRDefault="009011A6" w:rsidP="00F146A6">
      <w:pPr>
        <w:pStyle w:val="a3"/>
        <w:rPr>
          <w:rtl/>
        </w:rPr>
      </w:pPr>
      <w:r>
        <w:rPr>
          <w:rtl/>
        </w:rPr>
        <w:t>כמובן באם אפשר להסביר שהיו בעולם הישן ספינות כאלה ואמצעים לעבור מאירופה ואפריקה לאמריקה לא היו מגיעים לסברא כזו.</w:t>
      </w:r>
    </w:p>
    <w:p w:rsidR="009011A6" w:rsidRDefault="009011A6" w:rsidP="00F146A6">
      <w:pPr>
        <w:pStyle w:val="a3"/>
        <w:rPr>
          <w:rtl/>
        </w:rPr>
      </w:pPr>
      <w:r>
        <w:rPr>
          <w:rtl/>
        </w:rPr>
        <w:t>והנה לפי ההסבר שבשיחה הרי מהכתוב "ומשם נפוצו על פני כל הארץ" מוכח שכן היו בידם אמצעים כאלה לעבור לאמריקה. אך אם כן הרי עדיין עיקר ההסבר חסר מן הספר, כיצד היו בידם אמצעים אלה. וממה נפשך: אם יש בידינו הסבר אין צורך בהוכחה מפסוקים, ובאם עדיין לא נמצא הסבר לכך, הרי מה שכתוב בפסוקים יש ליישב בדוחק ש"כל הארץ" אינו כולל את חצי כדור התחתון. [ולהעיר שבימינו מסבירים שבני אדם הגיעו לחצי כדור התחתון כשהשטח בצפון היה גדול יותר].</w:t>
      </w:r>
      <w:r>
        <w:rPr>
          <w:rFonts w:ascii="Cambria" w:hAnsi="Cambria" w:cs="Cambria" w:hint="cs"/>
          <w:rtl/>
        </w:rPr>
        <w:t> </w:t>
      </w:r>
    </w:p>
    <w:p w:rsidR="009011A6" w:rsidRDefault="009011A6" w:rsidP="00F146A6">
      <w:pPr>
        <w:pStyle w:val="a3"/>
        <w:rPr>
          <w:rtl/>
        </w:rPr>
      </w:pPr>
      <w:r>
        <w:rPr>
          <w:rtl/>
        </w:rPr>
        <w:t>ונראה לומר:</w:t>
      </w:r>
    </w:p>
    <w:p w:rsidR="009011A6" w:rsidRDefault="009011A6" w:rsidP="00F146A6">
      <w:pPr>
        <w:pStyle w:val="a3"/>
        <w:rPr>
          <w:rtl/>
        </w:rPr>
      </w:pPr>
      <w:r>
        <w:rPr>
          <w:rtl/>
        </w:rPr>
        <w:t>א) הסברא שפעם לא היו להם ספינות די חזקות לעבור האוקיינוס בפשטות אינו עומד במבחן המציאות, ולהעיר שהיום יש כבר ארכיאולוגים ועוד שטוענים שבני אדם הראשונים הגיעו ליבשת אמריקא בספינות דרך חוף המערבי של היבשת.</w:t>
      </w:r>
    </w:p>
    <w:p w:rsidR="009011A6" w:rsidRDefault="009011A6" w:rsidP="00F146A6">
      <w:pPr>
        <w:pStyle w:val="a3"/>
        <w:rPr>
          <w:rtl/>
        </w:rPr>
      </w:pPr>
      <w:r>
        <w:rPr>
          <w:rtl/>
        </w:rPr>
        <w:t>אך הרבי כלל לא מזכיר הדיון ב"איך עברו האוקיינוס" דרך הים או היבשה בין אלאסקא וסיביר.</w:t>
      </w:r>
      <w:r>
        <w:rPr>
          <w:rFonts w:ascii="Cambria" w:hAnsi="Cambria" w:cs="Cambria" w:hint="cs"/>
          <w:rtl/>
        </w:rPr>
        <w:t> </w:t>
      </w:r>
    </w:p>
    <w:p w:rsidR="009011A6" w:rsidRDefault="009011A6" w:rsidP="00F146A6">
      <w:pPr>
        <w:pStyle w:val="a3"/>
        <w:rPr>
          <w:rtl/>
        </w:rPr>
      </w:pPr>
      <w:r>
        <w:rPr>
          <w:rtl/>
        </w:rPr>
        <w:t xml:space="preserve">ב) הבעי' בתיאורי' זה הוא שאומרים </w:t>
      </w:r>
      <w:r>
        <w:rPr>
          <w:b/>
          <w:bCs/>
          <w:rtl/>
        </w:rPr>
        <w:t xml:space="preserve">שבמקרה גוי אחד תעה בדרכו </w:t>
      </w:r>
      <w:r>
        <w:rPr>
          <w:rtl/>
        </w:rPr>
        <w:t>והביא מנהגי ישראל ואותיות הדומות לעבריות.</w:t>
      </w:r>
    </w:p>
    <w:p w:rsidR="009011A6" w:rsidRDefault="009011A6" w:rsidP="00F146A6">
      <w:pPr>
        <w:pStyle w:val="a3"/>
        <w:rPr>
          <w:rtl/>
        </w:rPr>
      </w:pPr>
      <w:r>
        <w:rPr>
          <w:rtl/>
        </w:rPr>
        <w:t>ועל זה הרבי משיב שהעולם לא התיישב על ידי מקרה נקרית של גוי שתעה בדרכו, אלא במחשבה תחלה מבורא העולם שתכנן שמנהר פרת וחדקל יתפזרו בכל העולם.</w:t>
      </w:r>
    </w:p>
    <w:p w:rsidR="009011A6" w:rsidRDefault="009011A6" w:rsidP="00F146A6">
      <w:pPr>
        <w:pStyle w:val="a3"/>
        <w:rPr>
          <w:rtl/>
        </w:rPr>
      </w:pPr>
      <w:r>
        <w:rPr>
          <w:rtl/>
        </w:rPr>
        <w:t xml:space="preserve">והרבי לא מפרש איך זה מסביר אותיות עבריות ומנהגי ישראל שמצאו ביבשת, אך אולי אפשר לומר שכמו שהגיעו המתיישבים הראשונים מאזור גן עדן, עד"ז הגיעו אחרים אחריהם אחרי זמן מתן תורה שהביאו אתם חמשה חומשי תורה או תרגומיה וכמפורש בסוטה (לה, ב. וראה לקו"ש חכ"ד ע' 7 הערה 65) שבאו סופרי האומות והעתיקו התורה מהאבנים בהר עיבל, הרי לא רחוק הוא שאלפיים שנה לפני קולומבוס </w:t>
      </w:r>
      <w:r>
        <w:rPr>
          <w:rtl/>
        </w:rPr>
        <w:lastRenderedPageBreak/>
        <w:t>כבר הגיע התורה לאמריקא.</w:t>
      </w:r>
    </w:p>
    <w:p w:rsidR="009011A6" w:rsidRDefault="009011A6" w:rsidP="00F146A6">
      <w:pPr>
        <w:pStyle w:val="a3"/>
        <w:rPr>
          <w:rtl/>
        </w:rPr>
      </w:pPr>
      <w:r>
        <w:rPr>
          <w:rtl/>
        </w:rPr>
        <w:t>ג) והרבי מוסיף שמבחינה מסויימת אותו התיישבות הי' משובח יותר מהתיישבותו של קולומבוס והבאים אחריו שבאו כאן במקרה על ידי שתעו בדרכם, שהיו אז פחות מלחמות וכו'.</w:t>
      </w:r>
    </w:p>
    <w:p w:rsidR="009011A6" w:rsidRDefault="009011A6" w:rsidP="00F146A6">
      <w:pPr>
        <w:pStyle w:val="a3"/>
        <w:rPr>
          <w:rtl/>
        </w:rPr>
      </w:pPr>
      <w:r>
        <w:rPr>
          <w:rtl/>
        </w:rPr>
        <w:t>ד) ועל פי המבואר בהשיחה משמע שגם הצומח והחי ביבשת אמריקא הגיע מאזור גן עדן, דהיינו נהרות פישון חדקל וכו'. ועד אז כנראה לא היה ביבשת שום צמח או חי. ואולי יש לומר שהטעם שיש צמחים וחיות באמריקא שלא נשאר דוגמתם בשאר היבשות הוא מפני שלא נבראו באזור גן עדן לכתחילה אלא כדי שיפוצו משם ליבשת אמריקא, ואחרי שעברו לשם, נכחדו מאזור גן עדן על ידי סיבות מסיבות שונות.</w:t>
      </w:r>
    </w:p>
    <w:p w:rsidR="00364372" w:rsidRPr="009011A6" w:rsidRDefault="009011A6" w:rsidP="00F146A6">
      <w:pPr>
        <w:pStyle w:val="a3"/>
        <w:rPr>
          <w:rFonts w:ascii="Times New Roman" w:eastAsia="Times New Roman" w:hAnsi="Times New Roman" w:cs="David"/>
          <w:sz w:val="26"/>
          <w:szCs w:val="26"/>
          <w:lang w:val="en-US"/>
        </w:rPr>
      </w:pPr>
      <w:r>
        <w:rPr>
          <w:rtl/>
        </w:rPr>
        <w:t>ה) להעיר מזה שהרבי עומד על זה שהתיישבות אמריקא הגיע מאזור גן עדן, לכאורה משמע מזה שדעתו שהמבול לא הגיע לאמריקא אף שכבר נתיישבה אז. ואולי יש להסביר עפ"ז התופעה הנ"ל שיש חיות וצמחים באמריקא שלא נמצא דוגמתו בשאר העולם. כי נכחד משם בזמן המבול ורק האמריקא נשאר. וראה לקו"ש ח"י ע' 30 בענין צומח איזה והאם שרדו מבול.</w:t>
      </w:r>
    </w:p>
    <w:p w:rsidR="009011A6" w:rsidRPr="000836F8" w:rsidRDefault="009011A6" w:rsidP="009011A6">
      <w:pPr>
        <w:tabs>
          <w:tab w:val="left" w:pos="2171"/>
          <w:tab w:val="center" w:pos="3096"/>
        </w:tabs>
        <w:bidi/>
        <w:spacing w:after="100" w:line="360" w:lineRule="auto"/>
        <w:ind w:firstLine="288"/>
        <w:jc w:val="center"/>
        <w:rPr>
          <w:rFonts w:ascii="Nymphette" w:eastAsia="Times New Roman" w:hAnsi="Nymphette" w:cs="Nymphette"/>
          <w:sz w:val="44"/>
          <w:szCs w:val="44"/>
        </w:rPr>
      </w:pPr>
      <w:r w:rsidRPr="000836F8">
        <w:rPr>
          <w:rFonts w:ascii="Nymphette" w:eastAsia="Times New Roman" w:hAnsi="Nymphette" w:cs="Nymphette"/>
          <w:sz w:val="44"/>
          <w:szCs w:val="44"/>
        </w:rPr>
        <w:t>g</w:t>
      </w:r>
    </w:p>
    <w:p w:rsidR="000836F8" w:rsidRDefault="000836F8" w:rsidP="000836F8">
      <w:pPr>
        <w:pStyle w:val="12"/>
        <w:rPr>
          <w:rtl/>
        </w:rPr>
      </w:pPr>
      <w:bookmarkStart w:id="127" w:name="_Toc43963101"/>
      <w:r w:rsidRPr="000836F8">
        <w:rPr>
          <w:rFonts w:hint="cs"/>
          <w:rtl/>
        </w:rPr>
        <w:t>נגלה</w:t>
      </w:r>
      <w:bookmarkEnd w:id="103"/>
      <w:bookmarkEnd w:id="127"/>
    </w:p>
    <w:p w:rsidR="00307807" w:rsidRPr="00307807" w:rsidRDefault="00307807" w:rsidP="00430298">
      <w:pPr>
        <w:pStyle w:val="a0"/>
        <w:rPr>
          <w:rtl/>
        </w:rPr>
      </w:pPr>
      <w:bookmarkStart w:id="128" w:name="_Toc43963102"/>
      <w:r w:rsidRPr="00307807">
        <w:rPr>
          <w:rFonts w:hint="cs"/>
          <w:rtl/>
        </w:rPr>
        <w:t>שלוחו של אדם כמותו בפירוש רש"י על התורה</w:t>
      </w:r>
      <w:bookmarkEnd w:id="128"/>
    </w:p>
    <w:p w:rsidR="00430298" w:rsidRDefault="00430298" w:rsidP="00F146A6">
      <w:pPr>
        <w:pStyle w:val="a"/>
        <w:rPr>
          <w:rtl/>
        </w:rPr>
      </w:pPr>
      <w:bookmarkStart w:id="129" w:name="_Toc43963103"/>
      <w:r>
        <w:rPr>
          <w:rFonts w:hint="cs"/>
          <w:rtl/>
        </w:rPr>
        <w:t xml:space="preserve">הרב אליהו נתן הכהן </w:t>
      </w:r>
      <w:r w:rsidRPr="00C60FEE">
        <w:rPr>
          <w:rFonts w:hint="cs"/>
          <w:rtl/>
        </w:rPr>
        <w:t>סילבערבערג</w:t>
      </w:r>
      <w:bookmarkEnd w:id="129"/>
    </w:p>
    <w:p w:rsidR="00430298" w:rsidRPr="00C60FEE" w:rsidRDefault="00430298" w:rsidP="00430298">
      <w:pPr>
        <w:pStyle w:val="a1"/>
        <w:rPr>
          <w:rtl/>
        </w:rPr>
      </w:pPr>
      <w:r>
        <w:rPr>
          <w:rFonts w:hint="cs"/>
          <w:rtl/>
        </w:rPr>
        <w:t>ראש מתיבתא ליובאוויטש דשיקאגא</w:t>
      </w:r>
    </w:p>
    <w:p w:rsidR="00307807" w:rsidRPr="00307807" w:rsidRDefault="00307807" w:rsidP="00F146A6">
      <w:pPr>
        <w:pStyle w:val="11"/>
        <w:bidi/>
        <w:rPr>
          <w:rtl/>
        </w:rPr>
      </w:pPr>
      <w:r w:rsidRPr="00307807">
        <w:rPr>
          <w:rFonts w:hint="cs"/>
          <w:rtl/>
        </w:rPr>
        <w:t>שלוחו של אדם כמותו בפירוש רש"י על התורה</w:t>
      </w:r>
    </w:p>
    <w:p w:rsidR="00307807" w:rsidRPr="00307807" w:rsidRDefault="00307807" w:rsidP="00F146A6">
      <w:pPr>
        <w:pStyle w:val="a3"/>
        <w:rPr>
          <w:rtl/>
        </w:rPr>
      </w:pPr>
      <w:r w:rsidRPr="00307807">
        <w:rPr>
          <w:rFonts w:hint="cs"/>
          <w:rtl/>
        </w:rPr>
        <w:t>א. בקשר לקרבן פסח כתוב בתורה פרשת בא (</w:t>
      </w:r>
      <w:r w:rsidRPr="00307807">
        <w:rPr>
          <w:rtl/>
        </w:rPr>
        <w:t>שמות יב</w:t>
      </w:r>
      <w:r w:rsidRPr="00307807">
        <w:rPr>
          <w:rFonts w:hint="cs"/>
          <w:rtl/>
        </w:rPr>
        <w:t>,</w:t>
      </w:r>
      <w:r w:rsidRPr="00307807">
        <w:rPr>
          <w:rtl/>
        </w:rPr>
        <w:t xml:space="preserve"> ו</w:t>
      </w:r>
      <w:r w:rsidRPr="00307807">
        <w:rPr>
          <w:rFonts w:hint="cs"/>
          <w:rtl/>
        </w:rPr>
        <w:t>) "</w:t>
      </w:r>
      <w:r w:rsidRPr="00307807">
        <w:rPr>
          <w:rFonts w:cs="Times New Roman" w:hint="cs"/>
          <w:rtl/>
        </w:rPr>
        <w:t>והיה לכם למשמרת עד ארבעה עשר יום לחודש הזה ושחטו אותו כל קהל עדת ישראל בין הערבים".</w:t>
      </w:r>
      <w:r w:rsidRPr="00307807">
        <w:rPr>
          <w:rFonts w:hint="cs"/>
          <w:rtl/>
        </w:rPr>
        <w:t xml:space="preserve"> ופירש רש"י: "</w:t>
      </w:r>
      <w:r w:rsidRPr="00307807">
        <w:rPr>
          <w:rtl/>
        </w:rPr>
        <w:t>ושחטו אתו וגו' - וכי כולן שוחטין אלא מכאן ששלוחו של אדם כמותו</w:t>
      </w:r>
      <w:r w:rsidRPr="00307807">
        <w:rPr>
          <w:rFonts w:hint="cs"/>
          <w:rtl/>
        </w:rPr>
        <w:t>".</w:t>
      </w:r>
    </w:p>
    <w:p w:rsidR="00307807" w:rsidRPr="00307807" w:rsidRDefault="00307807" w:rsidP="00F146A6">
      <w:pPr>
        <w:pStyle w:val="a3"/>
        <w:rPr>
          <w:rtl/>
        </w:rPr>
      </w:pPr>
      <w:r w:rsidRPr="00307807">
        <w:rPr>
          <w:rFonts w:hint="cs"/>
          <w:rtl/>
        </w:rPr>
        <w:t>וכתב ע"ז ה'</w:t>
      </w:r>
      <w:r w:rsidRPr="00307807">
        <w:rPr>
          <w:rtl/>
        </w:rPr>
        <w:t>מזרחי</w:t>
      </w:r>
      <w:r w:rsidRPr="00307807">
        <w:rPr>
          <w:rFonts w:hint="cs"/>
          <w:rtl/>
        </w:rPr>
        <w:t>'</w:t>
      </w:r>
      <w:r w:rsidRPr="00307807">
        <w:rPr>
          <w:rtl/>
        </w:rPr>
        <w:t xml:space="preserve"> (רא"ם) </w:t>
      </w:r>
      <w:r w:rsidRPr="00307807">
        <w:rPr>
          <w:rFonts w:hint="cs"/>
          <w:rtl/>
        </w:rPr>
        <w:t>"</w:t>
      </w:r>
      <w:r w:rsidRPr="00307807">
        <w:rPr>
          <w:rtl/>
        </w:rPr>
        <w:t>ואם תאמר אמאי לא יליף הא מקרא ד"ויקחו להם איש שה לבית אבות", שאחד לוקח לכל המשפחה</w:t>
      </w:r>
      <w:r w:rsidRPr="00307807">
        <w:rPr>
          <w:rFonts w:hint="cs"/>
          <w:rtl/>
        </w:rPr>
        <w:t xml:space="preserve">. </w:t>
      </w:r>
      <w:r w:rsidRPr="00307807">
        <w:rPr>
          <w:rtl/>
        </w:rPr>
        <w:t xml:space="preserve">ועוד היכי יליף מהכא לכל שליחות ששלוחו של אדם כמותו, שאני הכא דאית ליה לשליח שותפות בגויה, אבל שליח דעלמא לא. יש לומר דנפקא ליה מהני תרי קראי, דאם אין עניין להיכא דאית ליה </w:t>
      </w:r>
      <w:r w:rsidRPr="00307807">
        <w:rPr>
          <w:rtl/>
        </w:rPr>
        <w:lastRenderedPageBreak/>
        <w:t>שותפות בגויה, תנהו להיכא דלית ליה שותפות בגויה, כדאיתא בפרק האיש מקדש</w:t>
      </w:r>
      <w:r w:rsidRPr="00307807">
        <w:t>.</w:t>
      </w:r>
    </w:p>
    <w:p w:rsidR="00307807" w:rsidRPr="00307807" w:rsidRDefault="00307807" w:rsidP="00F146A6">
      <w:pPr>
        <w:pStyle w:val="a3"/>
        <w:rPr>
          <w:rtl/>
        </w:rPr>
      </w:pPr>
      <w:r w:rsidRPr="00307807">
        <w:rPr>
          <w:rFonts w:hint="cs"/>
          <w:rtl/>
        </w:rPr>
        <w:t xml:space="preserve">והנה באמת בסוגיין ר"פ האיש מקדש (מא, ב </w:t>
      </w:r>
      <w:r w:rsidRPr="00307807">
        <w:rPr>
          <w:rtl/>
        </w:rPr>
        <w:t>–</w:t>
      </w:r>
      <w:r w:rsidRPr="00307807">
        <w:rPr>
          <w:rFonts w:hint="cs"/>
          <w:rtl/>
        </w:rPr>
        <w:t xml:space="preserve"> מב, א) הרי רבי יהושע בן קרחה למד דששא"כ מפסוק זה של "ושחטו אותו" </w:t>
      </w:r>
      <w:r w:rsidRPr="00307807">
        <w:rPr>
          <w:rFonts w:hint="cs"/>
          <w:b/>
          <w:bCs/>
          <w:rtl/>
        </w:rPr>
        <w:t>לבד</w:t>
      </w:r>
      <w:r w:rsidRPr="00307807">
        <w:rPr>
          <w:rFonts w:hint="cs"/>
          <w:rtl/>
        </w:rPr>
        <w:t xml:space="preserve">, ורק ארבי יונתן דדרש מקרא זה "שכל ישראל כולן יוצאים בפסח אחד", הקשה הגמרא, דאם לומד מפסוק זה גם דין שליחות אפשר דזהו רק היכא דאית ליה שותפות בגוייהו, והוצרך הגמרא לומר דדריש את זה מקרא זה ביחד עם פסוק "ויקחו להם איש שה לבית אבות" עיי"ש.  </w:t>
      </w:r>
    </w:p>
    <w:p w:rsidR="00307807" w:rsidRPr="00307807" w:rsidRDefault="00307807" w:rsidP="00F146A6">
      <w:pPr>
        <w:pStyle w:val="a3"/>
        <w:rPr>
          <w:rtl/>
        </w:rPr>
      </w:pPr>
      <w:r w:rsidRPr="00307807">
        <w:rPr>
          <w:rFonts w:hint="cs"/>
          <w:rtl/>
        </w:rPr>
        <w:t>והתוספות (ד"ה ודילמא שאני התם) מקשים מדוע לא הקשה הגמרא על ריב"ק ג"כ דאולי לא נלמד דין שליחות אלא היכא דשליח הוא גם שותף? ומתרצים דרק לרבי יונתן דבפסוק זה מדובר שכל ישראל יוצאים י"ח בפסח זה נמצא דבהכרח הרי השוחט הוא גם שותף בקרבן, משא"כ לריב"ק דלא הוו כולם שותפים בפסח אחד (דסב"ל שצריכים כזית לכל אחד, וא"א שכל ישראל יביאו פסח אחד) "</w:t>
      </w:r>
      <w:r w:rsidRPr="00307807">
        <w:rPr>
          <w:rtl/>
        </w:rPr>
        <w:t xml:space="preserve">א"כ האי ושחטו אותו כל קהל עדת ישראל ר"ל דאחד שוחט פסחים הרבה </w:t>
      </w:r>
      <w:r w:rsidRPr="00307807">
        <w:rPr>
          <w:rFonts w:hint="cs"/>
          <w:rtl/>
        </w:rPr>
        <w:t>..</w:t>
      </w:r>
      <w:r w:rsidRPr="00307807">
        <w:rPr>
          <w:rtl/>
        </w:rPr>
        <w:t xml:space="preserve"> וא"כ מפיק שפיר דהיכא דליכא שותפות דמצי שחיט</w:t>
      </w:r>
      <w:r w:rsidRPr="00307807">
        <w:rPr>
          <w:rFonts w:hint="cs"/>
          <w:rtl/>
        </w:rPr>
        <w:t>".</w:t>
      </w:r>
    </w:p>
    <w:p w:rsidR="00307807" w:rsidRPr="00307807" w:rsidRDefault="00307807" w:rsidP="00F146A6">
      <w:pPr>
        <w:pStyle w:val="a3"/>
        <w:rPr>
          <w:rtl/>
        </w:rPr>
      </w:pPr>
      <w:r w:rsidRPr="00307807">
        <w:rPr>
          <w:rFonts w:hint="cs"/>
          <w:rtl/>
        </w:rPr>
        <w:t>ומדברי התוספות הללו מקשה המהרש"א על דברי המזרחי הנ"ל; הרי התוספות הסבירו איך שקושיית הגמרא מהא דשותפות הייתה רק אליבא דרבי יונתן, משא"כ לריב"ק באמת ליתא קושיא זו, וא"כ מה הקשה המזרחי על רש"י, הרי רש"י שיטת ריב"ק (דהוא שיטת ההלכה) אשר לפיו אין מקום לקושיא זו! וכתב המהרש"א ד"</w:t>
      </w:r>
      <w:r w:rsidRPr="00307807">
        <w:rPr>
          <w:rtl/>
        </w:rPr>
        <w:t>נעלם ממנו דברי התוספות דהכא</w:t>
      </w:r>
      <w:r w:rsidRPr="00307807">
        <w:rPr>
          <w:rFonts w:hint="cs"/>
          <w:rtl/>
        </w:rPr>
        <w:t>" (וכה"ק עליו בעוד מפרשי התורה, ראה בשפ"ח עה"פ ועוד).</w:t>
      </w:r>
    </w:p>
    <w:p w:rsidR="00307807" w:rsidRPr="00307807" w:rsidRDefault="00307807" w:rsidP="00F146A6">
      <w:pPr>
        <w:pStyle w:val="a3"/>
        <w:rPr>
          <w:rtl/>
        </w:rPr>
      </w:pPr>
      <w:r w:rsidRPr="00307807">
        <w:rPr>
          <w:rFonts w:hint="cs"/>
          <w:rtl/>
        </w:rPr>
        <w:t>ובאמת לכאורה אין זה קושיא רק מדברי ה</w:t>
      </w:r>
      <w:r w:rsidRPr="00307807">
        <w:rPr>
          <w:rFonts w:hint="cs"/>
          <w:b/>
          <w:bCs/>
          <w:rtl/>
        </w:rPr>
        <w:t>תוספות</w:t>
      </w:r>
      <w:r w:rsidRPr="00307807">
        <w:rPr>
          <w:rFonts w:hint="cs"/>
          <w:rtl/>
        </w:rPr>
        <w:t xml:space="preserve"> אלא מסוגיית ה</w:t>
      </w:r>
      <w:r w:rsidRPr="00307807">
        <w:rPr>
          <w:rFonts w:hint="cs"/>
          <w:b/>
          <w:bCs/>
          <w:rtl/>
        </w:rPr>
        <w:t>גמרא</w:t>
      </w:r>
      <w:r w:rsidRPr="00307807">
        <w:rPr>
          <w:rFonts w:hint="cs"/>
          <w:rtl/>
        </w:rPr>
        <w:t xml:space="preserve"> עצמה, דמפורש בה דהקושיא מהא דשותפות הוה רק לרבי יונתן ולא לריב"ק (ואילו התוספות רק נתנו </w:t>
      </w:r>
      <w:r w:rsidRPr="00307807">
        <w:rPr>
          <w:rFonts w:hint="cs"/>
          <w:b/>
          <w:bCs/>
          <w:rtl/>
        </w:rPr>
        <w:t xml:space="preserve">הסברה </w:t>
      </w:r>
      <w:r w:rsidRPr="00307807">
        <w:rPr>
          <w:rFonts w:hint="cs"/>
          <w:rtl/>
        </w:rPr>
        <w:t>מדוע הוא כן, אבל גם בלי הסברה זו מפורש הדבר בסוגיית הגמרא)!? והאם נאמר דנעלם מהמזרחי כל סוגיית הגמרא, אתמהה!?</w:t>
      </w:r>
    </w:p>
    <w:p w:rsidR="00307807" w:rsidRPr="00307807" w:rsidRDefault="00307807" w:rsidP="00F146A6">
      <w:pPr>
        <w:pStyle w:val="11"/>
        <w:bidi/>
        <w:rPr>
          <w:rtl/>
        </w:rPr>
      </w:pPr>
      <w:r w:rsidRPr="00307807">
        <w:rPr>
          <w:rFonts w:hint="cs"/>
          <w:rtl/>
        </w:rPr>
        <w:t>יישוב לדברי המזרחי</w:t>
      </w:r>
    </w:p>
    <w:p w:rsidR="00307807" w:rsidRPr="00307807" w:rsidRDefault="00307807" w:rsidP="00F146A6">
      <w:pPr>
        <w:pStyle w:val="a3"/>
        <w:rPr>
          <w:rtl/>
        </w:rPr>
      </w:pPr>
      <w:r w:rsidRPr="00307807">
        <w:rPr>
          <w:rFonts w:hint="cs"/>
          <w:rtl/>
        </w:rPr>
        <w:t xml:space="preserve">ב. והנראה לומר בזה, דהנה באמת הרי סברת התוספות צ"ע; דאה"נ דלריב"ק אין </w:t>
      </w:r>
      <w:r w:rsidRPr="00307807">
        <w:rPr>
          <w:rFonts w:hint="cs"/>
          <w:b/>
          <w:bCs/>
          <w:rtl/>
        </w:rPr>
        <w:t>הכרח</w:t>
      </w:r>
      <w:r w:rsidRPr="00307807">
        <w:rPr>
          <w:rFonts w:hint="cs"/>
          <w:rtl/>
        </w:rPr>
        <w:t xml:space="preserve"> דמדובר במצב שיש לו להשוחט שותפות בגויה (לעומת רבי יונתן דלשיטתיה מוכרח שיש לו שותפות כמשנ"ת), אמנם גם אין הכרח </w:t>
      </w:r>
      <w:r w:rsidRPr="00307807">
        <w:rPr>
          <w:rFonts w:hint="cs"/>
          <w:b/>
          <w:bCs/>
          <w:rtl/>
        </w:rPr>
        <w:t>דלית ליה</w:t>
      </w:r>
      <w:r w:rsidRPr="00307807">
        <w:rPr>
          <w:rFonts w:hint="cs"/>
          <w:rtl/>
        </w:rPr>
        <w:t xml:space="preserve"> שותפות בגויה, דהרי בודאי יתכן לומר דכל חבורה שוחט את קרבן שלהם ע"י שוחט אחד שהוא שותף בחבורה זו!?</w:t>
      </w:r>
    </w:p>
    <w:p w:rsidR="00307807" w:rsidRPr="003A407F" w:rsidRDefault="00307807" w:rsidP="00F146A6">
      <w:pPr>
        <w:pStyle w:val="a3"/>
        <w:rPr>
          <w:rtl/>
        </w:rPr>
      </w:pPr>
      <w:r w:rsidRPr="003A407F">
        <w:rPr>
          <w:rFonts w:hint="cs"/>
          <w:rtl/>
        </w:rPr>
        <w:t>וכבר הרגיש בזה המהרש"א וכתב: "</w:t>
      </w:r>
      <w:r w:rsidRPr="003A407F">
        <w:rPr>
          <w:rtl/>
        </w:rPr>
        <w:t xml:space="preserve">אין זה מוכרח דהא איכא למימר דהרבה שוחטים הם וכ"א מהם שוחט על המנויים עמו על פסח שלו </w:t>
      </w:r>
      <w:r w:rsidRPr="003A407F">
        <w:rPr>
          <w:rFonts w:hint="cs"/>
          <w:rtl/>
        </w:rPr>
        <w:t xml:space="preserve">.. </w:t>
      </w:r>
      <w:r w:rsidRPr="003A407F">
        <w:rPr>
          <w:rtl/>
        </w:rPr>
        <w:t>אלא דאיכא למימר דמיירי נמי באחד שוחט פסחים הרבה וכיון דאין נמנין על ב' פסחים ע"כ דשוחט גם בליכא שותפות</w:t>
      </w:r>
      <w:r w:rsidRPr="003A407F">
        <w:rPr>
          <w:rFonts w:hint="cs"/>
          <w:rtl/>
        </w:rPr>
        <w:t xml:space="preserve"> ..". והיינו דלשיטת ריב"ק אין בזה הכרח לכאן או לכאן, וא"כ אפשר </w:t>
      </w:r>
      <w:r w:rsidRPr="003A407F">
        <w:rPr>
          <w:rFonts w:hint="cs"/>
          <w:rtl/>
        </w:rPr>
        <w:lastRenderedPageBreak/>
        <w:t>ללמוד מפסוק זה דמהני שליחות בכל מקרים (גם היכא דאית ליה שותפות בגויה וגם היכא דלית ליה).</w:t>
      </w:r>
    </w:p>
    <w:p w:rsidR="00307807" w:rsidRPr="003A407F" w:rsidRDefault="00307807" w:rsidP="00F146A6">
      <w:pPr>
        <w:pStyle w:val="a3"/>
        <w:rPr>
          <w:rtl/>
        </w:rPr>
      </w:pPr>
      <w:r w:rsidRPr="003A407F">
        <w:rPr>
          <w:rFonts w:hint="cs"/>
          <w:rtl/>
        </w:rPr>
        <w:t xml:space="preserve">ולכאורה הרי יסוד הדברים מבואר כבר בתוספות הרא"ש שכתב ".. </w:t>
      </w:r>
      <w:r w:rsidRPr="003A407F">
        <w:rPr>
          <w:rtl/>
        </w:rPr>
        <w:t>אמאי יש לן לאוקומי קרא בשיש לו בו שותפות כיון</w:t>
      </w:r>
      <w:r w:rsidRPr="003A407F">
        <w:rPr>
          <w:rFonts w:hint="cs"/>
          <w:rtl/>
        </w:rPr>
        <w:t xml:space="preserve"> </w:t>
      </w:r>
      <w:r w:rsidRPr="003A407F">
        <w:rPr>
          <w:rtl/>
        </w:rPr>
        <w:t>דקרא סתמא כתיב איירי בכל ענין</w:t>
      </w:r>
      <w:r w:rsidRPr="003A407F">
        <w:rPr>
          <w:rFonts w:hint="cs"/>
          <w:rtl/>
        </w:rPr>
        <w:t>"</w:t>
      </w:r>
      <w:r w:rsidRPr="003A407F">
        <w:rPr>
          <w:rtl/>
        </w:rPr>
        <w:t>.</w:t>
      </w:r>
    </w:p>
    <w:p w:rsidR="00307807" w:rsidRPr="003A407F" w:rsidRDefault="00307807" w:rsidP="00F146A6">
      <w:pPr>
        <w:pStyle w:val="a3"/>
        <w:rPr>
          <w:rtl/>
        </w:rPr>
      </w:pPr>
      <w:r w:rsidRPr="003A407F">
        <w:rPr>
          <w:rFonts w:hint="cs"/>
          <w:rtl/>
        </w:rPr>
        <w:t xml:space="preserve">ועכ"פ נמצא דקרא זה באמת יכולה להתפרש גם במצב של שליחות (שחיטה) בשותפות </w:t>
      </w:r>
      <w:r w:rsidRPr="003A407F">
        <w:rPr>
          <w:rtl/>
        </w:rPr>
        <w:t>–</w:t>
      </w:r>
      <w:r w:rsidRPr="003A407F">
        <w:rPr>
          <w:rFonts w:hint="cs"/>
          <w:rtl/>
        </w:rPr>
        <w:t xml:space="preserve"> והיינו שאחד מבני החבורה שוחט עבור חבורה שלו </w:t>
      </w:r>
      <w:r w:rsidRPr="003A407F">
        <w:rPr>
          <w:rtl/>
        </w:rPr>
        <w:t>–</w:t>
      </w:r>
      <w:r w:rsidRPr="003A407F">
        <w:rPr>
          <w:rFonts w:hint="cs"/>
          <w:rtl/>
        </w:rPr>
        <w:t xml:space="preserve"> וגם במצב של שליחות בלי שותפות. והא דלמדים מכאן שליחות גם בלי שותפות הוא רק משום דלא נתפרש בקרא בהדיא דמדובר בשליחות בלי שותפות!</w:t>
      </w:r>
    </w:p>
    <w:p w:rsidR="00307807" w:rsidRPr="003A407F" w:rsidRDefault="00307807" w:rsidP="00F146A6">
      <w:pPr>
        <w:pStyle w:val="a3"/>
        <w:rPr>
          <w:rtl/>
        </w:rPr>
      </w:pPr>
      <w:r w:rsidRPr="003A407F">
        <w:rPr>
          <w:rFonts w:hint="cs"/>
          <w:rtl/>
        </w:rPr>
        <w:t xml:space="preserve">ג. אמנם נראה דע"פ 'פשוטו של מקרא' עכ"פ מדובר בשחיטה שע"י אחד מבני החבורה דוקא; דהא כל המשך הפסוקים מדובר על קרבן הפרטי של כל חבורה: "(פ"ג) .. ויקחו להם איש שה לבית אבות שה לבית. (פ"ד) ואם ימעט הבית מהיות משה ולקח הוא ושכנו הקרוב אל ביתו .. (פ"ו) והיה לכם למשמרת עד ארבעה עשר יום לחודש הזה ושחטו אותו כל קהל עדת ישראל בין הערבים. (פ"ז) ולקחו מן הדם ונתנו על שתי המזוזות ועל המשקוף על הבתים אשר יאכלו אותו בהם. (פ"ח) ואכלו את הבשר בלילה הזה ..". </w:t>
      </w:r>
    </w:p>
    <w:p w:rsidR="00307807" w:rsidRPr="003A407F" w:rsidRDefault="00307807" w:rsidP="00F146A6">
      <w:pPr>
        <w:pStyle w:val="a3"/>
        <w:rPr>
          <w:rtl/>
        </w:rPr>
      </w:pPr>
      <w:r w:rsidRPr="003A407F">
        <w:rPr>
          <w:rFonts w:hint="cs"/>
          <w:rtl/>
        </w:rPr>
        <w:t>והיינו דהכל מדובר על קרבן הפרטי של כל חבורה, וא"כ בפשיטות מתפרש גם השחיטה על כל חבורה בנפרד, ומדוע נדחוק ונפרש ששוחט אחד הולך מחבורה לחבורה לשחוט עבורם בביתם!?</w:t>
      </w:r>
    </w:p>
    <w:p w:rsidR="00307807" w:rsidRPr="003A407F" w:rsidRDefault="00307807" w:rsidP="00F146A6">
      <w:pPr>
        <w:pStyle w:val="a3"/>
        <w:rPr>
          <w:rtl/>
        </w:rPr>
      </w:pPr>
      <w:r w:rsidRPr="003A407F">
        <w:rPr>
          <w:rFonts w:hint="cs"/>
          <w:rtl/>
        </w:rPr>
        <w:t xml:space="preserve">וא"כ י"ל דאה"נ </w:t>
      </w:r>
      <w:r w:rsidRPr="003A407F">
        <w:rPr>
          <w:rFonts w:hint="cs"/>
          <w:b/>
          <w:bCs/>
          <w:rtl/>
        </w:rPr>
        <w:t>שבדרך ההלכה</w:t>
      </w:r>
      <w:r w:rsidRPr="003A407F">
        <w:rPr>
          <w:rFonts w:hint="cs"/>
          <w:rtl/>
        </w:rPr>
        <w:t xml:space="preserve"> מאחר שהתורה מלמדנו כאן דין שליחות, א"כ אם ישנה הגבלה ששליחות צריכה להיעשות ע"י שותפות דוקא, אז היתה צריכה להדגיש את זה בפסוק </w:t>
      </w:r>
      <w:r w:rsidRPr="003A407F">
        <w:rPr>
          <w:rFonts w:hint="cs"/>
          <w:b/>
          <w:bCs/>
          <w:rtl/>
        </w:rPr>
        <w:t>שחייב להיות</w:t>
      </w:r>
      <w:r w:rsidRPr="003A407F">
        <w:rPr>
          <w:rFonts w:hint="cs"/>
          <w:rtl/>
        </w:rPr>
        <w:t xml:space="preserve"> ע"י אחד מבני החבורה דוקא, אמנם בפשש"מ י"ל דצודק המרחי ב'טענתו' דבפשטות מדובר כאן בשליחות ע"י שותפות, ושוב מנלן ללמוד מכאן שליחות שלא ע"י שותפות!?</w:t>
      </w:r>
    </w:p>
    <w:p w:rsidR="00307807" w:rsidRPr="003A407F" w:rsidRDefault="00307807" w:rsidP="00F146A6">
      <w:pPr>
        <w:pStyle w:val="11"/>
        <w:bidi/>
        <w:rPr>
          <w:rtl/>
        </w:rPr>
      </w:pPr>
      <w:r w:rsidRPr="003A407F">
        <w:rPr>
          <w:rFonts w:hint="cs"/>
          <w:rtl/>
        </w:rPr>
        <w:t>תירוץ לקושיית המזרחי על יסוד חידוש של הרבי ברש"י</w:t>
      </w:r>
    </w:p>
    <w:p w:rsidR="00307807" w:rsidRPr="003A407F" w:rsidRDefault="00307807" w:rsidP="00F146A6">
      <w:pPr>
        <w:pStyle w:val="a3"/>
        <w:rPr>
          <w:rtl/>
        </w:rPr>
      </w:pPr>
      <w:r w:rsidRPr="003A407F">
        <w:rPr>
          <w:rFonts w:hint="cs"/>
          <w:rtl/>
        </w:rPr>
        <w:t>ד. אמנם לכאורה הרי תירוצו של המזרחי קשה להעמיסו בדברי רש"י; דהוא מבאר (כנ"ל) דבאמת למדים שליחות מב' הפסוקים ביחד ("ושחטו אותו" וגם "איש שה לבית אבות"), ומאחר דיש לזה שתי פסוקים שוב נתרבה גם שליחות שלא בשותפות מחמת הסברא "</w:t>
      </w:r>
      <w:r w:rsidRPr="003A407F">
        <w:rPr>
          <w:rtl/>
        </w:rPr>
        <w:t>דאם אין עניין להיכא דאית ליה שותפות בגויה תנהו להיכא דלית ליה שותפות בגויה</w:t>
      </w:r>
      <w:r w:rsidRPr="003A407F">
        <w:rPr>
          <w:rFonts w:hint="cs"/>
          <w:rtl/>
        </w:rPr>
        <w:t xml:space="preserve"> ..". אמנם הרי אין לכל זה שום זכר או רמז בדברי רש"י, שכתב בפשיטות דלמדים דין שליחות מהא ד"ושחטו אותו" בלבד!?</w:t>
      </w:r>
    </w:p>
    <w:p w:rsidR="00307807" w:rsidRPr="003A407F" w:rsidRDefault="00307807" w:rsidP="00F146A6">
      <w:pPr>
        <w:pStyle w:val="a3"/>
        <w:rPr>
          <w:rtl/>
        </w:rPr>
      </w:pPr>
      <w:r w:rsidRPr="003A407F">
        <w:rPr>
          <w:rFonts w:hint="cs"/>
          <w:rtl/>
        </w:rPr>
        <w:t>ונראה להציע תירוץ שונה לקושיית המזרחי ע"פ ביאור וחידוש מפתיע של הרבי בדברי רש"י (על החומש) בענין שלוחו של אדם כמותו, ובהקדם;</w:t>
      </w:r>
    </w:p>
    <w:p w:rsidR="00307807" w:rsidRPr="003A407F" w:rsidRDefault="00307807" w:rsidP="00F146A6">
      <w:pPr>
        <w:pStyle w:val="a3"/>
        <w:rPr>
          <w:rtl/>
        </w:rPr>
      </w:pPr>
      <w:r w:rsidRPr="003A407F">
        <w:rPr>
          <w:rFonts w:hint="cs"/>
          <w:rtl/>
        </w:rPr>
        <w:lastRenderedPageBreak/>
        <w:t xml:space="preserve">ה. על דברי הגמרא (שם) ".. </w:t>
      </w:r>
      <w:r w:rsidRPr="003A407F">
        <w:rPr>
          <w:rtl/>
        </w:rPr>
        <w:t>דא"ר יהושע בן קרחה מנין ששלוחו של אדם כמותו שנאמר ושחטו אותו כל קהל עדת ישראל בין הערבים, וכי כל הקהל כולן שוחטין והלא אינו שוחט אלא אחד אלא מכאן ששלוחו של אדם כמותו</w:t>
      </w:r>
      <w:r w:rsidRPr="003A407F">
        <w:rPr>
          <w:rFonts w:hint="cs"/>
          <w:rtl/>
        </w:rPr>
        <w:t>", מציין רבי עקיבא איגר בגליון הש"ס "עיין בפרש"י בחומש ס' ויקרא כ"ד י"ד בפסוק ורגמו אותו כל העדה".</w:t>
      </w:r>
    </w:p>
    <w:p w:rsidR="00307807" w:rsidRPr="003A407F" w:rsidRDefault="00307807" w:rsidP="00F146A6">
      <w:pPr>
        <w:pStyle w:val="a3"/>
        <w:rPr>
          <w:rtl/>
        </w:rPr>
      </w:pPr>
      <w:r w:rsidRPr="003A407F">
        <w:rPr>
          <w:rFonts w:hint="cs"/>
          <w:rtl/>
        </w:rPr>
        <w:t xml:space="preserve">והנה בפסוק שם מדובר בסיפור של המקלל, וכתוב "הוצא את המקלל אל מחוץ למחנה וסמכו כל השומעים את ידיהם על ראשו ורגמו אותו כל העדה". וברש"י: </w:t>
      </w:r>
      <w:r w:rsidRPr="003A407F">
        <w:rPr>
          <w:rFonts w:hint="cs"/>
          <w:b/>
          <w:bCs/>
          <w:rtl/>
        </w:rPr>
        <w:t>כל העדה</w:t>
      </w:r>
      <w:r w:rsidRPr="003A407F">
        <w:rPr>
          <w:rFonts w:hint="cs"/>
          <w:rtl/>
        </w:rPr>
        <w:t xml:space="preserve"> </w:t>
      </w:r>
      <w:r w:rsidRPr="003A407F">
        <w:rPr>
          <w:rtl/>
        </w:rPr>
        <w:t>–</w:t>
      </w:r>
      <w:r w:rsidRPr="003A407F">
        <w:rPr>
          <w:rFonts w:hint="cs"/>
          <w:rtl/>
        </w:rPr>
        <w:t xml:space="preserve"> "במעמד כל העדה (תו"כ כד רמ) מכאן ששלוחו של אדם כמותו".</w:t>
      </w:r>
    </w:p>
    <w:p w:rsidR="00307807" w:rsidRPr="003A407F" w:rsidRDefault="00307807" w:rsidP="00F146A6">
      <w:pPr>
        <w:pStyle w:val="a3"/>
        <w:rPr>
          <w:rtl/>
        </w:rPr>
      </w:pPr>
      <w:r w:rsidRPr="003A407F">
        <w:rPr>
          <w:rFonts w:hint="cs"/>
          <w:rtl/>
        </w:rPr>
        <w:t xml:space="preserve">ולכאורה הרי כוונת רעק"א להעיר ולהקשות דלכאורה הוה דברי רש"י אלו </w:t>
      </w:r>
      <w:r w:rsidRPr="003A407F">
        <w:rPr>
          <w:rtl/>
        </w:rPr>
        <w:t>–</w:t>
      </w:r>
      <w:r w:rsidRPr="003A407F">
        <w:rPr>
          <w:rFonts w:hint="cs"/>
          <w:rtl/>
        </w:rPr>
        <w:t xml:space="preserve"> ששלוחו של אדם כמותו נלמד מפסוק דמקלל (</w:t>
      </w:r>
      <w:r w:rsidRPr="003A407F">
        <w:rPr>
          <w:rFonts w:hint="cs"/>
          <w:b/>
          <w:bCs/>
          <w:rtl/>
        </w:rPr>
        <w:t>'מכאן'</w:t>
      </w:r>
      <w:r w:rsidRPr="003A407F">
        <w:rPr>
          <w:rFonts w:hint="cs"/>
          <w:rtl/>
        </w:rPr>
        <w:t xml:space="preserve">), הוה בסתירה לדברי </w:t>
      </w:r>
      <w:r w:rsidR="003A407F">
        <w:rPr>
          <w:rFonts w:hint="cs"/>
          <w:rtl/>
        </w:rPr>
        <w:t>הגמרא בסוגיין דנלמד מפרשת ק"פ!?</w:t>
      </w:r>
    </w:p>
    <w:p w:rsidR="00307807" w:rsidRPr="003A407F" w:rsidRDefault="00307807" w:rsidP="00F146A6">
      <w:pPr>
        <w:pStyle w:val="a3"/>
        <w:rPr>
          <w:rtl/>
        </w:rPr>
      </w:pPr>
      <w:r w:rsidRPr="003A407F">
        <w:rPr>
          <w:rFonts w:hint="cs"/>
          <w:rtl/>
        </w:rPr>
        <w:t>ויש להוסיף דרש"י עצמו בחומש מביא בפרשת ק"פ הלימוד של סוגיין (כדלעיל באורך), וגם שם כותב לשון זה "</w:t>
      </w:r>
      <w:r w:rsidRPr="003A407F">
        <w:rPr>
          <w:b/>
          <w:bCs/>
          <w:rtl/>
        </w:rPr>
        <w:t>מכאן</w:t>
      </w:r>
      <w:r w:rsidRPr="003A407F">
        <w:rPr>
          <w:rtl/>
        </w:rPr>
        <w:t xml:space="preserve"> ששלוחו של אדם כמותו</w:t>
      </w:r>
      <w:r w:rsidRPr="003A407F">
        <w:rPr>
          <w:rFonts w:hint="cs"/>
          <w:rtl/>
        </w:rPr>
        <w:t>", והרי ממ"נ האם למדים את זה 'מכאן' או 'מכאן'!?</w:t>
      </w:r>
    </w:p>
    <w:p w:rsidR="00307807" w:rsidRPr="003A407F" w:rsidRDefault="00307807" w:rsidP="00F146A6">
      <w:pPr>
        <w:pStyle w:val="a3"/>
        <w:rPr>
          <w:rtl/>
        </w:rPr>
      </w:pPr>
      <w:r w:rsidRPr="003A407F">
        <w:rPr>
          <w:rFonts w:hint="cs"/>
          <w:rtl/>
        </w:rPr>
        <w:t xml:space="preserve">ו. ובלקוטי שיחות (ח"ז שיחה ג' לפרשת אמור) ישנה ביאור נפלא של הרבי  בכל ענין עונשו של המקלל ובפירושי רש"י שם, ובתוך הדברים (בהערה מספר 30) מבאר גם דברי רש"י אלו </w:t>
      </w:r>
      <w:r w:rsidRPr="003A407F">
        <w:rPr>
          <w:rtl/>
        </w:rPr>
        <w:t>–</w:t>
      </w:r>
      <w:r w:rsidRPr="003A407F">
        <w:rPr>
          <w:rFonts w:hint="cs"/>
          <w:rtl/>
        </w:rPr>
        <w:t xml:space="preserve"> דמכאן למדים דין שלוחו של אדם כמותו </w:t>
      </w:r>
      <w:r w:rsidRPr="003A407F">
        <w:rPr>
          <w:rtl/>
        </w:rPr>
        <w:t>–</w:t>
      </w:r>
      <w:r w:rsidRPr="003A407F">
        <w:rPr>
          <w:rFonts w:hint="cs"/>
          <w:rtl/>
        </w:rPr>
        <w:t xml:space="preserve"> אחרי שמקשה ד' קושיות עליהם, וקושיא הרביעית היא באמת קושיא זו של רעק"א דלכאורה דברי רש"י כאן סתרי לזה דהמקור לשליחות הוה בפרשת ק"פ כמשנ"ת. </w:t>
      </w:r>
    </w:p>
    <w:p w:rsidR="00307807" w:rsidRPr="003A407F" w:rsidRDefault="00307807" w:rsidP="00F146A6">
      <w:pPr>
        <w:pStyle w:val="a3"/>
        <w:rPr>
          <w:rtl/>
        </w:rPr>
      </w:pPr>
      <w:r w:rsidRPr="003A407F">
        <w:rPr>
          <w:rFonts w:hint="cs"/>
          <w:rtl/>
        </w:rPr>
        <w:t>ונקודת הביאור הוא מיוסד על מה שמוכיח שם בארוכה דבאמת החיוב רגימה הי' רק על אלו ששמעו הקללה של המקלל, ואילו שאר העדה לא היו מחוייבים לרגום (ואדרבה זה הי' אסור בשבילם עיי"ש). ומ"מ נאמר בתורה "ורגמו אותו כל העדה" ללמדנו שעי"ז שהי' בפניהם, הרי אלו שרוגמים בפועל נחשבים לשלוחם של כולם, עד שכולם יש להם חלק בקיום ציווי זה.</w:t>
      </w:r>
    </w:p>
    <w:p w:rsidR="00307807" w:rsidRPr="003A407F" w:rsidRDefault="00307807" w:rsidP="00F146A6">
      <w:pPr>
        <w:pStyle w:val="a3"/>
        <w:rPr>
          <w:rtl/>
        </w:rPr>
      </w:pPr>
      <w:r w:rsidRPr="003A407F">
        <w:rPr>
          <w:rFonts w:hint="cs"/>
          <w:rtl/>
        </w:rPr>
        <w:t xml:space="preserve">ונמצא דכאן הוה ענין השליחות באופן </w:t>
      </w:r>
      <w:r w:rsidRPr="003A407F">
        <w:rPr>
          <w:rFonts w:hint="cs"/>
          <w:b/>
          <w:bCs/>
          <w:rtl/>
        </w:rPr>
        <w:t>הפכי</w:t>
      </w:r>
      <w:r w:rsidRPr="003A407F">
        <w:rPr>
          <w:rFonts w:hint="cs"/>
          <w:rtl/>
        </w:rPr>
        <w:t xml:space="preserve"> מאיך שהוא בדרך כלל; דבד"כ נאמר ענין השליחות באופן שישנה איזו חיוב על ה</w:t>
      </w:r>
      <w:r w:rsidRPr="003A407F">
        <w:rPr>
          <w:rFonts w:hint="cs"/>
          <w:b/>
          <w:bCs/>
          <w:rtl/>
        </w:rPr>
        <w:t>משלח</w:t>
      </w:r>
      <w:r w:rsidRPr="003A407F">
        <w:rPr>
          <w:rFonts w:hint="cs"/>
          <w:rtl/>
        </w:rPr>
        <w:t xml:space="preserve"> והוא מקיים חיובו המוטל עליו ע"י שליח שממנה לזה. ואילו כאן הוה זה בכיוון הפכי, דה</w:t>
      </w:r>
      <w:r w:rsidRPr="003A407F">
        <w:rPr>
          <w:rFonts w:hint="cs"/>
          <w:b/>
          <w:bCs/>
          <w:rtl/>
        </w:rPr>
        <w:t>שליח</w:t>
      </w:r>
      <w:r w:rsidRPr="003A407F">
        <w:rPr>
          <w:rFonts w:hint="cs"/>
          <w:rtl/>
        </w:rPr>
        <w:t xml:space="preserve"> הוה המחוייב בדבר (והיינו השומעים שהיו מחוייבים לרגום), ואילו המשלח אין לו חיוב בדבר, ועי"ז שממנה השליח להיות שלוחו נהי' גם למשלח חלק בקיום ציווי זה!</w:t>
      </w:r>
    </w:p>
    <w:p w:rsidR="00307807" w:rsidRPr="003A407F" w:rsidRDefault="00307807" w:rsidP="00F146A6">
      <w:pPr>
        <w:pStyle w:val="a3"/>
        <w:rPr>
          <w:rtl/>
        </w:rPr>
      </w:pPr>
      <w:r w:rsidRPr="003A407F">
        <w:rPr>
          <w:rFonts w:hint="cs"/>
          <w:rtl/>
        </w:rPr>
        <w:t xml:space="preserve">ומבאר הרבי דלכן אין כאן סתירה בזה שרש"י אומר ד'מכאן' נלמד שלוחו של אדם כמותו בשני מקומות שונים, הואיל ומדובר בשני סוגים ואופנים שונים בשליחות (עכ"פ כן הבנתי את דברי הרבי בהערה זו, והלואי שלא שגיתי בהבנת הדברים שנכתבו בקיצור לפ"ע). </w:t>
      </w:r>
    </w:p>
    <w:p w:rsidR="00307807" w:rsidRPr="003A407F" w:rsidRDefault="00307807" w:rsidP="00F146A6">
      <w:pPr>
        <w:pStyle w:val="a3"/>
        <w:rPr>
          <w:rtl/>
        </w:rPr>
      </w:pPr>
      <w:r w:rsidRPr="003A407F">
        <w:rPr>
          <w:rFonts w:hint="cs"/>
          <w:rtl/>
        </w:rPr>
        <w:lastRenderedPageBreak/>
        <w:t>ומיושב לפ"ז היטיב קושיית רעק"א.</w:t>
      </w:r>
    </w:p>
    <w:p w:rsidR="00307807" w:rsidRPr="003A407F" w:rsidRDefault="00307807" w:rsidP="00F146A6">
      <w:pPr>
        <w:pStyle w:val="a3"/>
        <w:rPr>
          <w:rtl/>
        </w:rPr>
      </w:pPr>
      <w:r w:rsidRPr="003A407F">
        <w:rPr>
          <w:rFonts w:hint="cs"/>
          <w:rtl/>
        </w:rPr>
        <w:t xml:space="preserve">ז. ואשר לפי יסוד זה אלי יש לתרץ גם קושיית המזרחי דעסקינן ביה, דאולי השליחות שלמדים מפרשת קרבן פסח אינו אלא היכן דהשליח עצמו הוא שותף בדבר שנשלח לה; </w:t>
      </w:r>
    </w:p>
    <w:p w:rsidR="00307807" w:rsidRPr="003A407F" w:rsidRDefault="00307807" w:rsidP="00F146A6">
      <w:pPr>
        <w:pStyle w:val="a3"/>
        <w:rPr>
          <w:rtl/>
        </w:rPr>
      </w:pPr>
      <w:r w:rsidRPr="003A407F">
        <w:rPr>
          <w:rFonts w:hint="cs"/>
          <w:rtl/>
        </w:rPr>
        <w:t xml:space="preserve">אחרי שהרבי מבאר דלרש"י בחומש יש </w:t>
      </w:r>
      <w:r w:rsidRPr="003A407F">
        <w:rPr>
          <w:rFonts w:hint="cs"/>
          <w:b/>
          <w:bCs/>
          <w:rtl/>
        </w:rPr>
        <w:t>שתי</w:t>
      </w:r>
      <w:r w:rsidRPr="003A407F">
        <w:rPr>
          <w:rFonts w:hint="cs"/>
          <w:rtl/>
        </w:rPr>
        <w:t xml:space="preserve"> מקורות לדין שליחות, אחת מלמדנו הכח של שליח לשתף גם המשלח בקיום </w:t>
      </w:r>
      <w:r w:rsidRPr="003A407F">
        <w:rPr>
          <w:rFonts w:hint="cs"/>
          <w:b/>
          <w:bCs/>
          <w:rtl/>
        </w:rPr>
        <w:t>חיובו של השליח</w:t>
      </w:r>
      <w:r w:rsidRPr="003A407F">
        <w:rPr>
          <w:rFonts w:hint="cs"/>
          <w:rtl/>
        </w:rPr>
        <w:t xml:space="preserve"> </w:t>
      </w:r>
      <w:r w:rsidRPr="003A407F">
        <w:rPr>
          <w:rtl/>
        </w:rPr>
        <w:t>–</w:t>
      </w:r>
      <w:r w:rsidRPr="003A407F">
        <w:rPr>
          <w:rFonts w:hint="cs"/>
          <w:rtl/>
        </w:rPr>
        <w:t xml:space="preserve"> דין שליחות בפרשת מקלל, ואחת מלמדנו הכח של משלח למנות שליח בכדי לצאת ידי </w:t>
      </w:r>
      <w:r w:rsidRPr="003A407F">
        <w:rPr>
          <w:rFonts w:hint="cs"/>
          <w:b/>
          <w:bCs/>
          <w:rtl/>
        </w:rPr>
        <w:t>חובתו של המשלח</w:t>
      </w:r>
      <w:r w:rsidRPr="003A407F">
        <w:rPr>
          <w:rFonts w:hint="cs"/>
          <w:rtl/>
        </w:rPr>
        <w:t xml:space="preserve"> </w:t>
      </w:r>
      <w:r w:rsidRPr="003A407F">
        <w:rPr>
          <w:rtl/>
        </w:rPr>
        <w:t>–</w:t>
      </w:r>
      <w:r w:rsidRPr="003A407F">
        <w:rPr>
          <w:rFonts w:hint="cs"/>
          <w:rtl/>
        </w:rPr>
        <w:t xml:space="preserve"> שליחות בק"פ, מובן לכאורה דהחידוש בק"פ </w:t>
      </w:r>
      <w:r w:rsidRPr="003A407F">
        <w:rPr>
          <w:rFonts w:hint="cs"/>
          <w:b/>
          <w:bCs/>
          <w:rtl/>
        </w:rPr>
        <w:t>אינו</w:t>
      </w:r>
      <w:r w:rsidRPr="003A407F">
        <w:rPr>
          <w:rFonts w:hint="cs"/>
          <w:rtl/>
        </w:rPr>
        <w:t xml:space="preserve"> קשור עם זה שהשליח הוא שותף בהחיוב, דהא אופן זה של שליחות כבר נכלל בדין השני של שליחות הנלמד ממקור השני לזה!</w:t>
      </w:r>
    </w:p>
    <w:p w:rsidR="00307807" w:rsidRPr="003A407F" w:rsidRDefault="00307807" w:rsidP="00F146A6">
      <w:pPr>
        <w:pStyle w:val="a3"/>
        <w:rPr>
          <w:rtl/>
        </w:rPr>
      </w:pPr>
      <w:r w:rsidRPr="003A407F">
        <w:rPr>
          <w:rFonts w:hint="cs"/>
          <w:rtl/>
        </w:rPr>
        <w:t xml:space="preserve">באותיות פשוטות: זה ששליח יכול להיות שליח היכן דהוה שותף בדבר שנשלח לו, הוה מחמת זה שבכחו לפעול לא רק עבור עצמו אלא גם עבור אדם שני ג"כ (וע"ד הדין של "מיגו דזכי לנפשיה זכי נמי לחבריה". ואכן בשו"ת מהרי"ק מזכיר כלל זה לגבי שליחות היכן שיש לשליח שותפות בגויה), והרי זהו בעצם השליחות שנלמד </w:t>
      </w:r>
      <w:r w:rsidRPr="003A407F">
        <w:rPr>
          <w:rtl/>
        </w:rPr>
        <w:t>–</w:t>
      </w:r>
      <w:r w:rsidRPr="003A407F">
        <w:rPr>
          <w:rFonts w:hint="cs"/>
          <w:rtl/>
        </w:rPr>
        <w:t xml:space="preserve"> לפי ביאורו של הרבי הנ"ל </w:t>
      </w:r>
      <w:r w:rsidRPr="003A407F">
        <w:rPr>
          <w:rtl/>
        </w:rPr>
        <w:t>–</w:t>
      </w:r>
      <w:r w:rsidRPr="003A407F">
        <w:rPr>
          <w:rFonts w:hint="cs"/>
          <w:rtl/>
        </w:rPr>
        <w:t xml:space="preserve"> מפרשת מקלל!</w:t>
      </w:r>
    </w:p>
    <w:p w:rsidR="00307807" w:rsidRPr="003A407F" w:rsidRDefault="00307807" w:rsidP="00F146A6">
      <w:pPr>
        <w:pStyle w:val="a3"/>
        <w:rPr>
          <w:rtl/>
        </w:rPr>
      </w:pPr>
      <w:r w:rsidRPr="003A407F">
        <w:rPr>
          <w:rFonts w:hint="cs"/>
          <w:rtl/>
        </w:rPr>
        <w:t xml:space="preserve">ואילו בפרשת ק"פ מלמדנו התורה דין </w:t>
      </w:r>
      <w:r w:rsidRPr="003A407F">
        <w:rPr>
          <w:rFonts w:hint="cs"/>
          <w:b/>
          <w:bCs/>
          <w:rtl/>
        </w:rPr>
        <w:t>שני</w:t>
      </w:r>
      <w:r w:rsidRPr="003A407F">
        <w:rPr>
          <w:rFonts w:hint="cs"/>
          <w:rtl/>
        </w:rPr>
        <w:t xml:space="preserve"> (נוסף </w:t>
      </w:r>
      <w:r w:rsidRPr="003A407F">
        <w:rPr>
          <w:rtl/>
        </w:rPr>
        <w:t>–</w:t>
      </w:r>
      <w:r w:rsidRPr="003A407F">
        <w:rPr>
          <w:rFonts w:hint="cs"/>
          <w:rtl/>
        </w:rPr>
        <w:t xml:space="preserve"> ואפילו הפכי כנ"ל) דהמשלח יכול לצאת ידי חובתו ע"י אדם אחר שאינו (דוקא) מחוייב בדבר, ואין מקום לומר דדין זה הוא רק כשהשליח הוא גם שותף בהחיוב כמשנ"ת.</w:t>
      </w:r>
    </w:p>
    <w:p w:rsidR="00307807" w:rsidRPr="00307807" w:rsidRDefault="00307807" w:rsidP="00F146A6">
      <w:pPr>
        <w:pStyle w:val="a3"/>
        <w:rPr>
          <w:rtl/>
        </w:rPr>
      </w:pPr>
      <w:r w:rsidRPr="003A407F">
        <w:rPr>
          <w:rFonts w:hint="cs"/>
          <w:rtl/>
        </w:rPr>
        <w:t xml:space="preserve">ומיושב היטיב קושיית המזרחי. </w:t>
      </w:r>
      <w:r w:rsidRPr="00307807">
        <w:rPr>
          <w:rFonts w:hint="cs"/>
          <w:rtl/>
        </w:rPr>
        <w:t xml:space="preserve"> </w:t>
      </w:r>
    </w:p>
    <w:p w:rsidR="00364372" w:rsidRDefault="00364372" w:rsidP="0036437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D10A19" w:rsidRDefault="00D10A19" w:rsidP="00D10A19">
      <w:pPr>
        <w:pStyle w:val="a0"/>
        <w:rPr>
          <w:rtl/>
        </w:rPr>
      </w:pPr>
      <w:bookmarkStart w:id="130" w:name="דף_מב"/>
      <w:bookmarkStart w:id="131" w:name="_Toc43963104"/>
      <w:r>
        <w:rPr>
          <w:rFonts w:hint="cs"/>
          <w:rtl/>
        </w:rPr>
        <w:t>רבא כרב נחמן</w:t>
      </w:r>
      <w:bookmarkEnd w:id="131"/>
    </w:p>
    <w:p w:rsidR="00D10A19" w:rsidRDefault="00D10A19" w:rsidP="00F146A6">
      <w:pPr>
        <w:pStyle w:val="a"/>
        <w:rPr>
          <w:rtl/>
        </w:rPr>
      </w:pPr>
      <w:bookmarkStart w:id="132" w:name="_Toc43963105"/>
      <w:r>
        <w:rPr>
          <w:rFonts w:hint="cs"/>
          <w:rtl/>
        </w:rPr>
        <w:t>הרב שמעון בן ציון אייזנבך</w:t>
      </w:r>
      <w:bookmarkEnd w:id="132"/>
    </w:p>
    <w:p w:rsidR="00D10A19" w:rsidRDefault="00D10A19" w:rsidP="00D10A19">
      <w:pPr>
        <w:pStyle w:val="a1"/>
        <w:rPr>
          <w:rtl/>
        </w:rPr>
      </w:pPr>
      <w:r>
        <w:rPr>
          <w:rFonts w:hint="cs"/>
          <w:rtl/>
        </w:rPr>
        <w:t>ר"מ בישיבת תו"ת ברינואה</w:t>
      </w:r>
    </w:p>
    <w:p w:rsidR="00D10A19" w:rsidRDefault="00D10A19" w:rsidP="00F146A6">
      <w:pPr>
        <w:pStyle w:val="11"/>
        <w:bidi/>
        <w:rPr>
          <w:rtl/>
        </w:rPr>
      </w:pPr>
      <w:r>
        <w:rPr>
          <w:rFonts w:hint="cs"/>
          <w:rtl/>
        </w:rPr>
        <w:t>א</w:t>
      </w:r>
    </w:p>
    <w:p w:rsidR="00D10A19" w:rsidRPr="000211C2" w:rsidRDefault="00D10A19" w:rsidP="00F146A6">
      <w:pPr>
        <w:pStyle w:val="a3"/>
        <w:rPr>
          <w:rtl/>
        </w:rPr>
      </w:pPr>
      <w:r w:rsidRPr="000211C2">
        <w:rPr>
          <w:rFonts w:hint="cs"/>
          <w:rtl/>
        </w:rPr>
        <w:t>קדושין דף מב ע"ב: "</w:t>
      </w:r>
      <w:r w:rsidRPr="000211C2">
        <w:rPr>
          <w:rtl/>
        </w:rPr>
        <w:t>אמר רב נחמן האחין שחלקו הרי הן כלקוחות פחות משתות נקנה מקח יתר על שתות בטל מקח שתות קנה ומחזיר אונאה אמר רבא הא דאמרן פחות משתות נקנה מקח לא אמרן אלא דלא שויה שליח אבל שויה שליח אמר לתקוני שדרתיך ולא לעוותי</w:t>
      </w:r>
      <w:r w:rsidRPr="000211C2">
        <w:rPr>
          <w:rFonts w:hint="cs"/>
          <w:rtl/>
        </w:rPr>
        <w:t>".</w:t>
      </w:r>
    </w:p>
    <w:p w:rsidR="00D10A19" w:rsidRPr="000211C2" w:rsidRDefault="00D10A19" w:rsidP="00F146A6">
      <w:pPr>
        <w:pStyle w:val="a3"/>
        <w:rPr>
          <w:rtl/>
        </w:rPr>
      </w:pPr>
      <w:r w:rsidRPr="000211C2">
        <w:rPr>
          <w:rFonts w:hint="cs"/>
          <w:rtl/>
        </w:rPr>
        <w:t>הנה עד כאן לא נחלקו רש"י ותוס' בגירסת הגמרא, אולם מכאן ואילך נחלקו</w:t>
      </w:r>
      <w:r>
        <w:rPr>
          <w:rFonts w:hint="cs"/>
          <w:rtl/>
        </w:rPr>
        <w:t>,</w:t>
      </w:r>
      <w:r w:rsidRPr="000211C2">
        <w:rPr>
          <w:rFonts w:hint="cs"/>
          <w:rtl/>
        </w:rPr>
        <w:t xml:space="preserve"> דלרש"י הגירסא היא: "</w:t>
      </w:r>
      <w:r w:rsidRPr="000211C2">
        <w:rPr>
          <w:rtl/>
        </w:rPr>
        <w:t xml:space="preserve">והא דאמרן יתר משתות בטל מקח לא אמרן אלא דלא אמר </w:t>
      </w:r>
      <w:r w:rsidRPr="000211C2">
        <w:rPr>
          <w:rtl/>
        </w:rPr>
        <w:lastRenderedPageBreak/>
        <w:t>ניפליגן בשומא דבי דינא</w:t>
      </w:r>
      <w:r>
        <w:rPr>
          <w:rFonts w:hint="cs"/>
          <w:rtl/>
        </w:rPr>
        <w:t>,</w:t>
      </w:r>
      <w:r w:rsidRPr="000211C2">
        <w:rPr>
          <w:rtl/>
        </w:rPr>
        <w:t xml:space="preserve"> אבל אמר נפלוג בשומא דבי דינא מכרן קיים</w:t>
      </w:r>
      <w:r>
        <w:rPr>
          <w:rFonts w:hint="cs"/>
          <w:rtl/>
        </w:rPr>
        <w:t>,</w:t>
      </w:r>
      <w:r w:rsidRPr="000211C2">
        <w:rPr>
          <w:rtl/>
        </w:rPr>
        <w:t xml:space="preserve"> דתנן</w:t>
      </w:r>
      <w:r>
        <w:rPr>
          <w:rFonts w:hint="cs"/>
          <w:rtl/>
        </w:rPr>
        <w:t>:</w:t>
      </w:r>
      <w:r w:rsidRPr="000211C2">
        <w:rPr>
          <w:rtl/>
        </w:rPr>
        <w:t xml:space="preserve"> שום הדיינים שפיחתו שתות או הותירו שתות מכרן בטל</w:t>
      </w:r>
      <w:r>
        <w:rPr>
          <w:rFonts w:hint="cs"/>
          <w:rtl/>
        </w:rPr>
        <w:t>,</w:t>
      </w:r>
      <w:r w:rsidRPr="000211C2">
        <w:rPr>
          <w:rtl/>
        </w:rPr>
        <w:t xml:space="preserve"> רשב"ג אומר מכרן קיים</w:t>
      </w:r>
      <w:r>
        <w:rPr>
          <w:rFonts w:hint="cs"/>
          <w:rtl/>
        </w:rPr>
        <w:t>,</w:t>
      </w:r>
      <w:r w:rsidRPr="000211C2">
        <w:rPr>
          <w:rtl/>
        </w:rPr>
        <w:t xml:space="preserve"> והא דאמרן שתות קנה ומחזיר אונאה לא אמרן אלא במטלטלי אבל במקרקעי אין אונאה לקרקעות</w:t>
      </w:r>
      <w:bookmarkEnd w:id="130"/>
      <w:r w:rsidRPr="000211C2">
        <w:rPr>
          <w:rFonts w:hint="cs"/>
          <w:rtl/>
        </w:rPr>
        <w:t>".</w:t>
      </w:r>
    </w:p>
    <w:p w:rsidR="00D10A19" w:rsidRPr="000211C2" w:rsidRDefault="00D10A19" w:rsidP="00F146A6">
      <w:pPr>
        <w:pStyle w:val="a3"/>
        <w:rPr>
          <w:rtl/>
        </w:rPr>
      </w:pPr>
      <w:r w:rsidRPr="000211C2">
        <w:rPr>
          <w:rFonts w:hint="cs"/>
          <w:rtl/>
        </w:rPr>
        <w:t>ולפי זה רבא שאמר דאם אמרו ניפליגן בשומא דבי דינא אפילו ביתר משתות מכרן קיים, הביא ראיה מדברי רשב"ג שס"ל במשנה דמכרן קיים, ואע"פ שרב נחמן אמר לעיל דהלכה כחכמים ולא כרשב"ג, כתב רש"י ד"לית ליה לרבא הא דאמר רב נחמן".</w:t>
      </w:r>
    </w:p>
    <w:p w:rsidR="00D10A19" w:rsidRPr="000211C2" w:rsidRDefault="00D10A19" w:rsidP="00F146A6">
      <w:pPr>
        <w:pStyle w:val="a3"/>
        <w:rPr>
          <w:rtl/>
        </w:rPr>
      </w:pPr>
      <w:r w:rsidRPr="000211C2">
        <w:rPr>
          <w:rFonts w:hint="cs"/>
          <w:rtl/>
        </w:rPr>
        <w:t>ולגירסא זו מה שאמר רבא דדווקא במטלטלים איכא אונאה ולא בקרקעות קאי על מה שאמר רב נחמן "שתות קנה ומחזיר אונאה".</w:t>
      </w:r>
    </w:p>
    <w:p w:rsidR="00D10A19" w:rsidRPr="000211C2" w:rsidRDefault="00D10A19" w:rsidP="00F146A6">
      <w:pPr>
        <w:pStyle w:val="a3"/>
        <w:rPr>
          <w:rtl/>
        </w:rPr>
      </w:pPr>
      <w:r w:rsidRPr="000211C2">
        <w:rPr>
          <w:rFonts w:hint="cs"/>
          <w:rtl/>
        </w:rPr>
        <w:t>והקשו התוס' וז"ל: "</w:t>
      </w:r>
      <w:r w:rsidRPr="000211C2">
        <w:rPr>
          <w:rtl/>
        </w:rPr>
        <w:t>וקשה לר"ת</w:t>
      </w:r>
      <w:r>
        <w:rPr>
          <w:rFonts w:hint="cs"/>
          <w:rtl/>
        </w:rPr>
        <w:t>,</w:t>
      </w:r>
      <w:r w:rsidRPr="000211C2">
        <w:rPr>
          <w:rtl/>
        </w:rPr>
        <w:t xml:space="preserve"> חדא מדנקט גבי שתות אין אונאה לקרקעות משמע דביתר משתות יש להן אונאה</w:t>
      </w:r>
      <w:r>
        <w:rPr>
          <w:rFonts w:hint="cs"/>
          <w:rtl/>
        </w:rPr>
        <w:t>,</w:t>
      </w:r>
      <w:r w:rsidRPr="000211C2">
        <w:rPr>
          <w:rtl/>
        </w:rPr>
        <w:t xml:space="preserve"> ובפרק המקבל מסיק רב נחמן זבין שוה מאה במאתן אין להם אונאה</w:t>
      </w:r>
      <w:r w:rsidRPr="000211C2">
        <w:rPr>
          <w:rFonts w:hint="cs"/>
          <w:rtl/>
        </w:rPr>
        <w:t>.</w:t>
      </w:r>
      <w:r w:rsidRPr="000211C2">
        <w:rPr>
          <w:rtl/>
        </w:rPr>
        <w:t xml:space="preserve"> ועוד קשה דפירש דרבא לא ס"ל כר"נ</w:t>
      </w:r>
      <w:r>
        <w:rPr>
          <w:rFonts w:hint="cs"/>
          <w:rtl/>
        </w:rPr>
        <w:t>,</w:t>
      </w:r>
      <w:r w:rsidRPr="000211C2">
        <w:rPr>
          <w:rtl/>
        </w:rPr>
        <w:t xml:space="preserve"> ודוחק הוא דהא רב נחמן רבו היה</w:t>
      </w:r>
      <w:r w:rsidRPr="000211C2">
        <w:rPr>
          <w:rFonts w:hint="cs"/>
          <w:rtl/>
        </w:rPr>
        <w:t>.</w:t>
      </w:r>
      <w:r w:rsidRPr="000211C2">
        <w:rPr>
          <w:rtl/>
        </w:rPr>
        <w:t xml:space="preserve"> וע"ק דלפי' הקונטרס גרס מעיקרא יתר משתות במילתיה</w:t>
      </w:r>
      <w:r>
        <w:rPr>
          <w:rFonts w:hint="cs"/>
          <w:rtl/>
        </w:rPr>
        <w:t>,</w:t>
      </w:r>
      <w:r w:rsidRPr="000211C2">
        <w:rPr>
          <w:rtl/>
        </w:rPr>
        <w:t xml:space="preserve"> ומייתי ראיה ממשנה דשום הדיינין שפחתו שתות או הותירו שתות כו'</w:t>
      </w:r>
      <w:r>
        <w:rPr>
          <w:rFonts w:hint="cs"/>
          <w:rtl/>
        </w:rPr>
        <w:t>,</w:t>
      </w:r>
      <w:r w:rsidRPr="000211C2">
        <w:rPr>
          <w:rtl/>
        </w:rPr>
        <w:t xml:space="preserve"> ואמאי מייתי ראיה מינה</w:t>
      </w:r>
      <w:r>
        <w:rPr>
          <w:rFonts w:hint="cs"/>
          <w:rtl/>
        </w:rPr>
        <w:t>,</w:t>
      </w:r>
      <w:r w:rsidRPr="000211C2">
        <w:rPr>
          <w:rtl/>
        </w:rPr>
        <w:t xml:space="preserve"> הא משנה זו לא מיירי כלל ביתר משתות מה יהא דינן וא"כ לא הוי דומה בדומה</w:t>
      </w:r>
      <w:r w:rsidRPr="000211C2">
        <w:rPr>
          <w:rFonts w:hint="cs"/>
          <w:rtl/>
        </w:rPr>
        <w:t>".</w:t>
      </w:r>
    </w:p>
    <w:p w:rsidR="00D10A19" w:rsidRDefault="00D10A19" w:rsidP="00F146A6">
      <w:pPr>
        <w:pStyle w:val="a3"/>
        <w:rPr>
          <w:rtl/>
        </w:rPr>
      </w:pPr>
      <w:r w:rsidRPr="000211C2">
        <w:rPr>
          <w:rFonts w:hint="cs"/>
          <w:rtl/>
        </w:rPr>
        <w:t>ומחמת קושיות אלו כתבו התוס' "</w:t>
      </w:r>
      <w:r w:rsidRPr="000211C2">
        <w:rPr>
          <w:rtl/>
        </w:rPr>
        <w:t>לכך נראה לר"ת דגרס איפכא</w:t>
      </w:r>
      <w:r>
        <w:rPr>
          <w:rFonts w:hint="cs"/>
          <w:rtl/>
        </w:rPr>
        <w:t>,</w:t>
      </w:r>
      <w:r w:rsidRPr="000211C2">
        <w:rPr>
          <w:rtl/>
        </w:rPr>
        <w:t xml:space="preserve"> וכן גרס ר"ח וה"ג הא דאמר שתות קנה ומחזיר אונאה לא אמרן אלא דלא אמר נפלוג בשומא דבי דינא</w:t>
      </w:r>
      <w:r>
        <w:rPr>
          <w:rFonts w:hint="cs"/>
          <w:rtl/>
        </w:rPr>
        <w:t>,</w:t>
      </w:r>
      <w:r w:rsidRPr="000211C2">
        <w:rPr>
          <w:rtl/>
        </w:rPr>
        <w:t xml:space="preserve"> אבל אמר נפלוג בשומא דבי דינא לא</w:t>
      </w:r>
      <w:r>
        <w:rPr>
          <w:rFonts w:hint="cs"/>
          <w:rtl/>
        </w:rPr>
        <w:t>,</w:t>
      </w:r>
      <w:r w:rsidRPr="000211C2">
        <w:rPr>
          <w:rtl/>
        </w:rPr>
        <w:t xml:space="preserve"> והוי המקח בטל</w:t>
      </w:r>
      <w:r>
        <w:rPr>
          <w:rFonts w:hint="cs"/>
          <w:rtl/>
        </w:rPr>
        <w:t>.</w:t>
      </w:r>
      <w:r w:rsidRPr="000211C2">
        <w:rPr>
          <w:rtl/>
        </w:rPr>
        <w:t xml:space="preserve"> והשתא מייתי ראיה מחכמים</w:t>
      </w:r>
      <w:r>
        <w:rPr>
          <w:rFonts w:hint="cs"/>
          <w:rtl/>
        </w:rPr>
        <w:t>,</w:t>
      </w:r>
      <w:r w:rsidRPr="000211C2">
        <w:rPr>
          <w:rtl/>
        </w:rPr>
        <w:t xml:space="preserve"> והא דאמר יתר משתות בטל המקח לא אמרן אלא במטלטלי אבל במקרקעי כו' והשתא ניחא שפיר זבין שוה מאה במאתן</w:t>
      </w:r>
      <w:r w:rsidRPr="000211C2">
        <w:rPr>
          <w:rFonts w:hint="cs"/>
          <w:rtl/>
        </w:rPr>
        <w:t>".</w:t>
      </w:r>
    </w:p>
    <w:p w:rsidR="00D10A19" w:rsidRPr="000211C2" w:rsidRDefault="00D10A19" w:rsidP="00F146A6">
      <w:pPr>
        <w:pStyle w:val="11"/>
        <w:bidi/>
        <w:rPr>
          <w:rtl/>
        </w:rPr>
      </w:pPr>
      <w:r>
        <w:rPr>
          <w:rFonts w:hint="cs"/>
          <w:rtl/>
        </w:rPr>
        <w:t>ב</w:t>
      </w:r>
    </w:p>
    <w:p w:rsidR="00D10A19" w:rsidRPr="000211C2" w:rsidRDefault="00D10A19" w:rsidP="00F146A6">
      <w:pPr>
        <w:pStyle w:val="a3"/>
        <w:rPr>
          <w:rtl/>
        </w:rPr>
      </w:pPr>
      <w:r w:rsidRPr="000211C2">
        <w:rPr>
          <w:rFonts w:hint="cs"/>
          <w:rtl/>
        </w:rPr>
        <w:t>והנה  בהמשך לזה הקשו התוס': "</w:t>
      </w:r>
      <w:r w:rsidRPr="000211C2">
        <w:rPr>
          <w:rtl/>
        </w:rPr>
        <w:t xml:space="preserve">מיהו קשה דמשמע הכא לפי' </w:t>
      </w:r>
      <w:r w:rsidRPr="000211C2">
        <w:rPr>
          <w:b/>
          <w:bCs/>
          <w:rtl/>
        </w:rPr>
        <w:t>רבינו תם</w:t>
      </w:r>
      <w:r w:rsidRPr="000211C2">
        <w:rPr>
          <w:rtl/>
        </w:rPr>
        <w:t xml:space="preserve"> דבקרקעות לא שייך ביטול מקח אליבא דרב נחמן ובפרק הזהב (ב"מ דף נז.) אמר ר"נ הדר אמר רב חסדא </w:t>
      </w:r>
      <w:r w:rsidRPr="000211C2">
        <w:rPr>
          <w:rFonts w:hint="cs"/>
          <w:rtl/>
        </w:rPr>
        <w:t xml:space="preserve">(צ"ל חסא) </w:t>
      </w:r>
      <w:r w:rsidRPr="000211C2">
        <w:rPr>
          <w:rtl/>
        </w:rPr>
        <w:t>אונאה אין להם ביטול מקח יש להם</w:t>
      </w:r>
      <w:r w:rsidRPr="000211C2">
        <w:rPr>
          <w:rFonts w:hint="cs"/>
          <w:rtl/>
        </w:rPr>
        <w:t xml:space="preserve">". </w:t>
      </w:r>
    </w:p>
    <w:p w:rsidR="00D10A19" w:rsidRPr="000211C2" w:rsidRDefault="00D10A19" w:rsidP="00F146A6">
      <w:pPr>
        <w:pStyle w:val="a3"/>
        <w:rPr>
          <w:rtl/>
        </w:rPr>
      </w:pPr>
      <w:r w:rsidRPr="000211C2">
        <w:rPr>
          <w:rFonts w:hint="cs"/>
          <w:rtl/>
        </w:rPr>
        <w:t>ותמוה</w:t>
      </w:r>
      <w:r>
        <w:rPr>
          <w:rFonts w:hint="cs"/>
          <w:rtl/>
        </w:rPr>
        <w:t>,</w:t>
      </w:r>
      <w:r w:rsidRPr="000211C2">
        <w:rPr>
          <w:rFonts w:hint="cs"/>
          <w:rtl/>
        </w:rPr>
        <w:t xml:space="preserve"> מדוע הקושיא היא לרבינו תם דווקא, והלא גם לולי דברי ר"ת איכא סתירה מדרב נחמן דפרק המקבל דאמר גבי זבין מאה במאתן דאין להם אונאה, אדר"נ בפרק הזהב שאמר בשם רב חסא ד"ביטול מקח יש להם". והרי כל מה שר"ת פירש כן הכא הוא משום דברי רב נחמן בפרק המקבל, ומדוע תלו הקושיא בפירוש רבינו תם. </w:t>
      </w:r>
    </w:p>
    <w:p w:rsidR="00D10A19" w:rsidRDefault="00D10A19" w:rsidP="00F146A6">
      <w:pPr>
        <w:pStyle w:val="a3"/>
        <w:rPr>
          <w:rtl/>
        </w:rPr>
      </w:pPr>
      <w:r w:rsidRPr="000211C2">
        <w:rPr>
          <w:rFonts w:hint="cs"/>
          <w:rtl/>
        </w:rPr>
        <w:t>וכבר עמד על קושיא זו השער המלך בפי"ג מהלכות מכירה ה"ח וז"ל: "</w:t>
      </w:r>
      <w:r w:rsidRPr="000211C2">
        <w:rPr>
          <w:rtl/>
        </w:rPr>
        <w:t xml:space="preserve">דבריהם צריכים ביאור דקושיא זו תקשי להו בפשיטות ואף לפי גירסת רש"י ז"ל מדר"נ אדר"נ דאמר בפרק המקבל ב"מ ק"ח ע"א אפילו זבן שוה מאה במאתן וכו' </w:t>
      </w:r>
      <w:r w:rsidRPr="000211C2">
        <w:rPr>
          <w:b/>
          <w:bCs/>
          <w:rtl/>
        </w:rPr>
        <w:t>וכן הקשו בפ</w:t>
      </w:r>
      <w:r w:rsidRPr="000211C2">
        <w:rPr>
          <w:rFonts w:hint="cs"/>
          <w:b/>
          <w:bCs/>
          <w:rtl/>
        </w:rPr>
        <w:t>ר</w:t>
      </w:r>
      <w:r w:rsidRPr="000211C2">
        <w:rPr>
          <w:b/>
          <w:bCs/>
          <w:rtl/>
        </w:rPr>
        <w:t>ק הזהב דף נ"ז ע"א ד"ה אמר בפשיטות מדר"נ אדר"נ</w:t>
      </w:r>
      <w:r w:rsidRPr="000211C2">
        <w:rPr>
          <w:rtl/>
        </w:rPr>
        <w:t xml:space="preserve"> ובדוחק יש ליישב </w:t>
      </w:r>
      <w:r w:rsidRPr="000211C2">
        <w:rPr>
          <w:rFonts w:hint="cs"/>
          <w:rtl/>
        </w:rPr>
        <w:t>וכו'" עיי"ש</w:t>
      </w:r>
      <w:r>
        <w:rPr>
          <w:rFonts w:hint="cs"/>
          <w:rtl/>
        </w:rPr>
        <w:t>.</w:t>
      </w:r>
    </w:p>
    <w:p w:rsidR="00D10A19" w:rsidRPr="000211C2" w:rsidRDefault="00D10A19" w:rsidP="00F146A6">
      <w:pPr>
        <w:pStyle w:val="11"/>
        <w:bidi/>
        <w:rPr>
          <w:rtl/>
        </w:rPr>
      </w:pPr>
      <w:r>
        <w:rPr>
          <w:rFonts w:hint="cs"/>
          <w:rtl/>
        </w:rPr>
        <w:lastRenderedPageBreak/>
        <w:t>ג</w:t>
      </w:r>
    </w:p>
    <w:p w:rsidR="00D10A19" w:rsidRPr="000211C2" w:rsidRDefault="00D10A19" w:rsidP="00F146A6">
      <w:pPr>
        <w:pStyle w:val="a3"/>
        <w:rPr>
          <w:rtl/>
        </w:rPr>
      </w:pPr>
      <w:r w:rsidRPr="000211C2">
        <w:rPr>
          <w:rFonts w:hint="cs"/>
          <w:rtl/>
        </w:rPr>
        <w:t xml:space="preserve">ואולי יש לומר בכוונתם, דהנה ר"ת הקשה על רש"י ג' קושיות כנ"ל, והנה קושיא הג' דאיך הביא רבא ראיה ל"יותר משתות" מהמשנה דשום הדיינים שאיירי ב"שתות" הנה כבר כתב המהרש"א שאין זה כל כך קושיא, כיון דסוף סוף רשב"ג ס"ל כן גם כשטעו ביותר משתות. ומפורש כן בברייתא בכתובות ק ע"ב </w:t>
      </w:r>
      <w:bookmarkStart w:id="133" w:name="דף_ק"/>
      <w:r w:rsidRPr="000211C2">
        <w:rPr>
          <w:rFonts w:hint="cs"/>
          <w:rtl/>
        </w:rPr>
        <w:t>"</w:t>
      </w:r>
      <w:r w:rsidRPr="000211C2">
        <w:rPr>
          <w:rtl/>
        </w:rPr>
        <w:t>תניא נמי הכי אמר רשב"ג ב"ד שמכרו שוה מאתים במנה או שוה מנה במאתים מכרן קיים</w:t>
      </w:r>
      <w:bookmarkEnd w:id="133"/>
      <w:r w:rsidRPr="000211C2">
        <w:rPr>
          <w:rFonts w:hint="cs"/>
          <w:rtl/>
        </w:rPr>
        <w:t xml:space="preserve">" וכדהעיר כאן הקרני ראם. וכתב המהרש"א שמשום כך לא הקשו התוס' בכתובות קושיא זו. </w:t>
      </w:r>
    </w:p>
    <w:p w:rsidR="00D10A19" w:rsidRPr="000211C2" w:rsidRDefault="00D10A19" w:rsidP="00F146A6">
      <w:pPr>
        <w:pStyle w:val="a3"/>
        <w:rPr>
          <w:rtl/>
        </w:rPr>
      </w:pPr>
      <w:r w:rsidRPr="000211C2">
        <w:rPr>
          <w:rFonts w:hint="cs"/>
          <w:rtl/>
        </w:rPr>
        <w:t xml:space="preserve">נמצא דהעיקר מה שהוקשה לר"ת הוא שלרש"י רבא חולק על רב נחמן </w:t>
      </w:r>
      <w:r w:rsidRPr="000211C2">
        <w:rPr>
          <w:rFonts w:hint="cs"/>
          <w:b/>
          <w:bCs/>
          <w:rtl/>
        </w:rPr>
        <w:t>רבו,</w:t>
      </w:r>
      <w:r w:rsidRPr="000211C2">
        <w:rPr>
          <w:rFonts w:hint="cs"/>
          <w:rtl/>
        </w:rPr>
        <w:t xml:space="preserve"> וכן הקושיא מהא דרב נחמן דפרק המקבל גבי דזבין מאה במאתן, שס"ל שאין לקרקע אף ביטול מקח. והנה גם קושיא זו לכאורה מבוססת על ההנחה דלא מסתבר שרבא יחלוק על רב נחמן, דאל"כ מה זה שהקשו על רבא מדברי רב נחמן. נמצא דב' הקושיות הא' והב' יסודם אחד. ורש"י דכתב להדיא דלית ליה לרבא הא דרב נחמן שאמר שהלכה כחכמים, יש לומר דגם גבי הא דאין אונאה לקרקעות יפרש דרבא לא ס"ל כרב נחמן דגם ביותר משתות אין אונאה.</w:t>
      </w:r>
    </w:p>
    <w:p w:rsidR="00D10A19" w:rsidRPr="000211C2" w:rsidRDefault="00D10A19" w:rsidP="00F146A6">
      <w:pPr>
        <w:pStyle w:val="a3"/>
        <w:rPr>
          <w:rtl/>
        </w:rPr>
      </w:pPr>
      <w:r w:rsidRPr="000211C2">
        <w:rPr>
          <w:rFonts w:hint="cs"/>
          <w:rtl/>
        </w:rPr>
        <w:t>היוצא מזה דנקודת המחלוקת היא</w:t>
      </w:r>
      <w:r>
        <w:rPr>
          <w:rFonts w:hint="cs"/>
          <w:rtl/>
        </w:rPr>
        <w:t>,</w:t>
      </w:r>
      <w:r w:rsidRPr="000211C2">
        <w:rPr>
          <w:rFonts w:hint="cs"/>
          <w:rtl/>
        </w:rPr>
        <w:t xml:space="preserve"> אם שייך שיחלוק רבא על רב נחמן, ויש לומר שזהו גם הטעם שנחלק ר"ת עם הרשב"ם בתוד"ה אבל שויה שליח שהקשו שם התוס' </w:t>
      </w:r>
      <w:bookmarkStart w:id="134" w:name="דף_מב_ב"/>
      <w:r w:rsidRPr="000211C2">
        <w:rPr>
          <w:rFonts w:hint="cs"/>
          <w:rtl/>
        </w:rPr>
        <w:t>ד</w:t>
      </w:r>
      <w:r w:rsidRPr="000211C2">
        <w:rPr>
          <w:rtl/>
        </w:rPr>
        <w:t xml:space="preserve">הא </w:t>
      </w:r>
      <w:r w:rsidRPr="000211C2">
        <w:rPr>
          <w:rFonts w:hint="cs"/>
          <w:rtl/>
        </w:rPr>
        <w:t>בכתובות אמרו "</w:t>
      </w:r>
      <w:r w:rsidRPr="000211C2">
        <w:rPr>
          <w:rtl/>
        </w:rPr>
        <w:t>שליח כמאן רבא אמר רב נחמן שליח כדיינין</w:t>
      </w:r>
      <w:r w:rsidRPr="000211C2">
        <w:rPr>
          <w:rFonts w:hint="cs"/>
          <w:rtl/>
        </w:rPr>
        <w:t>"</w:t>
      </w:r>
      <w:r w:rsidRPr="000211C2">
        <w:rPr>
          <w:rtl/>
        </w:rPr>
        <w:t xml:space="preserve"> </w:t>
      </w:r>
      <w:r w:rsidRPr="000211C2">
        <w:rPr>
          <w:rFonts w:hint="cs"/>
          <w:rtl/>
        </w:rPr>
        <w:t>ו</w:t>
      </w:r>
      <w:r w:rsidRPr="000211C2">
        <w:rPr>
          <w:rtl/>
        </w:rPr>
        <w:t xml:space="preserve">משמע דפחות משתות המקח קיים כדיינים </w:t>
      </w:r>
      <w:r w:rsidRPr="000211C2">
        <w:rPr>
          <w:rFonts w:hint="cs"/>
          <w:rtl/>
        </w:rPr>
        <w:t>"</w:t>
      </w:r>
      <w:r w:rsidRPr="000211C2">
        <w:rPr>
          <w:rtl/>
        </w:rPr>
        <w:t>ורבא גופיה קאמר הכא דאי שוויה שליח מצי א"ל לתקוני שדרתיך כו' משמע דהמקח בטל אף בפחות משתות</w:t>
      </w:r>
      <w:r w:rsidRPr="000211C2">
        <w:rPr>
          <w:rFonts w:hint="cs"/>
          <w:rtl/>
        </w:rPr>
        <w:t xml:space="preserve"> </w:t>
      </w:r>
      <w:r w:rsidRPr="000211C2">
        <w:rPr>
          <w:rFonts w:hint="cs"/>
          <w:b/>
          <w:bCs/>
          <w:rtl/>
        </w:rPr>
        <w:t>ותירץ</w:t>
      </w:r>
      <w:r w:rsidRPr="000211C2">
        <w:rPr>
          <w:b/>
          <w:bCs/>
          <w:rtl/>
        </w:rPr>
        <w:t xml:space="preserve"> רשב"ם דהתם רבא משום דרב נחמן קאמר וליה לא ס"ל והכא משמיה דנפשיה</w:t>
      </w:r>
      <w:bookmarkEnd w:id="134"/>
      <w:r w:rsidRPr="000211C2">
        <w:rPr>
          <w:rFonts w:hint="cs"/>
          <w:rtl/>
        </w:rPr>
        <w:t>". אולם ר"ת תירץ באופנים אחרים, דבאופן הא' פירש דשם לא איירי בסתם שליח, אלא בשליח ב"ד. ובתירוץ השני פירש דכן מדובר בשליח סתם, אלא שצריך לפרש כאן שגם בשויה שליח המקח קיים אך צריך להחזיר ההונאה. דיש לומר דהא דלא ניחא לר"ת בתירוץ הרשב"ם דהוא לשיטתו דאין לומר דלא ס"ל לרבא כוותיה דרב נחמן. ושיטת רש"י היא לכאורה כתירוץ הרשב"ם.</w:t>
      </w:r>
      <w:bookmarkStart w:id="135" w:name="דף_ק_א"/>
      <w:r w:rsidRPr="000211C2">
        <w:rPr>
          <w:rFonts w:hint="cs"/>
          <w:rtl/>
        </w:rPr>
        <w:t xml:space="preserve"> וכן משמע בכתובות שם בתוד"ה אמר רבא אמא ר"נ. עיי"ש.</w:t>
      </w:r>
    </w:p>
    <w:bookmarkEnd w:id="135"/>
    <w:p w:rsidR="00D10A19" w:rsidRDefault="00D10A19" w:rsidP="00F146A6">
      <w:pPr>
        <w:pStyle w:val="a3"/>
        <w:rPr>
          <w:rtl/>
        </w:rPr>
      </w:pPr>
      <w:r w:rsidRPr="000211C2">
        <w:rPr>
          <w:rFonts w:hint="cs"/>
          <w:rtl/>
        </w:rPr>
        <w:t xml:space="preserve">ואולי יש לומר דבאמת רשב"ם בדחייתו נסתייע בדברי רש"י הנ"ל דכתב בהדיא דיש להעמיד את דברי רבא דלא ס"ל כרב נחמן בנוגע למחלוקת רשב"ג וחכמים. ומזה הבין הרשב"ם דלרש"י אין זה דוחק לומר דרבא פליג על רב נחמן רבו. </w:t>
      </w:r>
    </w:p>
    <w:p w:rsidR="00D10A19" w:rsidRPr="000211C2" w:rsidRDefault="00D10A19" w:rsidP="00F146A6">
      <w:pPr>
        <w:pStyle w:val="11"/>
        <w:bidi/>
        <w:rPr>
          <w:rtl/>
        </w:rPr>
      </w:pPr>
      <w:r>
        <w:rPr>
          <w:rFonts w:hint="cs"/>
          <w:rtl/>
        </w:rPr>
        <w:t>ד</w:t>
      </w:r>
    </w:p>
    <w:p w:rsidR="00D10A19" w:rsidRPr="000211C2" w:rsidRDefault="00D10A19" w:rsidP="00F146A6">
      <w:pPr>
        <w:pStyle w:val="a3"/>
        <w:rPr>
          <w:rtl/>
        </w:rPr>
      </w:pPr>
      <w:r w:rsidRPr="000211C2">
        <w:rPr>
          <w:rFonts w:hint="cs"/>
          <w:rtl/>
        </w:rPr>
        <w:t>והנה לפי זה יש לומר דלזה נתכוונו התוס' במה שתלו הקושיא מדרב נחמן דפרק המקבל אדרב נחמן דפרק הזהב שאמר משמיה דרב חסא, דביטול מקח איכא בקרקע. דלכאורה היה אפשר ליישב דרב נחמן לא ס"ל כרב חסא. (וע"ד שכתב הרשב"ם דאף שרבא אמר בשם ר"נ דשליח כדיינים, הוא עצמו לא ס"ל</w:t>
      </w:r>
      <w:r>
        <w:rPr>
          <w:rFonts w:hint="cs"/>
          <w:rtl/>
        </w:rPr>
        <w:t xml:space="preserve"> כן</w:t>
      </w:r>
      <w:r w:rsidRPr="000211C2">
        <w:rPr>
          <w:rFonts w:hint="cs"/>
          <w:rtl/>
        </w:rPr>
        <w:t xml:space="preserve">) אבל לרבינו תם דס"ל </w:t>
      </w:r>
      <w:r w:rsidRPr="000211C2">
        <w:rPr>
          <w:rFonts w:hint="cs"/>
          <w:rtl/>
        </w:rPr>
        <w:lastRenderedPageBreak/>
        <w:t>דאין להעמיד דלא יסבור התלמיד כרבו. הנה דווקא לפי' יקשה דא"כ נמצא דברי ר"נ סתרי אהדדי.</w:t>
      </w:r>
    </w:p>
    <w:p w:rsidR="00D10A19" w:rsidRPr="000211C2" w:rsidRDefault="00D10A19" w:rsidP="00F146A6">
      <w:pPr>
        <w:pStyle w:val="a3"/>
        <w:rPr>
          <w:rtl/>
        </w:rPr>
      </w:pPr>
      <w:r w:rsidRPr="000211C2">
        <w:rPr>
          <w:rFonts w:hint="cs"/>
          <w:rtl/>
        </w:rPr>
        <w:t>ואף שבלשון התוס' קצת דחוק להעמיס כוונה זו, שכתבו "ד</w:t>
      </w:r>
      <w:r w:rsidRPr="000211C2">
        <w:rPr>
          <w:rtl/>
        </w:rPr>
        <w:t>משמע הכא לפי' רבינו תם דבקרקעות לא שייך ביטול מקח</w:t>
      </w:r>
      <w:r w:rsidRPr="000211C2">
        <w:rPr>
          <w:rFonts w:hint="cs"/>
          <w:rtl/>
        </w:rPr>
        <w:t xml:space="preserve">" ומשמע דהא דהקשו דווקא לר"ת הוא משום שלפירושו בקרקעות לא שייך ביטול מקח, והלא זה הוא מה שאמר רב נחמן בפרק המקבל, ושם הרי לא אמר זאת בשם אחרים, ולהנ"ל הרי הסיבה שקשה לר"ת דווקא הוא (לא משם הא דפרק התקבל, אלא) משום הא דהזהב שאמר כן בשם רב חסא. </w:t>
      </w:r>
    </w:p>
    <w:p w:rsidR="00D10A19" w:rsidRPr="000211C2" w:rsidRDefault="00D10A19" w:rsidP="00F146A6">
      <w:pPr>
        <w:pStyle w:val="a3"/>
        <w:rPr>
          <w:rtl/>
        </w:rPr>
      </w:pPr>
      <w:r w:rsidRPr="000211C2">
        <w:rPr>
          <w:rFonts w:hint="cs"/>
          <w:rtl/>
        </w:rPr>
        <w:t>אולם יש כן להביא ראיה לזה</w:t>
      </w:r>
      <w:r>
        <w:rPr>
          <w:rFonts w:hint="cs"/>
          <w:rtl/>
        </w:rPr>
        <w:t>,</w:t>
      </w:r>
      <w:r w:rsidRPr="000211C2">
        <w:rPr>
          <w:rFonts w:hint="cs"/>
          <w:rtl/>
        </w:rPr>
        <w:t xml:space="preserve"> מלשון התוס' בפרק הזהב (נז. ד"ה אמר רב נחמן) דהשער המלך כתב שהתוס' שם הקשה מדרב נח מן אדר"נ בלא לתלות זאת בשיטת ר"ת, אולם יעויין שם בדבריהם דלפני שהקשו קושיא הנ"ל הקדימו לכתוב: </w:t>
      </w:r>
      <w:r w:rsidRPr="000211C2">
        <w:rPr>
          <w:rFonts w:hint="cs"/>
          <w:b/>
          <w:bCs/>
          <w:rtl/>
        </w:rPr>
        <w:t>"</w:t>
      </w:r>
      <w:bookmarkStart w:id="136" w:name="דף_נז_א"/>
      <w:r w:rsidRPr="000211C2">
        <w:rPr>
          <w:b/>
          <w:bCs/>
          <w:rtl/>
        </w:rPr>
        <w:t xml:space="preserve">משמע דרב נחמן לא פליג ארב חסא רבו וקשה לר"ת </w:t>
      </w:r>
      <w:bookmarkEnd w:id="136"/>
      <w:r w:rsidRPr="000211C2">
        <w:rPr>
          <w:rFonts w:hint="cs"/>
          <w:b/>
          <w:bCs/>
          <w:rtl/>
        </w:rPr>
        <w:t xml:space="preserve">וכו'". </w:t>
      </w:r>
      <w:r w:rsidRPr="000211C2">
        <w:rPr>
          <w:rFonts w:hint="cs"/>
          <w:rtl/>
        </w:rPr>
        <w:t xml:space="preserve">הרי שכתבו שהיה רב חסא רבו של רב נחמן, </w:t>
      </w:r>
      <w:r w:rsidRPr="000211C2">
        <w:rPr>
          <w:rFonts w:hint="cs"/>
          <w:b/>
          <w:bCs/>
          <w:rtl/>
        </w:rPr>
        <w:t xml:space="preserve">ולכן </w:t>
      </w:r>
      <w:r w:rsidRPr="000211C2">
        <w:rPr>
          <w:rFonts w:hint="cs"/>
          <w:rtl/>
        </w:rPr>
        <w:t xml:space="preserve">הבינו שכן ס"ל גם לרב נחמן עצמו ומשום כך "וקשה </w:t>
      </w:r>
      <w:r w:rsidRPr="000211C2">
        <w:rPr>
          <w:rFonts w:hint="cs"/>
          <w:b/>
          <w:bCs/>
          <w:rtl/>
        </w:rPr>
        <w:t xml:space="preserve">לר"ת וכו'". </w:t>
      </w:r>
      <w:r w:rsidRPr="000211C2">
        <w:rPr>
          <w:rFonts w:hint="cs"/>
          <w:rtl/>
        </w:rPr>
        <w:t>וזה ראיה למש"כ.</w:t>
      </w:r>
    </w:p>
    <w:p w:rsidR="00D10A19" w:rsidRPr="000211C2" w:rsidRDefault="00D10A19" w:rsidP="00F146A6">
      <w:pPr>
        <w:pStyle w:val="a3"/>
        <w:rPr>
          <w:rtl/>
        </w:rPr>
      </w:pPr>
      <w:r>
        <w:rPr>
          <w:rFonts w:hint="cs"/>
          <w:rtl/>
        </w:rPr>
        <w:t>[</w:t>
      </w:r>
      <w:r w:rsidRPr="000211C2">
        <w:rPr>
          <w:rFonts w:hint="cs"/>
          <w:rtl/>
        </w:rPr>
        <w:t>והנה בעיקר שיטתו של ר"ת שדוחק להעמיד שיחלוק התלמיד עם הרב, יש להעיר שהרי מצינו כו"כ פעמים שחלק רבא עם רב נחמן. וכן דמדברי רב נחמן לעיל גבי יתומים שבאו לחלוק, דאמר ר"נ בשם שמואל שאם הגדילו יכולים למחות "</w:t>
      </w:r>
      <w:r w:rsidRPr="000211C2">
        <w:rPr>
          <w:rFonts w:hint="cs"/>
          <w:b/>
          <w:bCs/>
          <w:rtl/>
        </w:rPr>
        <w:t>ור"נ גופיה</w:t>
      </w:r>
      <w:r w:rsidRPr="000211C2">
        <w:rPr>
          <w:rFonts w:hint="cs"/>
          <w:rtl/>
        </w:rPr>
        <w:t xml:space="preserve"> סבר אם הגדילו אין יכולים למחות" חזינן שרב נחמן לא ס"ל כשמואל רבו.</w:t>
      </w:r>
    </w:p>
    <w:p w:rsidR="00D10A19" w:rsidRPr="000211C2" w:rsidRDefault="00D10A19" w:rsidP="00F146A6">
      <w:pPr>
        <w:pStyle w:val="a3"/>
      </w:pPr>
      <w:r>
        <w:rPr>
          <w:rFonts w:hint="cs"/>
          <w:rtl/>
        </w:rPr>
        <w:t xml:space="preserve">ולהעיר </w:t>
      </w:r>
      <w:r w:rsidRPr="000211C2">
        <w:rPr>
          <w:rFonts w:hint="cs"/>
          <w:rtl/>
        </w:rPr>
        <w:t>מש"כ בתשובות הרא"ש</w:t>
      </w:r>
      <w:r w:rsidRPr="000211C2">
        <w:rPr>
          <w:rtl/>
        </w:rPr>
        <w:t xml:space="preserve"> כלל נ"ה דין ט' וז"ל </w:t>
      </w:r>
      <w:r w:rsidRPr="000211C2">
        <w:rPr>
          <w:rFonts w:hint="cs"/>
          <w:rtl/>
        </w:rPr>
        <w:t>"</w:t>
      </w:r>
      <w:r w:rsidRPr="000211C2">
        <w:rPr>
          <w:b/>
          <w:bCs/>
          <w:rtl/>
        </w:rPr>
        <w:t xml:space="preserve">מי לנו גדול כרש"י ז"ל </w:t>
      </w:r>
      <w:r w:rsidRPr="000211C2">
        <w:rPr>
          <w:rtl/>
        </w:rPr>
        <w:t xml:space="preserve">שהאיר עיני הגולה בפירושו ונחלקו עליו בהרבה מקומות יוצאי ירכו </w:t>
      </w:r>
      <w:r w:rsidRPr="000211C2">
        <w:rPr>
          <w:b/>
          <w:bCs/>
          <w:rtl/>
        </w:rPr>
        <w:t xml:space="preserve">ר"ת </w:t>
      </w:r>
      <w:r w:rsidRPr="000211C2">
        <w:rPr>
          <w:rtl/>
        </w:rPr>
        <w:t>ור"י ז"ל וסתרו דבריו כי תורת אמת היא ואין מחניפין לשום אדם</w:t>
      </w:r>
      <w:r w:rsidRPr="000211C2">
        <w:rPr>
          <w:rFonts w:hint="cs"/>
          <w:rtl/>
        </w:rPr>
        <w:t xml:space="preserve">" </w:t>
      </w:r>
      <w:r w:rsidRPr="000211C2">
        <w:rPr>
          <w:rtl/>
        </w:rPr>
        <w:t>עכ"ל</w:t>
      </w:r>
      <w:r w:rsidRPr="000211C2">
        <w:rPr>
          <w:rFonts w:hint="cs"/>
          <w:rtl/>
        </w:rPr>
        <w:t>.</w:t>
      </w:r>
      <w:r>
        <w:rPr>
          <w:rFonts w:hint="cs"/>
          <w:rtl/>
        </w:rPr>
        <w:t xml:space="preserve"> </w:t>
      </w:r>
      <w:r w:rsidRPr="000211C2">
        <w:rPr>
          <w:rFonts w:hint="cs"/>
          <w:rtl/>
        </w:rPr>
        <w:t>ויפלא שדווקא ר"ת ס"ל שאין לומר כן</w:t>
      </w:r>
      <w:r>
        <w:rPr>
          <w:rFonts w:hint="cs"/>
          <w:rtl/>
        </w:rPr>
        <w:t>]</w:t>
      </w:r>
      <w:r w:rsidRPr="000211C2">
        <w:rPr>
          <w:rFonts w:hint="cs"/>
          <w:rtl/>
        </w:rPr>
        <w:t xml:space="preserve">. </w:t>
      </w:r>
    </w:p>
    <w:p w:rsidR="00D10A19" w:rsidRDefault="00364372" w:rsidP="00D10A19">
      <w:pPr>
        <w:tabs>
          <w:tab w:val="left" w:pos="2171"/>
          <w:tab w:val="center" w:pos="3096"/>
        </w:tabs>
        <w:bidi/>
        <w:spacing w:after="100" w:line="360" w:lineRule="auto"/>
        <w:ind w:firstLine="288"/>
        <w:jc w:val="center"/>
        <w:rPr>
          <w:rFonts w:ascii="Nymphette" w:eastAsia="Times New Roman" w:hAnsi="Nymphette" w:cs="Cambria"/>
          <w:sz w:val="44"/>
          <w:szCs w:val="44"/>
          <w:rtl/>
        </w:rPr>
      </w:pPr>
      <w:r w:rsidRPr="000836F8">
        <w:rPr>
          <w:rFonts w:ascii="Nymphette" w:eastAsia="Times New Roman" w:hAnsi="Nymphette" w:cs="Nymphette"/>
          <w:sz w:val="44"/>
          <w:szCs w:val="44"/>
        </w:rPr>
        <w:t>g</w:t>
      </w:r>
    </w:p>
    <w:p w:rsidR="00D10A19" w:rsidRDefault="00D10A19" w:rsidP="00D10A19">
      <w:pPr>
        <w:pStyle w:val="a0"/>
        <w:rPr>
          <w:rtl/>
        </w:rPr>
      </w:pPr>
      <w:bookmarkStart w:id="137" w:name="_Toc43963106"/>
      <w:r w:rsidRPr="003A6822">
        <w:rPr>
          <w:rtl/>
        </w:rPr>
        <w:t>קטנים לאו בני שליחות נינהו</w:t>
      </w:r>
      <w:bookmarkEnd w:id="137"/>
    </w:p>
    <w:p w:rsidR="00D10A19" w:rsidRDefault="00D10A19" w:rsidP="00F146A6">
      <w:pPr>
        <w:pStyle w:val="a"/>
        <w:rPr>
          <w:rtl/>
        </w:rPr>
      </w:pPr>
      <w:bookmarkStart w:id="138" w:name="_Toc43963107"/>
      <w:r>
        <w:rPr>
          <w:rFonts w:hint="cs"/>
          <w:rtl/>
        </w:rPr>
        <w:t>הרב לוי שטרן</w:t>
      </w:r>
      <w:bookmarkEnd w:id="138"/>
    </w:p>
    <w:p w:rsidR="00D10A19" w:rsidRPr="003A6822" w:rsidRDefault="00D10A19" w:rsidP="00D10A19">
      <w:pPr>
        <w:pStyle w:val="a1"/>
        <w:rPr>
          <w:rtl/>
        </w:rPr>
      </w:pPr>
      <w:r>
        <w:rPr>
          <w:rFonts w:hint="cs"/>
          <w:rtl/>
        </w:rPr>
        <w:t>ר"מ ושואל ומשיב במתיבתא ליובאוויטש ד'שיקאגו</w:t>
      </w:r>
    </w:p>
    <w:p w:rsidR="00D10A19" w:rsidRPr="003A6822" w:rsidRDefault="00D10A19" w:rsidP="00F146A6">
      <w:pPr>
        <w:pStyle w:val="a3"/>
        <w:rPr>
          <w:rtl/>
        </w:rPr>
      </w:pPr>
      <w:r w:rsidRPr="003A6822">
        <w:rPr>
          <w:rtl/>
        </w:rPr>
        <w:t>א. איתא במסכת קידושין (מב,א): ... אמר רב גידל אמר רב: מנין ששלוחו של אדם כמותו? שנאמר: ונשיא אחד נשיא אחד ממטה ... מקשה הגמ': ותיסברא דהא שליחות הוא? והא קטנים לאו בני שליחות נינהו!</w:t>
      </w:r>
    </w:p>
    <w:p w:rsidR="00D10A19" w:rsidRPr="003A6822" w:rsidRDefault="00D10A19" w:rsidP="00F146A6">
      <w:pPr>
        <w:pStyle w:val="a3"/>
        <w:rPr>
          <w:rtl/>
        </w:rPr>
      </w:pPr>
      <w:r w:rsidRPr="003A6822">
        <w:rPr>
          <w:rtl/>
        </w:rPr>
        <w:t xml:space="preserve">ומבאר רש"י (בד"ה והא) את קושיית הגמ' והטעם להא דקטנים לאו בני שליחות נינהו, וכותב: והא הוו נמי קטנים – בנוחלי הארץ. וכי הזוכים להם בתורת שלוחין </w:t>
      </w:r>
      <w:r w:rsidRPr="003A6822">
        <w:rPr>
          <w:rtl/>
        </w:rPr>
        <w:lastRenderedPageBreak/>
        <w:t>באו? והלא אין שליחות לקטן! דגבי ושלח ושלחה: איש כתיב (דברים כד) – כי יקח איש, ומינה ילפינן (בב"מ דף עא:) דאין הקטן עושה שליח.</w:t>
      </w:r>
    </w:p>
    <w:p w:rsidR="00D10A19" w:rsidRPr="003A6822" w:rsidRDefault="00D10A19" w:rsidP="00F146A6">
      <w:pPr>
        <w:pStyle w:val="a3"/>
        <w:rPr>
          <w:rtl/>
        </w:rPr>
      </w:pPr>
      <w:r w:rsidRPr="003A6822">
        <w:rPr>
          <w:rtl/>
        </w:rPr>
        <w:t>והנה במסכת גיטין (כג,א) כתב רש"י (בד"ה דלאו בני דעה נינהו) טעם אחר לדין זה דקטנים לאו בני שליחות נינהו, וז"ל: וגבי שליחות איש בעינן ולא קטן דשליחות נפקא לן (בקדושין מב,א) מויקחו להם איש שה לבית אבות אחד לוקח לכולן.</w:t>
      </w:r>
    </w:p>
    <w:p w:rsidR="00D10A19" w:rsidRPr="003A6822" w:rsidRDefault="00D10A19" w:rsidP="00F146A6">
      <w:pPr>
        <w:pStyle w:val="a3"/>
        <w:rPr>
          <w:rtl/>
        </w:rPr>
      </w:pPr>
      <w:r w:rsidRPr="003A6822">
        <w:rPr>
          <w:rtl/>
        </w:rPr>
        <w:t>ויש לעיין מדוע שינה רש"י את מקור הדין דאין שליחות לקטן.</w:t>
      </w:r>
    </w:p>
    <w:p w:rsidR="00D10A19" w:rsidRPr="003A6822" w:rsidRDefault="00D10A19" w:rsidP="00F146A6">
      <w:pPr>
        <w:pStyle w:val="a3"/>
        <w:rPr>
          <w:rtl/>
        </w:rPr>
      </w:pPr>
      <w:r w:rsidRPr="003A6822">
        <w:rPr>
          <w:rtl/>
        </w:rPr>
        <w:t xml:space="preserve">ובאמת י"ל: דרש"י נקט בכל מקום מיעוטי דקרא דקטנים לאו בני שליחות נינהו, בהתאם להענין המדובר בסוגיא ההיא; דבגיטין המדובר שאין הקטן יכול </w:t>
      </w:r>
      <w:r w:rsidRPr="003A6822">
        <w:rPr>
          <w:b/>
          <w:bCs/>
          <w:rtl/>
        </w:rPr>
        <w:t>להתמנות ולהיעשות</w:t>
      </w:r>
      <w:r w:rsidRPr="003A6822">
        <w:rPr>
          <w:rtl/>
        </w:rPr>
        <w:t xml:space="preserve"> שליח, להכי נקט הפסוק ויקחו להם איש שה לבית אבות, דמינה משמע שרק גדול יכול להתמנות ולהיעשות שליח, אמנם בסוגיין המדובר שקטנים אינם יכולים </w:t>
      </w:r>
      <w:r w:rsidRPr="003A6822">
        <w:rPr>
          <w:b/>
          <w:bCs/>
          <w:rtl/>
        </w:rPr>
        <w:t>למנות ולעשות</w:t>
      </w:r>
      <w:r w:rsidRPr="003A6822">
        <w:rPr>
          <w:rtl/>
        </w:rPr>
        <w:t xml:space="preserve"> שליח, להכי מביא קרא דגירושין ושלחה, דרק איש יכול למנות ולעשות שליח ולא הקטן.</w:t>
      </w:r>
    </w:p>
    <w:p w:rsidR="00D10A19" w:rsidRPr="00235D91" w:rsidRDefault="00D10A19" w:rsidP="00235D91">
      <w:pPr>
        <w:pStyle w:val="a3"/>
        <w:rPr>
          <w:rtl/>
        </w:rPr>
      </w:pPr>
      <w:r w:rsidRPr="003A6822">
        <w:rPr>
          <w:rtl/>
        </w:rPr>
        <w:t>נמצא דחלוק הוא מסכת קידושין ממסכת גיטין; דבקידושין איירי מדין קטן ש</w:t>
      </w:r>
      <w:r w:rsidRPr="003A6822">
        <w:rPr>
          <w:b/>
          <w:bCs/>
          <w:rtl/>
        </w:rPr>
        <w:t>עושה</w:t>
      </w:r>
      <w:r w:rsidRPr="003A6822">
        <w:rPr>
          <w:rtl/>
        </w:rPr>
        <w:t xml:space="preserve"> שליח ובגיטין איירי מדין קטן ה</w:t>
      </w:r>
      <w:r w:rsidRPr="003A6822">
        <w:rPr>
          <w:b/>
          <w:bCs/>
          <w:rtl/>
        </w:rPr>
        <w:t>נעשה</w:t>
      </w:r>
      <w:r w:rsidRPr="003A6822">
        <w:rPr>
          <w:rtl/>
        </w:rPr>
        <w:t xml:space="preserve"> שליח</w:t>
      </w:r>
      <w:r w:rsidRPr="00235D91">
        <w:rPr>
          <w:vertAlign w:val="superscript"/>
        </w:rPr>
        <w:t>1</w:t>
      </w:r>
      <w:r w:rsidR="00235D91">
        <w:rPr>
          <w:rFonts w:hint="cs"/>
          <w:rtl/>
        </w:rPr>
        <w:t>.</w:t>
      </w:r>
    </w:p>
    <w:p w:rsidR="00D10A19" w:rsidRPr="003A6822" w:rsidRDefault="00D10A19" w:rsidP="00F146A6">
      <w:pPr>
        <w:pStyle w:val="a3"/>
        <w:rPr>
          <w:rtl/>
        </w:rPr>
      </w:pPr>
      <w:r w:rsidRPr="003A6822">
        <w:rPr>
          <w:rtl/>
        </w:rPr>
        <w:t>ב. והנה בלקוטי שיחות חלק לג (פרשת קרח ב. אות ב – עמוד 113) מבאר הרבי: בהקדם החקירה הידועה (ראה לקח טוב להר"י ענגל כלל א בארוכה) בענין השליחות, דשלוחו של אדם כמותו, שיש לבארו בכמה אופנים:</w:t>
      </w:r>
    </w:p>
    <w:p w:rsidR="00D10A19" w:rsidRPr="003A6822" w:rsidRDefault="00D10A19" w:rsidP="00F146A6">
      <w:pPr>
        <w:pStyle w:val="a3"/>
      </w:pPr>
      <w:r w:rsidRPr="003A6822">
        <w:rPr>
          <w:rtl/>
        </w:rPr>
        <w:t xml:space="preserve">א) "כמותו" ממש – בנוגע </w:t>
      </w:r>
      <w:r w:rsidRPr="003A6822">
        <w:rPr>
          <w:b/>
          <w:bCs/>
          <w:rtl/>
        </w:rPr>
        <w:t>לעושה</w:t>
      </w:r>
      <w:r w:rsidRPr="003A6822">
        <w:rPr>
          <w:rtl/>
        </w:rPr>
        <w:t xml:space="preserve"> המעשה, שגוף השליח הוא כגוף המשלח (</w:t>
      </w:r>
      <w:r w:rsidRPr="003A6822">
        <w:rPr>
          <w:b/>
          <w:bCs/>
          <w:rtl/>
        </w:rPr>
        <w:t>ובדרך ממילא</w:t>
      </w:r>
      <w:r w:rsidRPr="003A6822">
        <w:rPr>
          <w:rtl/>
        </w:rPr>
        <w:t xml:space="preserve"> מתייחסת עשיית השליח למשלח)</w:t>
      </w:r>
      <w:r w:rsidRPr="003A6822">
        <w:t>.</w:t>
      </w:r>
    </w:p>
    <w:p w:rsidR="00D10A19" w:rsidRPr="003A6822" w:rsidRDefault="00D10A19" w:rsidP="00F146A6">
      <w:pPr>
        <w:pStyle w:val="a3"/>
      </w:pPr>
      <w:r w:rsidRPr="003A6822">
        <w:rPr>
          <w:rtl/>
        </w:rPr>
        <w:t xml:space="preserve">ב) "כמותו" – (רק) בשייכות </w:t>
      </w:r>
      <w:r w:rsidRPr="003A6822">
        <w:rPr>
          <w:b/>
          <w:bCs/>
          <w:rtl/>
        </w:rPr>
        <w:t>לכח</w:t>
      </w:r>
      <w:r w:rsidRPr="003A6822">
        <w:rPr>
          <w:rtl/>
        </w:rPr>
        <w:t xml:space="preserve"> ה</w:t>
      </w:r>
      <w:r w:rsidRPr="003A6822">
        <w:rPr>
          <w:rtl/>
        </w:rPr>
        <w:softHyphen/>
        <w:t xml:space="preserve">עשי' דהשליח או </w:t>
      </w:r>
      <w:r w:rsidRPr="003A6822">
        <w:rPr>
          <w:b/>
          <w:bCs/>
          <w:rtl/>
        </w:rPr>
        <w:t>להמעשה</w:t>
      </w:r>
      <w:r w:rsidRPr="003A6822">
        <w:rPr>
          <w:rtl/>
        </w:rPr>
        <w:t>, דעשיית ה</w:t>
      </w:r>
      <w:r w:rsidRPr="003A6822">
        <w:rPr>
          <w:rtl/>
        </w:rPr>
        <w:softHyphen/>
        <w:t>שליח היא כמו עשיית המשלח</w:t>
      </w:r>
      <w:r w:rsidRPr="003A6822">
        <w:t>.</w:t>
      </w:r>
    </w:p>
    <w:p w:rsidR="00D10A19" w:rsidRPr="003A6822" w:rsidRDefault="00D10A19" w:rsidP="00F146A6">
      <w:pPr>
        <w:pStyle w:val="a3"/>
        <w:rPr>
          <w:rtl/>
        </w:rPr>
      </w:pPr>
      <w:r w:rsidRPr="003A6822">
        <w:rPr>
          <w:rtl/>
        </w:rPr>
        <w:t xml:space="preserve">ג) "כמותו" – רק בנוגע </w:t>
      </w:r>
      <w:r w:rsidRPr="003A6822">
        <w:rPr>
          <w:b/>
          <w:bCs/>
          <w:rtl/>
        </w:rPr>
        <w:t>לתוצאות</w:t>
      </w:r>
      <w:r w:rsidRPr="003A6822">
        <w:rPr>
          <w:rtl/>
        </w:rPr>
        <w:t xml:space="preserve"> ה</w:t>
      </w:r>
      <w:r w:rsidRPr="003A6822">
        <w:rPr>
          <w:rtl/>
        </w:rPr>
        <w:softHyphen/>
        <w:t xml:space="preserve">מעשה. בלשון אחר: </w:t>
      </w:r>
      <w:r w:rsidRPr="003A6822">
        <w:rPr>
          <w:b/>
          <w:bCs/>
          <w:rtl/>
        </w:rPr>
        <w:t>להחפצא</w:t>
      </w:r>
      <w:r w:rsidRPr="003A6822">
        <w:rPr>
          <w:rtl/>
        </w:rPr>
        <w:t xml:space="preserve"> בו נעשה העשי' — שגם עשייתו של השליח אינה דהמשלח, אלא שעשיית </w:t>
      </w:r>
      <w:r w:rsidRPr="003A6822">
        <w:rPr>
          <w:b/>
          <w:bCs/>
          <w:rtl/>
        </w:rPr>
        <w:t>השליח בהחפצא</w:t>
      </w:r>
      <w:r w:rsidRPr="003A6822">
        <w:rPr>
          <w:rtl/>
        </w:rPr>
        <w:t xml:space="preserve"> ה"ז (פועלת אותו הדבר שפועלת) עשיית המשלח.</w:t>
      </w:r>
    </w:p>
    <w:p w:rsidR="00D10A19" w:rsidRPr="003A6822" w:rsidRDefault="00D10A19" w:rsidP="00F146A6">
      <w:pPr>
        <w:pStyle w:val="a3"/>
        <w:rPr>
          <w:rtl/>
        </w:rPr>
      </w:pPr>
      <w:r w:rsidRPr="003A6822">
        <w:rPr>
          <w:color w:val="34393D"/>
          <w:rtl/>
        </w:rPr>
        <w:t xml:space="preserve">... </w:t>
      </w:r>
      <w:r w:rsidRPr="003A6822">
        <w:rPr>
          <w:rtl/>
        </w:rPr>
        <w:t>הסברת הענין</w:t>
      </w:r>
      <w:r w:rsidRPr="003A6822">
        <w:t>:</w:t>
      </w:r>
    </w:p>
    <w:p w:rsidR="00D10A19" w:rsidRPr="003A6822" w:rsidRDefault="00D10A19" w:rsidP="00F146A6">
      <w:pPr>
        <w:pStyle w:val="a3"/>
      </w:pPr>
      <w:r w:rsidRPr="003A6822">
        <w:rPr>
          <w:rtl/>
        </w:rPr>
        <w:t>בשליחות יש שני ענינים: (א) קיום השליחות בפועל. (ב) חלות שם שליח</w:t>
      </w:r>
      <w:r w:rsidRPr="003A6822">
        <w:t>.</w:t>
      </w:r>
    </w:p>
    <w:p w:rsidR="00D10A19" w:rsidRPr="003A6822" w:rsidRDefault="00D10A19" w:rsidP="00F146A6">
      <w:pPr>
        <w:pStyle w:val="a3"/>
      </w:pPr>
      <w:r w:rsidRPr="003A6822">
        <w:rPr>
          <w:rtl/>
        </w:rPr>
        <w:t>כל שלשת האופנים הנ"ל בגדר ה</w:t>
      </w:r>
      <w:r w:rsidRPr="003A6822">
        <w:rPr>
          <w:rtl/>
        </w:rPr>
        <w:softHyphen/>
        <w:t xml:space="preserve">שליחות הם רק בנוגע לקיום השליחות </w:t>
      </w:r>
      <w:r w:rsidRPr="003A6822">
        <w:rPr>
          <w:b/>
          <w:bCs/>
          <w:rtl/>
        </w:rPr>
        <w:t>בפועל</w:t>
      </w:r>
      <w:r w:rsidRPr="003A6822">
        <w:rPr>
          <w:rtl/>
        </w:rPr>
        <w:t>: כאשר דנים איך מועיל מעשה איש זה (השליח) עבור איש אחר (ה</w:t>
      </w:r>
      <w:r w:rsidRPr="003A6822">
        <w:rPr>
          <w:rtl/>
        </w:rPr>
        <w:softHyphen/>
        <w:t>משלח) – אז יתכן לומר הטעם בזה בג' אופנים, אם משום שחדשה תורה בשלי</w:t>
      </w:r>
      <w:r w:rsidRPr="003A6822">
        <w:rPr>
          <w:rtl/>
        </w:rPr>
        <w:softHyphen/>
        <w:t>חות שמעשה השליח מועיל כמעשה ה</w:t>
      </w:r>
      <w:r w:rsidRPr="003A6822">
        <w:rPr>
          <w:rtl/>
        </w:rPr>
        <w:softHyphen/>
        <w:t xml:space="preserve">משלח, או מטעם שעשייתו זו </w:t>
      </w:r>
      <w:r w:rsidRPr="003A6822">
        <w:rPr>
          <w:b/>
          <w:bCs/>
          <w:rtl/>
        </w:rPr>
        <w:t>נחשבת</w:t>
      </w:r>
      <w:r w:rsidRPr="003A6822">
        <w:rPr>
          <w:rtl/>
        </w:rPr>
        <w:t xml:space="preserve"> כעשיית המשלח, או יתירה מזו, שגוף השליח נחשב כגוף המשלח </w:t>
      </w:r>
      <w:r w:rsidRPr="003A6822">
        <w:rPr>
          <w:b/>
          <w:bCs/>
          <w:rtl/>
        </w:rPr>
        <w:t>ובמילא</w:t>
      </w:r>
      <w:r w:rsidRPr="003A6822">
        <w:rPr>
          <w:rtl/>
        </w:rPr>
        <w:t xml:space="preserve"> מעשהו כמעשה המשלח</w:t>
      </w:r>
      <w:r w:rsidRPr="003A6822">
        <w:t>.</w:t>
      </w:r>
    </w:p>
    <w:p w:rsidR="00D10A19" w:rsidRPr="003A6822" w:rsidRDefault="00D10A19" w:rsidP="00F146A6">
      <w:pPr>
        <w:pStyle w:val="a3"/>
      </w:pPr>
      <w:r w:rsidRPr="003A6822">
        <w:rPr>
          <w:rtl/>
        </w:rPr>
        <w:lastRenderedPageBreak/>
        <w:t xml:space="preserve">אבל קודם לכן צ"ל חלות של </w:t>
      </w:r>
      <w:r w:rsidRPr="003A6822">
        <w:rPr>
          <w:b/>
          <w:bCs/>
          <w:rtl/>
        </w:rPr>
        <w:t>שלי</w:t>
      </w:r>
      <w:r w:rsidRPr="003A6822">
        <w:rPr>
          <w:b/>
          <w:bCs/>
          <w:rtl/>
        </w:rPr>
        <w:softHyphen/>
        <w:t>חות</w:t>
      </w:r>
      <w:r w:rsidRPr="003A6822">
        <w:rPr>
          <w:rtl/>
        </w:rPr>
        <w:t xml:space="preserve"> על השליח, היינו המינוי הפועל חלות שם שליח. וכדי שיחול עליו שם שליח, צ"ל קשר בין השליח והמשלח, כי אא"פ להיות שלוחו של המשלח (באיזה אופן שהוא) מבלי שיהי' "כמותו דה</w:t>
      </w:r>
      <w:r w:rsidRPr="003A6822">
        <w:rPr>
          <w:rtl/>
        </w:rPr>
        <w:softHyphen/>
        <w:t>משלח", ש"צריך להיות השליח מתייחס בערך מה" להמשלח</w:t>
      </w:r>
      <w:r w:rsidRPr="003A6822">
        <w:t>.</w:t>
      </w:r>
    </w:p>
    <w:p w:rsidR="00D10A19" w:rsidRPr="003A6822" w:rsidRDefault="00D10A19" w:rsidP="00F146A6">
      <w:pPr>
        <w:pStyle w:val="a3"/>
        <w:rPr>
          <w:rtl/>
        </w:rPr>
      </w:pPr>
      <w:r w:rsidRPr="003A6822">
        <w:rPr>
          <w:rtl/>
        </w:rPr>
        <w:t>ולכן אין שליחות לנכרי בכל התורה כולה, כי אינו יכול להיות "כמותו דה</w:t>
      </w:r>
      <w:r w:rsidRPr="003A6822">
        <w:rPr>
          <w:rtl/>
        </w:rPr>
        <w:softHyphen/>
        <w:t>משלח" (הישראל).</w:t>
      </w:r>
    </w:p>
    <w:p w:rsidR="00D10A19" w:rsidRPr="003A6822" w:rsidRDefault="00D10A19" w:rsidP="00F146A6">
      <w:pPr>
        <w:pStyle w:val="a3"/>
        <w:rPr>
          <w:rtl/>
        </w:rPr>
      </w:pPr>
      <w:r w:rsidRPr="003A6822">
        <w:rPr>
          <w:rtl/>
        </w:rPr>
        <w:t>ומבואר (מדברי הרבי) שכאן בהשיחה מתייחס לכך שה</w:t>
      </w:r>
      <w:r w:rsidRPr="003A6822">
        <w:rPr>
          <w:b/>
          <w:bCs/>
          <w:rtl/>
        </w:rPr>
        <w:t>שליח</w:t>
      </w:r>
      <w:r w:rsidRPr="003A6822">
        <w:rPr>
          <w:rtl/>
        </w:rPr>
        <w:t xml:space="preserve"> צריך להיות כמותו דהמשלח. והיינו שאין השליח </w:t>
      </w:r>
      <w:r w:rsidRPr="003A6822">
        <w:rPr>
          <w:b/>
          <w:bCs/>
          <w:rtl/>
        </w:rPr>
        <w:t>נעשה</w:t>
      </w:r>
      <w:r w:rsidRPr="003A6822">
        <w:rPr>
          <w:rtl/>
        </w:rPr>
        <w:t xml:space="preserve"> שליח, באם אין הוא כמותו, דהמשלח.</w:t>
      </w:r>
    </w:p>
    <w:p w:rsidR="00D10A19" w:rsidRPr="003A6822" w:rsidRDefault="00D10A19" w:rsidP="00F146A6">
      <w:pPr>
        <w:pStyle w:val="a3"/>
        <w:rPr>
          <w:rtl/>
        </w:rPr>
      </w:pPr>
      <w:r w:rsidRPr="003A6822">
        <w:rPr>
          <w:rtl/>
        </w:rPr>
        <w:t>ג. והנה באות ה' (עמוד 116)</w:t>
      </w:r>
      <w:r>
        <w:rPr>
          <w:rFonts w:hint="cs"/>
          <w:rtl/>
        </w:rPr>
        <w:t xml:space="preserve"> </w:t>
      </w:r>
      <w:r w:rsidRPr="003A6822">
        <w:rPr>
          <w:rtl/>
        </w:rPr>
        <w:t xml:space="preserve">ממשיך הרבי לבאר: ויש להביא ראי' לענין זה מדברי רבינו הזקן, שבנוגע לענין השליחות כותב "דשלוחו של אדם כמותו, ולכן אין שליחות לחרש שוטה וקטן </w:t>
      </w:r>
      <w:r w:rsidRPr="003A6822">
        <w:rPr>
          <w:b/>
          <w:bCs/>
          <w:rtl/>
        </w:rPr>
        <w:t>שאינן כמותו דהמשלח</w:t>
      </w:r>
      <w:r w:rsidRPr="003A6822">
        <w:rPr>
          <w:rtl/>
        </w:rPr>
        <w:t>".</w:t>
      </w:r>
    </w:p>
    <w:p w:rsidR="00D10A19" w:rsidRPr="003A6822" w:rsidRDefault="00D10A19" w:rsidP="00F146A6">
      <w:pPr>
        <w:pStyle w:val="a3"/>
        <w:rPr>
          <w:rtl/>
        </w:rPr>
      </w:pPr>
      <w:r w:rsidRPr="003A6822">
        <w:rPr>
          <w:rtl/>
        </w:rPr>
        <w:t>ולכאורה צ"ע, שהרי מפורש בגמ' שהטעם שאינן בני שליחות הוא משום "דלאו בני דיעה נינהו"?</w:t>
      </w:r>
    </w:p>
    <w:p w:rsidR="00D10A19" w:rsidRPr="003A6822" w:rsidRDefault="00D10A19" w:rsidP="004820B2">
      <w:pPr>
        <w:pStyle w:val="a3"/>
        <w:rPr>
          <w:rtl/>
        </w:rPr>
      </w:pPr>
      <w:r w:rsidRPr="003A6822">
        <w:rPr>
          <w:rtl/>
        </w:rPr>
        <w:t>ואף שי"ל שזהו פירוש דברי הגמ', דמכיון שאינן בני דיעה נמצא שאינן "כמותו דהמשלח" – מ"מ צריך ביאור מהו ההכרח לפירוש זה</w:t>
      </w:r>
      <w:r w:rsidRPr="004820B2">
        <w:rPr>
          <w:vertAlign w:val="superscript"/>
        </w:rPr>
        <w:t>2</w:t>
      </w:r>
      <w:r w:rsidRPr="003A6822">
        <w:rPr>
          <w:rtl/>
        </w:rPr>
        <w:t>?</w:t>
      </w:r>
    </w:p>
    <w:p w:rsidR="00D10A19" w:rsidRPr="003A6822" w:rsidRDefault="00D10A19" w:rsidP="00F146A6">
      <w:pPr>
        <w:pStyle w:val="a3"/>
        <w:rPr>
          <w:rtl/>
        </w:rPr>
      </w:pPr>
      <w:r w:rsidRPr="003A6822">
        <w:rPr>
          <w:rtl/>
        </w:rPr>
        <w:t xml:space="preserve">ובהערה 28 בהביאו את מקורו בגמ' (על מה שכתב: מפורש בגמ' שהטעם שאינן בני שליחות הוא משום "דלאו בני דיעה נינהו") כתב הרבי: גיטין כג, א. וראה רש"י שם (וכ"ה ברש"י קידושין מב, א ד"ה והא. ועוד) ד"גבי שליחות </w:t>
      </w:r>
      <w:r w:rsidRPr="003A6822">
        <w:rPr>
          <w:b/>
          <w:bCs/>
          <w:rtl/>
        </w:rPr>
        <w:t>איש</w:t>
      </w:r>
      <w:r w:rsidRPr="003A6822">
        <w:rPr>
          <w:rtl/>
        </w:rPr>
        <w:t xml:space="preserve"> בעינן".</w:t>
      </w:r>
    </w:p>
    <w:p w:rsidR="00D10A19" w:rsidRPr="003A6822" w:rsidRDefault="00D10A19" w:rsidP="00235D91">
      <w:pPr>
        <w:pStyle w:val="a3"/>
        <w:rPr>
          <w:rtl/>
        </w:rPr>
      </w:pPr>
      <w:r w:rsidRPr="003A6822">
        <w:rPr>
          <w:rtl/>
        </w:rPr>
        <w:t>וצ"ב דאע"פ דבב' מקומות אלו (גיטין וקידושין) מביא רש"י הלימוד ממ"ש גבי שליחות "איש"</w:t>
      </w:r>
      <w:r w:rsidRPr="00235D91">
        <w:rPr>
          <w:vertAlign w:val="superscript"/>
        </w:rPr>
        <w:t>3</w:t>
      </w:r>
      <w:r w:rsidRPr="003A6822">
        <w:rPr>
          <w:rtl/>
        </w:rPr>
        <w:t xml:space="preserve"> הרי כמבואר לעיל המדובר בב' עניינים שונים; דבגיטין הלימוד הוא שאין הקטן </w:t>
      </w:r>
      <w:r w:rsidRPr="003A6822">
        <w:rPr>
          <w:b/>
          <w:bCs/>
          <w:rtl/>
        </w:rPr>
        <w:t>נעשה</w:t>
      </w:r>
      <w:r w:rsidRPr="003A6822">
        <w:rPr>
          <w:rtl/>
        </w:rPr>
        <w:t xml:space="preserve"> שליח, ובקידושין הלימוד הוא שאין הקטן </w:t>
      </w:r>
      <w:r w:rsidRPr="003A6822">
        <w:rPr>
          <w:b/>
          <w:bCs/>
          <w:rtl/>
        </w:rPr>
        <w:t>עושה</w:t>
      </w:r>
      <w:r w:rsidRPr="003A6822">
        <w:rPr>
          <w:rtl/>
        </w:rPr>
        <w:t xml:space="preserve"> שליח. והרי כאן בלקו"ש נחית רבינו לבאר מדוע אין הקטן (והנכרי) יכול </w:t>
      </w:r>
      <w:r w:rsidRPr="003A6822">
        <w:rPr>
          <w:b/>
          <w:bCs/>
          <w:rtl/>
        </w:rPr>
        <w:t>להיעשות</w:t>
      </w:r>
      <w:r w:rsidRPr="003A6822">
        <w:rPr>
          <w:rtl/>
        </w:rPr>
        <w:t xml:space="preserve"> שליח (ולא נחית לבאר מדוע אין הקטן יכול </w:t>
      </w:r>
      <w:r w:rsidRPr="003A6822">
        <w:rPr>
          <w:b/>
          <w:bCs/>
          <w:rtl/>
        </w:rPr>
        <w:t xml:space="preserve">לעשות </w:t>
      </w:r>
      <w:r w:rsidRPr="003A6822">
        <w:rPr>
          <w:rtl/>
        </w:rPr>
        <w:t xml:space="preserve">שליח). וא"כ לזה היה צריך להביא כמקור, את הגמ' בגיטין! דשם מבואר בהסוגיא (כנ"ל) דאין הקטן </w:t>
      </w:r>
      <w:r w:rsidRPr="003A6822">
        <w:rPr>
          <w:b/>
          <w:bCs/>
          <w:rtl/>
        </w:rPr>
        <w:t>נעשה</w:t>
      </w:r>
      <w:r w:rsidRPr="003A6822">
        <w:rPr>
          <w:rtl/>
        </w:rPr>
        <w:t xml:space="preserve"> שליח כיון "דלאו בני דיעה נינהו" וע"ז ביאר רש"י כיון ד"גבי שליחות איש בעינן", ואין לו להביא כמקור את הגמ' בקידושין, דהרי שם מבואר בהסוגיא (כנ"ל) דאין הקטן </w:t>
      </w:r>
      <w:r w:rsidRPr="003A6822">
        <w:rPr>
          <w:b/>
          <w:bCs/>
          <w:rtl/>
        </w:rPr>
        <w:t>עושה</w:t>
      </w:r>
      <w:r w:rsidRPr="003A6822">
        <w:rPr>
          <w:rtl/>
        </w:rPr>
        <w:t xml:space="preserve"> שליח וע"ז ביאר רש"י כיון ד"גבי ושלח ושלחה איש כתיב".</w:t>
      </w:r>
    </w:p>
    <w:p w:rsidR="00D10A19" w:rsidRPr="003A6822" w:rsidRDefault="00D10A19" w:rsidP="00F146A6">
      <w:pPr>
        <w:pStyle w:val="a3"/>
        <w:rPr>
          <w:rtl/>
        </w:rPr>
      </w:pPr>
      <w:r w:rsidRPr="003A6822">
        <w:rPr>
          <w:rtl/>
        </w:rPr>
        <w:t>ד. כדי לתרץ ולבאר זאת יש להקדים קושיא כללית, והיא: דצ"ב מה הוא החסרון בהא דאמרינן, דאין הקטנים בני שליחות משום "דלאו בני דיעה נינהו", מה הפירוש חסרון בדעת?</w:t>
      </w:r>
    </w:p>
    <w:p w:rsidR="00D10A19" w:rsidRPr="003A6822" w:rsidRDefault="00D10A19" w:rsidP="00F146A6">
      <w:pPr>
        <w:pStyle w:val="a3"/>
        <w:rPr>
          <w:rtl/>
        </w:rPr>
      </w:pPr>
      <w:r w:rsidRPr="003A6822">
        <w:rPr>
          <w:rtl/>
        </w:rPr>
        <w:t>וכדי לבאר זאת יש להקדים ולחקור מה הוא ענין ה'דעת'. וכדלקמן:</w:t>
      </w:r>
    </w:p>
    <w:p w:rsidR="00D10A19" w:rsidRPr="003A6822" w:rsidRDefault="00D10A19" w:rsidP="00F146A6">
      <w:pPr>
        <w:pStyle w:val="a3"/>
        <w:rPr>
          <w:rtl/>
        </w:rPr>
      </w:pPr>
      <w:r w:rsidRPr="003A6822">
        <w:rPr>
          <w:rtl/>
        </w:rPr>
        <w:lastRenderedPageBreak/>
        <w:t>די"ל: א) ד"דעת" הוא "ידיעה" ו"הבנה", והיינו דבמקום שצריך דעת, פירושו שלא ניתן לעשות המעשה ללא ידיעת והבנת הענין, וכל מעשה שנעשה צריך לידע ולהבין המעשה אשר נעשה, והיינו שידיעת והבנת המעשה מספיקה כדי להחשיבו כמעשה שנעשה ב"דעת". או י"ל: ב) ש"דעת" הוא ה"כח" ד"הבחנה" ו"הבדלה", והיינו שיקול דעת ובחירה נכונה בין טוב לרע, ולא מספיקה ידיעה והבנה כדי להחשיב המעשה, כנעשה ב"דעת".</w:t>
      </w:r>
    </w:p>
    <w:p w:rsidR="00D10A19" w:rsidRPr="003A6822" w:rsidRDefault="00D10A19" w:rsidP="00F146A6">
      <w:pPr>
        <w:pStyle w:val="a3"/>
        <w:rPr>
          <w:rtl/>
        </w:rPr>
      </w:pPr>
      <w:r w:rsidRPr="003A6822">
        <w:rPr>
          <w:rtl/>
        </w:rPr>
        <w:t xml:space="preserve">וי"ל דהנפק"מ בין ב' הדרכים הוא: דבאם אמרינן ד"דעת" הוא "ידיעה" ו"הבנה" אזי אחד שיש לו "פחות" דעת אינו יכול </w:t>
      </w:r>
      <w:r w:rsidRPr="003A6822">
        <w:rPr>
          <w:b/>
          <w:bCs/>
          <w:rtl/>
        </w:rPr>
        <w:t xml:space="preserve">להיעשות </w:t>
      </w:r>
      <w:r w:rsidRPr="003A6822">
        <w:rPr>
          <w:rtl/>
        </w:rPr>
        <w:t xml:space="preserve">שליח לאחד שיש לו "יותר" דעת ממנו (עכ"פ בדבר זה), אבל כן הוא יכול </w:t>
      </w:r>
      <w:r w:rsidRPr="003A6822">
        <w:rPr>
          <w:b/>
          <w:bCs/>
          <w:rtl/>
        </w:rPr>
        <w:t>לעשות</w:t>
      </w:r>
      <w:r w:rsidRPr="003A6822">
        <w:rPr>
          <w:rtl/>
        </w:rPr>
        <w:t xml:space="preserve"> שליח, את אחד שיש לו "יותר" דעת ממנו כיון דבזה נאמר הכלל ד"בכלל מאתים, מנה". אבל באם נאמר ד"דעת" הוא "הבחנה" ו"הבדלה" הרי אחד שחסר לו ב"דעת", פירושו שחסר לו "כח" ההבחנה וההבדלה, ואז, אינו יכול </w:t>
      </w:r>
      <w:r w:rsidRPr="003A6822">
        <w:rPr>
          <w:b/>
          <w:bCs/>
          <w:rtl/>
        </w:rPr>
        <w:t xml:space="preserve">להיעשות </w:t>
      </w:r>
      <w:r w:rsidRPr="003A6822">
        <w:rPr>
          <w:rtl/>
        </w:rPr>
        <w:t xml:space="preserve">שליח לאחד שיש לו "כח" דעת זו. וגם אינו יכול </w:t>
      </w:r>
      <w:r w:rsidRPr="003A6822">
        <w:rPr>
          <w:b/>
          <w:bCs/>
          <w:rtl/>
        </w:rPr>
        <w:t>לעשות</w:t>
      </w:r>
      <w:r w:rsidRPr="003A6822">
        <w:rPr>
          <w:rtl/>
        </w:rPr>
        <w:t xml:space="preserve"> שליח את אחד שיש לו "כח" דעת זו, דאין שייך כאן הכלל ד"בכלל מאתים, מנה" כיון שהחסרון ד"כח" דעת, פירושו שהוא ענין ומציאות אחרת.</w:t>
      </w:r>
    </w:p>
    <w:p w:rsidR="00D10A19" w:rsidRPr="003A6822" w:rsidRDefault="00D10A19" w:rsidP="00F146A6">
      <w:pPr>
        <w:pStyle w:val="a3"/>
        <w:rPr>
          <w:rtl/>
        </w:rPr>
      </w:pPr>
      <w:r w:rsidRPr="003A6822">
        <w:rPr>
          <w:rtl/>
        </w:rPr>
        <w:t>ה. ולכשתמצי לומר, י"ל שבב' אופנים אלו נחלקו האחרונים; ה'נודע ביהודה' וה'בית מאיר'. ובהקדים:</w:t>
      </w:r>
    </w:p>
    <w:p w:rsidR="00D10A19" w:rsidRPr="003A6822" w:rsidRDefault="00D10A19" w:rsidP="00F146A6">
      <w:pPr>
        <w:pStyle w:val="a3"/>
        <w:rPr>
          <w:rtl/>
        </w:rPr>
      </w:pPr>
      <w:r w:rsidRPr="003A6822">
        <w:rPr>
          <w:rtl/>
        </w:rPr>
        <w:t>איתא במתניתין במסכת גיטין (כב,ב-כג,א): הכל כשרין לכתוב את הגט, אפי' חרש, שוטה וקטן. והקשו עלה בגמ': והא לאו בני דיעה נינהו (ולא ידעו לכתוב לשמה – רש"י)! (תירץ:) רב הונא: והוא שהיה גדול עומד על גביו (ואומר לו כתוב לצורך פלוני – רש"י). ומבואר דלרב הונא, דכאשר הגדול עומד על גבי חש"ו ומלמדם לכתוב את הגט לשמה, הרי שאז יש בכוחם של החש"ו לכוון ולכתוב את הגט לשמה.</w:t>
      </w:r>
    </w:p>
    <w:p w:rsidR="00D10A19" w:rsidRPr="003A6822" w:rsidRDefault="00D10A19" w:rsidP="00F146A6">
      <w:pPr>
        <w:pStyle w:val="a3"/>
        <w:rPr>
          <w:rtl/>
        </w:rPr>
      </w:pPr>
      <w:r w:rsidRPr="003A6822">
        <w:rPr>
          <w:rtl/>
        </w:rPr>
        <w:t>והוסיפו התוס' (בד"ה והא): ... [ד]הכא מיירי שגדול עומד על גביו ומלמדו ומזהירו לעשות לשמה. ולהכי נמי בפ' מצות חליצה (יבמות קד:) ממעט מחליצה חרש וחרשת לפי שאינן בני קריאה. וקטן משום דאיש כתוב בפרשה. אבל מטעם דלאו בני כוונה נינהו, לא פסיל להו! ומבואר מדברי התוס' דאף דבחליצה קיימא לן, דהחש"ו אינם חולצים, מ"מ אין הטעם משום דאינם יכולין לכוון להתירה בחליצה זו, שהרי (כדאמרינן הכי גבי גיטין) בגדול עומד על גבי החש"ו יכולין לכוון, אלא מטעם אחר יש לפוסלם מחליצה (משום קרא).</w:t>
      </w:r>
    </w:p>
    <w:p w:rsidR="00D10A19" w:rsidRPr="003A6822" w:rsidRDefault="00D10A19" w:rsidP="00F146A6">
      <w:pPr>
        <w:pStyle w:val="a3"/>
        <w:rPr>
          <w:rtl/>
        </w:rPr>
      </w:pPr>
      <w:r w:rsidRPr="003A6822">
        <w:rPr>
          <w:rtl/>
        </w:rPr>
        <w:t xml:space="preserve">ואח"כ הוסיפו וחילקו התוס', וכתבו: ... ומיהו הכא בגדול עומד על גביו כשר אפי' בשוטה, משום דמוכחא מילתא דקא עביד לשמה, שכותב שמו, ושמה, ושם עירו, ושם עירה. אבל לענין חליצה, אמרו בתוספתא דיבמות (פי"א): דשוטה לאו בר חליצה הוא, אף על פי שב"ד מלמדין אותו, דלא מינכרא מילתא דעביד לשמה, כמו גבי גט. ומבואר מדברי התוס' דאע"ג דהב"ד הם העומדים על גבי החש"ו מ"מ כיון דלא </w:t>
      </w:r>
      <w:r w:rsidRPr="003A6822">
        <w:rPr>
          <w:rtl/>
        </w:rPr>
        <w:lastRenderedPageBreak/>
        <w:t>מינכרא מילתא דעביד לשמה, הרי שאין אנו יכולים לדעת מה בדעתו משא"כ בגט הרי מוכחא מילתא דקא עביד לשמה שהרי כותב שמו ושמה וכו'.</w:t>
      </w:r>
    </w:p>
    <w:p w:rsidR="00D10A19" w:rsidRPr="003A6822" w:rsidRDefault="00D10A19" w:rsidP="004820B2">
      <w:pPr>
        <w:pStyle w:val="a3"/>
        <w:rPr>
          <w:rtl/>
        </w:rPr>
      </w:pPr>
      <w:r w:rsidRPr="003A6822">
        <w:rPr>
          <w:rtl/>
        </w:rPr>
        <w:t>ו. והנה בספר אור הישר</w:t>
      </w:r>
      <w:r w:rsidRPr="004820B2">
        <w:rPr>
          <w:vertAlign w:val="superscript"/>
        </w:rPr>
        <w:t>4</w:t>
      </w:r>
      <w:r w:rsidRPr="003A6822">
        <w:rPr>
          <w:rtl/>
        </w:rPr>
        <w:t xml:space="preserve"> (סימן ל), הביא תשובה לבעל הנודע ביהודה, שכתב (בד"ה ואומר): ... אם הי' שוטה גמור שהי' עושה כל ארבעה דברי שטות המפורשים בחגיגה והוחזק בהם כמה פעמים אפילו הכי הגט שנותן בב"ד והב"ד מלמדין אותו כנהוג ומסברין לו עניני בטול מודעות וביטול התנאים ושיכוין להתירה בגט זה, אין לך גדול עומד על גביו יותר מזה.</w:t>
      </w:r>
    </w:p>
    <w:p w:rsidR="00D10A19" w:rsidRPr="003A6822" w:rsidRDefault="00D10A19" w:rsidP="00F146A6">
      <w:pPr>
        <w:pStyle w:val="a3"/>
        <w:rPr>
          <w:rtl/>
        </w:rPr>
      </w:pPr>
      <w:r w:rsidRPr="003A6822">
        <w:rPr>
          <w:rtl/>
        </w:rPr>
        <w:t>והקשה הנודע ביהודה: ואף שכ' התוס' שם בשם התוספתא דשוטה לאו בן חליצה הוא אף שב"ד מלמדין אותו, משום דלא מוכרח מילתא דעביד לשמה כמו בכתיבת הגט שמוכחא מילתא שכותב לשמו ולשמה. ומינה דה"ה שוטה שגירש לא מוכחא מילתא. והרי זה דומיא דחליצה.</w:t>
      </w:r>
    </w:p>
    <w:p w:rsidR="00D10A19" w:rsidRPr="003A6822" w:rsidRDefault="00D10A19" w:rsidP="00F146A6">
      <w:pPr>
        <w:pStyle w:val="a3"/>
        <w:rPr>
          <w:rtl/>
        </w:rPr>
      </w:pPr>
      <w:r w:rsidRPr="003A6822">
        <w:rPr>
          <w:rtl/>
        </w:rPr>
        <w:t>ותירץ הנודע ביהודה: מ"מ מטעם לא מוכחא מילתא א"א להכשיר בודאי אבל איך אפשר לסמוך ע"ז לקולא שהרי אם היה לנו הוכחה שעושה לשמה הי' הגט גט גמור אפילו להתירה להנשא. ומשום חסרון ההוכחה א"א להתיר אבל ג"כ א"א להחליט להיפוך שלא עשה לשמה. בשלמא בלא גדול עע"ג רוב מעשי שוטה מקולקלין אבל בגדול עע"ג נהפוך הוא.</w:t>
      </w:r>
    </w:p>
    <w:p w:rsidR="00D10A19" w:rsidRPr="003A6822" w:rsidRDefault="00D10A19" w:rsidP="00F146A6">
      <w:pPr>
        <w:pStyle w:val="a3"/>
        <w:rPr>
          <w:rtl/>
        </w:rPr>
      </w:pPr>
      <w:r w:rsidRPr="003A6822">
        <w:rPr>
          <w:rtl/>
        </w:rPr>
        <w:t>והוכיח זאת הנודע ביהודה מהירושלמי במסכת תרומות (א,ב) דאיתא התם: דחש"ו שקדשו ... בינם לבין עצמם אין קידושיהן קידושין בינם לבין אחרים קידושין קידושין. הרי ... [ש]גם בקידושין מועיל כשאחרים עומדים על גבם דהיינו בינם לבין אחרים.</w:t>
      </w:r>
    </w:p>
    <w:p w:rsidR="00D10A19" w:rsidRPr="003A6822" w:rsidRDefault="00D10A19" w:rsidP="00F146A6">
      <w:pPr>
        <w:pStyle w:val="a3"/>
        <w:rPr>
          <w:rtl/>
        </w:rPr>
      </w:pPr>
      <w:r w:rsidRPr="003A6822">
        <w:rPr>
          <w:rtl/>
        </w:rPr>
        <w:t>מבואר מדברי הנודע ביהודה, שאף בנתינת חש"ו יש להכשיר גט עכ"פ מספק, כי שמא הבין את מה שלימדוהו לעשות. שהרי לפי הנודע ביהודה דומה נתינת הגט לכתיבת הגט וחליצה. שכמו דאמרינן גבי כתיבת הגט לשמה וגבי חליצה, שגדול (או ב"ד) העומד על גבי חש"ו הרי הוא מסייעו ומלמדו לידע ולהבין ענין כתיבת הגט וענין החליצה, וע"כ הוה הכתיבה והחליצה 'לשמה', כן הוא גבי מעשה הגירושין עצמו שגדול (או ב"ד) העומד על גבי חש"ו הרי הוא מסייעו ומלמדו לידע ולהבין מעשה הגירושין עצמו (אלא שלפועל פסק שלכל הפחות הרי זה ספק (וכנ"ל)).</w:t>
      </w:r>
    </w:p>
    <w:p w:rsidR="00D10A19" w:rsidRPr="003A6822" w:rsidRDefault="00D10A19" w:rsidP="00F146A6">
      <w:pPr>
        <w:pStyle w:val="a3"/>
        <w:rPr>
          <w:rtl/>
        </w:rPr>
      </w:pPr>
      <w:r w:rsidRPr="003A6822">
        <w:rPr>
          <w:rtl/>
        </w:rPr>
        <w:t xml:space="preserve">ולפ"ז נמצא, שמכך שהשווה הנודע ביהודה בין הדינים דכתיבת הגט ע"י קטן לנתינת הגט ע"י קטן מבואר, שלדעתו ידיעת והבנת המעשה, מספיקה כדי להחשיבו כמעשה שנעשה ב"דעת". ואשר לכן נמצא שלדעת הנודע ביהודה הגדרת הא דחש"ו לאו בני דיעה נינהו היא חסרון בידיעת והבנת הענין, ולכן כל מעשה שנעשה ללא כוונה, משמעו שלא נעשה מתוך ידיעת והבנה. ולפ"ז כל מעשה שנעשה בכוונה, משמעו שנעשה מתוך ידיעה והבנה. ומבואר שדעת הנודע ביהודה היא שהגדרת </w:t>
      </w:r>
      <w:r w:rsidRPr="003A6822">
        <w:rPr>
          <w:rtl/>
        </w:rPr>
        <w:lastRenderedPageBreak/>
        <w:t>ה"דעת" היא ידיעת והבנת הענין ולכן יועיל גדול עע"ג החש"ו אף לנתינת הגט ומעשה הגירושין עצמו.</w:t>
      </w:r>
    </w:p>
    <w:p w:rsidR="00D10A19" w:rsidRPr="003A6822" w:rsidRDefault="00D10A19" w:rsidP="00F146A6">
      <w:pPr>
        <w:pStyle w:val="a3"/>
        <w:rPr>
          <w:color w:val="000000"/>
          <w:spacing w:val="2"/>
          <w:rtl/>
        </w:rPr>
      </w:pPr>
      <w:r w:rsidRPr="003A6822">
        <w:rPr>
          <w:rtl/>
        </w:rPr>
        <w:t xml:space="preserve">ז. אמנם הבית מאיר (אהע"ז, קכא,ו) חלק על הנודע ביהודה, וכתב: ראיתי חדוש גדול בספר אור הישר בשם הגאון נ"ב ... והם תמוהים לע"ד ... [ו]לע"ד אינו דומה כלל ... דבהדי' ת"ר יבמות דף ק"ו וחליצה מוטעת לעולם כשירה גט מוטעה לעולם פסול וזה שאין בו דעת לא לקנות ולא למכור מה יתן ומה יוסיף </w:t>
      </w:r>
      <w:r w:rsidRPr="003A6822">
        <w:rPr>
          <w:color w:val="000000"/>
          <w:spacing w:val="2"/>
          <w:rtl/>
        </w:rPr>
        <w:t>גדול עומד על גביו, ומה בכך שמלמדים אותו שבזה נאסרת על כל העולם ובזה ניתרת, אם</w:t>
      </w:r>
      <w:r w:rsidRPr="003A6822">
        <w:rPr>
          <w:rFonts w:ascii="Cambria" w:hAnsi="Cambria" w:cs="Cambria"/>
          <w:color w:val="000000"/>
          <w:spacing w:val="2"/>
        </w:rPr>
        <w:t> </w:t>
      </w:r>
      <w:r w:rsidRPr="003A6822">
        <w:rPr>
          <w:color w:val="000000"/>
          <w:spacing w:val="2"/>
          <w:rtl/>
        </w:rPr>
        <w:t>אין בו דעת עצמו</w:t>
      </w:r>
      <w:r w:rsidRPr="003A6822">
        <w:rPr>
          <w:rFonts w:ascii="Cambria" w:hAnsi="Cambria" w:cs="Cambria"/>
          <w:color w:val="000000"/>
          <w:spacing w:val="2"/>
        </w:rPr>
        <w:t> </w:t>
      </w:r>
      <w:r w:rsidRPr="003A6822">
        <w:rPr>
          <w:color w:val="000000"/>
          <w:spacing w:val="2"/>
          <w:rtl/>
        </w:rPr>
        <w:t>לקדש, דהוה לקנות. ולגרש, דהוה למכור. אין זה אלא כאילו העומד על גביו משיאו עצה למכור או לקנות, האם יש בו ממש, הרי</w:t>
      </w:r>
      <w:r w:rsidRPr="003A6822">
        <w:rPr>
          <w:rFonts w:ascii="Cambria" w:hAnsi="Cambria" w:cs="Cambria"/>
          <w:color w:val="000000"/>
          <w:spacing w:val="2"/>
        </w:rPr>
        <w:t> </w:t>
      </w:r>
      <w:r w:rsidRPr="003A6822">
        <w:rPr>
          <w:color w:val="000000"/>
          <w:spacing w:val="2"/>
          <w:rtl/>
        </w:rPr>
        <w:t>מדעת עצמו אינו יודע להבחין בין טוב לו לרע לו.</w:t>
      </w:r>
    </w:p>
    <w:p w:rsidR="00D10A19" w:rsidRPr="003A6822" w:rsidRDefault="00D10A19" w:rsidP="004820B2">
      <w:pPr>
        <w:pStyle w:val="a3"/>
        <w:rPr>
          <w:rtl/>
        </w:rPr>
      </w:pPr>
      <w:r w:rsidRPr="003A6822">
        <w:rPr>
          <w:rtl/>
        </w:rPr>
        <w:t>מבואר מדברי הבית מאיר שכדי שיהיה תוקף למעשה הדורש דעת, לא מספיקה ידיעת והבנת המעשה שידע ויבין "שבזה נאסרת על כל העולם ובזה ניתרת", אלא צריך שתהיה בו "דעת עצמו", דהיינו שיקול הדעת והבחנה נכונה באם לעשות מעשה זה או לא, ואילו החש"ו גם כאשר הם יודעים ומבינים את אשר הם עושים, הרי זה בגדר ד"אינו יודע להבחין בין טוב לו לרע לו"</w:t>
      </w:r>
      <w:r w:rsidRPr="004820B2">
        <w:rPr>
          <w:vertAlign w:val="superscript"/>
        </w:rPr>
        <w:t>5</w:t>
      </w:r>
      <w:r w:rsidRPr="003A6822">
        <w:rPr>
          <w:rtl/>
        </w:rPr>
        <w:t>.</w:t>
      </w:r>
    </w:p>
    <w:p w:rsidR="00D10A19" w:rsidRPr="003A6822" w:rsidRDefault="00D10A19" w:rsidP="00F146A6">
      <w:pPr>
        <w:pStyle w:val="a3"/>
        <w:rPr>
          <w:rtl/>
        </w:rPr>
      </w:pPr>
      <w:r w:rsidRPr="003A6822">
        <w:rPr>
          <w:rtl/>
        </w:rPr>
        <w:t>ויתירה מזו מבואר דלדעת הבית מאיר, אם "דעת" משמעה ידיעה והבנה, הרי הגדול העומד על גבי השוטה מסייע לידיעתו ולהבנתו על ידי הסברו והדרכתו. אבל אם "דעת" משמעה שיקול הדעת ויכולת להבחין ולהבדיל בין טוב לו לרע לו, הרי הגדול העומד על גביו מגרע מתוקפו של המעשה, כי המעשה נחשב כנעשה על פי עצת אחר ולא על פי שיקול הדעת והחלטתו של החש"ו עצמם.</w:t>
      </w:r>
    </w:p>
    <w:p w:rsidR="00D10A19" w:rsidRPr="003A6822" w:rsidRDefault="00D10A19" w:rsidP="00F146A6">
      <w:pPr>
        <w:pStyle w:val="a3"/>
        <w:rPr>
          <w:rtl/>
        </w:rPr>
      </w:pPr>
      <w:r w:rsidRPr="003A6822">
        <w:rPr>
          <w:color w:val="000000"/>
          <w:spacing w:val="2"/>
          <w:rtl/>
        </w:rPr>
        <w:t>ח. נמצא דנחלקו הני אחרונים ה'נודע ביהודה' וה'בית מאיר' בהך דאמרינן דחש"ו לאו בני דיעה נינהו. ד</w:t>
      </w:r>
      <w:r w:rsidRPr="003A6822">
        <w:rPr>
          <w:rtl/>
        </w:rPr>
        <w:t>י"ל דנחלקו מה הוא גדרו של "דעת" החסר בחש"ו. דאו י"ל: כהבנתו של ה'נודע ביהודה', ד"דעת" הוא "ידיעה" ו"הבנה", וכנ"ל דידיעת והבנת המעשה מספיקה כדי להחשיבו כמעשה שנעשה ב"דעת". או י"ל: כהבנתו של הבית מאיר (ודעימיה) ש"דעת" הוא ה"כח" ד"הבחנה" ו"הבדלה", והיינו שיקול דעת ובחירה נכונה בין טוב לרע.</w:t>
      </w:r>
    </w:p>
    <w:p w:rsidR="00D10A19" w:rsidRPr="003A6822" w:rsidRDefault="00D10A19" w:rsidP="00F146A6">
      <w:pPr>
        <w:pStyle w:val="a3"/>
        <w:rPr>
          <w:rtl/>
        </w:rPr>
      </w:pPr>
      <w:r w:rsidRPr="003A6822">
        <w:rPr>
          <w:rtl/>
        </w:rPr>
        <w:t xml:space="preserve">ולפ"ז י"ל דהך נפק"מ בין ב' הדרכים שהבאנו לעיל תלוי בפלוגתת ה'נודע ביהודה' וה'בית מאיר', והוא: דבאם אמרינן כהבנתו של ה'נודע ביהודה', ד"דעת" הוא "ידיעה" ו"הבנה" אזי יבואר שלשיטתו, אחד שיש לו "פחות" דעת אינו יכול </w:t>
      </w:r>
      <w:r w:rsidRPr="003A6822">
        <w:rPr>
          <w:b/>
          <w:bCs/>
          <w:rtl/>
        </w:rPr>
        <w:t xml:space="preserve">להיעשות </w:t>
      </w:r>
      <w:r w:rsidRPr="003A6822">
        <w:rPr>
          <w:rtl/>
        </w:rPr>
        <w:t xml:space="preserve">שליח לאחד שיש לו "יותר" דעת ממנו (עכ"פ בדבר זה), אבל כן הוא יכול </w:t>
      </w:r>
      <w:r w:rsidRPr="003A6822">
        <w:rPr>
          <w:b/>
          <w:bCs/>
          <w:rtl/>
        </w:rPr>
        <w:t>לעשות</w:t>
      </w:r>
      <w:r w:rsidRPr="003A6822">
        <w:rPr>
          <w:rtl/>
        </w:rPr>
        <w:t xml:space="preserve"> שליח, את אחד שיש לו "יותר" דעת ממנו כיון דבזה נאמר הכלל ד"בכלל מאתים, מנה". אבל באם נאמר כהבנתו  של ה'בית מאיר, ד"דעת" הוא "הבחנה" ו"הבדלה" אזי יבואר שלשיטתו, אחד שחסר לו ב"דעת", פירושו שחסר לו "כח" ההבחנה וההבדלה, הרי </w:t>
      </w:r>
      <w:r w:rsidRPr="003A6822">
        <w:rPr>
          <w:rtl/>
        </w:rPr>
        <w:lastRenderedPageBreak/>
        <w:t xml:space="preserve">שהוא אינו יכול </w:t>
      </w:r>
      <w:r w:rsidRPr="003A6822">
        <w:rPr>
          <w:b/>
          <w:bCs/>
          <w:rtl/>
        </w:rPr>
        <w:t xml:space="preserve">להיעשות </w:t>
      </w:r>
      <w:r w:rsidRPr="003A6822">
        <w:rPr>
          <w:rtl/>
        </w:rPr>
        <w:t xml:space="preserve">שליח לאחד שיש לו "כח" דעת זו. ובמילא מאותו טעם גם אינו יכול </w:t>
      </w:r>
      <w:r w:rsidRPr="003A6822">
        <w:rPr>
          <w:b/>
          <w:bCs/>
          <w:rtl/>
        </w:rPr>
        <w:t>לעשות</w:t>
      </w:r>
      <w:r w:rsidRPr="003A6822">
        <w:rPr>
          <w:rtl/>
        </w:rPr>
        <w:t xml:space="preserve"> שליח את אחד שיש לו "כח" דעת זו, דאין שייך כאן הכלל ד"בכלל מאתים, מנה" כיון שהחסרון ד"כח" דעת, פירושו שהוא ענין ומציאות אחרת.</w:t>
      </w:r>
    </w:p>
    <w:p w:rsidR="00D10A19" w:rsidRPr="003A6822" w:rsidRDefault="00D10A19" w:rsidP="00F146A6">
      <w:pPr>
        <w:pStyle w:val="a3"/>
      </w:pPr>
      <w:r w:rsidRPr="003A6822">
        <w:rPr>
          <w:rtl/>
        </w:rPr>
        <w:t xml:space="preserve">באותיות אחרות: "ידיעה" ו"הבנה" הוא ענין ה"כמות" (לאחד יש יותר ידיעה ולאחד יש פחות ידיעה), ולכן ניתן לומר בזה הכלל ד"בכלל מאתים, מנה", ולכן ע"פ הבנה ימצא שהקטן אינו יכול </w:t>
      </w:r>
      <w:r w:rsidRPr="003A6822">
        <w:rPr>
          <w:b/>
          <w:bCs/>
          <w:rtl/>
        </w:rPr>
        <w:t>להיעשות</w:t>
      </w:r>
      <w:r w:rsidRPr="003A6822">
        <w:rPr>
          <w:rtl/>
        </w:rPr>
        <w:t xml:space="preserve"> שליח, אבל לכאורה ע"פ סברא זו יכול הוא </w:t>
      </w:r>
      <w:r w:rsidRPr="003A6822">
        <w:rPr>
          <w:b/>
          <w:bCs/>
          <w:rtl/>
        </w:rPr>
        <w:t>לעשות</w:t>
      </w:r>
      <w:r w:rsidRPr="003A6822">
        <w:rPr>
          <w:rtl/>
        </w:rPr>
        <w:t xml:space="preserve"> שליח. משא"כ "הבחנה" ו"הבדלה" הוא ענין ה"איכות" (לאחד יש את הכח להבחין ולאחד אין את הכח להבחין), ולכן לא ניתן לומר בזה הכלל ד"בכלל מאתים, מנה", ולכן הסברא נותנת שהקטן לא רק שאינו יכול הוא </w:t>
      </w:r>
      <w:r w:rsidRPr="003A6822">
        <w:rPr>
          <w:b/>
          <w:bCs/>
          <w:rtl/>
        </w:rPr>
        <w:t xml:space="preserve">להיעשות </w:t>
      </w:r>
      <w:r w:rsidRPr="003A6822">
        <w:rPr>
          <w:rtl/>
        </w:rPr>
        <w:t xml:space="preserve">שליח, אלא גם אינו יכול </w:t>
      </w:r>
      <w:r w:rsidRPr="003A6822">
        <w:rPr>
          <w:b/>
          <w:bCs/>
          <w:rtl/>
        </w:rPr>
        <w:t>לעשות</w:t>
      </w:r>
      <w:r w:rsidRPr="003A6822">
        <w:rPr>
          <w:rtl/>
        </w:rPr>
        <w:t xml:space="preserve"> שליח.</w:t>
      </w:r>
    </w:p>
    <w:p w:rsidR="00D10A19" w:rsidRPr="003A6822" w:rsidRDefault="00D10A19" w:rsidP="00F146A6">
      <w:pPr>
        <w:pStyle w:val="a3"/>
        <w:rPr>
          <w:rtl/>
        </w:rPr>
      </w:pPr>
      <w:r w:rsidRPr="003A6822">
        <w:rPr>
          <w:rtl/>
        </w:rPr>
        <w:t xml:space="preserve">ט. ואם כנים הדברים י"ל דבזה מתורץ מה שהקשינו לעיל על דברי הרבי: דצ"ב שהרי כאן בלקו"ש נחית הרבי לבאר מדוע אין הקטן (והנכרי) יכול </w:t>
      </w:r>
      <w:r w:rsidRPr="003A6822">
        <w:rPr>
          <w:b/>
          <w:bCs/>
          <w:rtl/>
        </w:rPr>
        <w:t>להיעשות</w:t>
      </w:r>
      <w:r w:rsidRPr="003A6822">
        <w:rPr>
          <w:rtl/>
        </w:rPr>
        <w:t xml:space="preserve"> שליח (ולא נחית לבאר מדוע אין הקטן יכול </w:t>
      </w:r>
      <w:r w:rsidRPr="003A6822">
        <w:rPr>
          <w:b/>
          <w:bCs/>
          <w:rtl/>
        </w:rPr>
        <w:t xml:space="preserve">לעשות </w:t>
      </w:r>
      <w:r w:rsidRPr="003A6822">
        <w:rPr>
          <w:rtl/>
        </w:rPr>
        <w:t xml:space="preserve">שליח). וא"כ לזה היה צריך להביא כמקור, את הגמ' בגיטין! דשם מבואר בהסוגיא (כנ"ל) דאין הקטן </w:t>
      </w:r>
      <w:r w:rsidRPr="003A6822">
        <w:rPr>
          <w:b/>
          <w:bCs/>
          <w:rtl/>
        </w:rPr>
        <w:t>נעשה</w:t>
      </w:r>
      <w:r w:rsidRPr="003A6822">
        <w:rPr>
          <w:rtl/>
        </w:rPr>
        <w:t xml:space="preserve"> שליח כיון "דלאו בני דיעה נינהו" וע"ז מבאר רש"י כיון ד"גבי שליחות איש בעינן", ואין לו להביא כמקור את הגמ' בקידושין, דהרי שם מבואר בהסוגיא (כנ"ל) דאין הקטן </w:t>
      </w:r>
      <w:r w:rsidRPr="003A6822">
        <w:rPr>
          <w:b/>
          <w:bCs/>
          <w:rtl/>
        </w:rPr>
        <w:t>עושה</w:t>
      </w:r>
      <w:r w:rsidRPr="003A6822">
        <w:rPr>
          <w:rtl/>
        </w:rPr>
        <w:t xml:space="preserve"> שליח וע"ז מבאר רש"י כיון ד"גבי ושלח ושלחה איש כתיב".</w:t>
      </w:r>
    </w:p>
    <w:p w:rsidR="00D10A19" w:rsidRPr="003A6822" w:rsidRDefault="00D10A19" w:rsidP="00F146A6">
      <w:pPr>
        <w:pStyle w:val="a3"/>
      </w:pPr>
      <w:r w:rsidRPr="003A6822">
        <w:rPr>
          <w:rtl/>
        </w:rPr>
        <w:t xml:space="preserve">די"ל דכוונת הרבי בהביאו כמקור גם את הגמ' בקידושין ששם מבואר דאין הקטן </w:t>
      </w:r>
      <w:r w:rsidRPr="003A6822">
        <w:rPr>
          <w:b/>
          <w:bCs/>
          <w:rtl/>
        </w:rPr>
        <w:t xml:space="preserve">עושה </w:t>
      </w:r>
      <w:r w:rsidRPr="003A6822">
        <w:rPr>
          <w:rtl/>
        </w:rPr>
        <w:t xml:space="preserve">שליח. היא משום שדעתו של הרבי היא ש"דעת" פירושו "הבחנה" ו"הבדלה" ולכן כיון שלקטן אין "הבחנה" ו"הבדלה" הרי שלא רק שאין הוא יכול </w:t>
      </w:r>
      <w:r w:rsidRPr="003A6822">
        <w:rPr>
          <w:b/>
          <w:bCs/>
          <w:rtl/>
        </w:rPr>
        <w:t>להיעשות</w:t>
      </w:r>
      <w:r w:rsidRPr="003A6822">
        <w:rPr>
          <w:rtl/>
        </w:rPr>
        <w:t xml:space="preserve"> שליח לאחד שיש לו "הבחנה" ו"הבדלה" אלא גם אינו יכול </w:t>
      </w:r>
      <w:r w:rsidRPr="003A6822">
        <w:rPr>
          <w:b/>
          <w:bCs/>
          <w:rtl/>
        </w:rPr>
        <w:t xml:space="preserve">לעשות </w:t>
      </w:r>
      <w:r w:rsidRPr="003A6822">
        <w:rPr>
          <w:rtl/>
        </w:rPr>
        <w:t xml:space="preserve">שליח את אחד שיש לו "הבחנה" ו"הבדלה" כיון ש(כנ"ל) לא ניתן לומר בזה הכלל ד"בכלל מאתים, מנה". אבל באם היה הרבי מביא כמקור רק את הגמ' בגיטין דשם מבואר דאין הקטן </w:t>
      </w:r>
      <w:r w:rsidRPr="003A6822">
        <w:rPr>
          <w:b/>
          <w:bCs/>
          <w:rtl/>
        </w:rPr>
        <w:t>נעשה</w:t>
      </w:r>
      <w:r w:rsidRPr="003A6822">
        <w:rPr>
          <w:rtl/>
        </w:rPr>
        <w:t xml:space="preserve"> שליח הרי מקום לומר שהרבי הבין ש"דעת" פירושו "ידיעה" ו"הבנה" ולכן כיון שלקטן אין "ידיעה" ו"הבנה" הרי שאין הוא יכול </w:t>
      </w:r>
      <w:r w:rsidRPr="003A6822">
        <w:rPr>
          <w:b/>
          <w:bCs/>
          <w:rtl/>
        </w:rPr>
        <w:t xml:space="preserve">להיעשות </w:t>
      </w:r>
      <w:r w:rsidRPr="003A6822">
        <w:rPr>
          <w:rtl/>
        </w:rPr>
        <w:t xml:space="preserve">שליח לאחד שיש לו "ידיעה" ו"הבנה" אבל עדיין י"ל שיכול הוא </w:t>
      </w:r>
      <w:r w:rsidRPr="003A6822">
        <w:rPr>
          <w:b/>
          <w:bCs/>
          <w:rtl/>
        </w:rPr>
        <w:t xml:space="preserve">לעשות </w:t>
      </w:r>
      <w:r w:rsidRPr="003A6822">
        <w:rPr>
          <w:rtl/>
        </w:rPr>
        <w:t xml:space="preserve">שליח את אחד שיש לו "ידיעה" ו"הבנה" כיון ש(כנ"ל) י"ל הכלל ד"בכלל מאתים, מנה". </w:t>
      </w:r>
    </w:p>
    <w:p w:rsidR="00D10A19" w:rsidRPr="003A6822" w:rsidRDefault="00D10A19" w:rsidP="00F146A6">
      <w:pPr>
        <w:pStyle w:val="a3"/>
        <w:rPr>
          <w:rtl/>
        </w:rPr>
      </w:pPr>
      <w:r w:rsidRPr="003A6822">
        <w:rPr>
          <w:rtl/>
        </w:rPr>
        <w:t xml:space="preserve">לפ"ז נמצא שהטעם דאין הקטן יכול </w:t>
      </w:r>
      <w:r w:rsidRPr="003A6822">
        <w:rPr>
          <w:b/>
          <w:bCs/>
          <w:rtl/>
        </w:rPr>
        <w:t xml:space="preserve">לעשות </w:t>
      </w:r>
      <w:r w:rsidRPr="003A6822">
        <w:rPr>
          <w:rtl/>
        </w:rPr>
        <w:t xml:space="preserve">שליח, הוא מאותו הטעם ממש שאין הקטן יכול </w:t>
      </w:r>
      <w:r w:rsidRPr="003A6822">
        <w:rPr>
          <w:b/>
          <w:bCs/>
          <w:rtl/>
        </w:rPr>
        <w:t>להיעשות</w:t>
      </w:r>
      <w:r w:rsidRPr="003A6822">
        <w:rPr>
          <w:rtl/>
        </w:rPr>
        <w:t xml:space="preserve"> שליח, והוא כיון שאינו בר דעת.</w:t>
      </w:r>
    </w:p>
    <w:p w:rsidR="00D10A19" w:rsidRPr="003A6822" w:rsidRDefault="00D10A19" w:rsidP="00F146A6">
      <w:pPr>
        <w:pStyle w:val="a3"/>
        <w:rPr>
          <w:rtl/>
        </w:rPr>
      </w:pPr>
      <w:r w:rsidRPr="003A6822">
        <w:rPr>
          <w:rtl/>
        </w:rPr>
        <w:t xml:space="preserve">י. ודאתינן להכי הרי שע"פ כל הנ"ל, יבואר לנו עומק תירוצו של הרבי על קושייתו שהקשה על רבינו הזקן שכתב: </w:t>
      </w:r>
      <w:r w:rsidRPr="003A6822">
        <w:rPr>
          <w:rFonts w:eastAsia="Times New Roman"/>
          <w:rtl/>
        </w:rPr>
        <w:t xml:space="preserve">בנוגע לענין השליחות "דשלוחו של אדם כמותו, ולכן אין שליחות לחרש שוטה וקטן </w:t>
      </w:r>
      <w:r w:rsidRPr="003A6822">
        <w:rPr>
          <w:rFonts w:eastAsia="Times New Roman"/>
          <w:b/>
          <w:bCs/>
          <w:rtl/>
        </w:rPr>
        <w:t>שאינן כמותו דהמשלח</w:t>
      </w:r>
      <w:r w:rsidRPr="003A6822">
        <w:rPr>
          <w:rFonts w:eastAsia="Times New Roman"/>
          <w:rtl/>
        </w:rPr>
        <w:t>".</w:t>
      </w:r>
    </w:p>
    <w:p w:rsidR="00D10A19" w:rsidRPr="003A6822" w:rsidRDefault="00D10A19" w:rsidP="00F146A6">
      <w:pPr>
        <w:pStyle w:val="a3"/>
        <w:rPr>
          <w:rtl/>
        </w:rPr>
      </w:pPr>
      <w:r w:rsidRPr="003A6822">
        <w:rPr>
          <w:rtl/>
        </w:rPr>
        <w:t xml:space="preserve">ולכאורה צ"ע, שהרי מפורש בגמ' שהטעם שאינן בני שליחות הוא משום "דלאו </w:t>
      </w:r>
      <w:r w:rsidRPr="003A6822">
        <w:rPr>
          <w:rtl/>
        </w:rPr>
        <w:lastRenderedPageBreak/>
        <w:t>בני דיעה נינהו"?</w:t>
      </w:r>
    </w:p>
    <w:p w:rsidR="00D10A19" w:rsidRPr="003A6822" w:rsidRDefault="00D10A19" w:rsidP="00F146A6">
      <w:pPr>
        <w:pStyle w:val="a3"/>
        <w:rPr>
          <w:rtl/>
        </w:rPr>
      </w:pPr>
      <w:r w:rsidRPr="003A6822">
        <w:rPr>
          <w:rtl/>
        </w:rPr>
        <w:t>ואף שי"ל שזהו פירוש דברי הגמ', דמכיון שאינן בני דיעה נמצא שאינן "כמותו דהמשלח" – מ"מ צריך ביאור מהו ההכרח לפירוש זה?</w:t>
      </w:r>
    </w:p>
    <w:p w:rsidR="00D10A19" w:rsidRPr="003A6822" w:rsidRDefault="00D10A19" w:rsidP="00F146A6">
      <w:pPr>
        <w:pStyle w:val="a3"/>
        <w:rPr>
          <w:rtl/>
        </w:rPr>
      </w:pPr>
      <w:r w:rsidRPr="003A6822">
        <w:rPr>
          <w:rtl/>
        </w:rPr>
        <w:t>וע"ז מתרץ הרבי:</w:t>
      </w:r>
    </w:p>
    <w:p w:rsidR="00D10A19" w:rsidRPr="003A6822" w:rsidRDefault="00D10A19" w:rsidP="00F146A6">
      <w:pPr>
        <w:pStyle w:val="a3"/>
        <w:rPr>
          <w:rtl/>
        </w:rPr>
      </w:pPr>
      <w:r w:rsidRPr="003A6822">
        <w:rPr>
          <w:rtl/>
        </w:rPr>
        <w:t>ידוע הכלל דקטן אין לו כוונה, אבל יש לו מעשה. ועפ"ז, את"ל שענין השליחות אינו זה שהשליח עומד במקום המשלח, אלא רק שעשייתו מועלת עבור המשלח, א"כ בדברים שאינם צריכים כוונה אלא עשי' בלבד, אין טעם לכאורה שלא יהי' דין שליחות לקטן?</w:t>
      </w:r>
    </w:p>
    <w:p w:rsidR="00D10A19" w:rsidRPr="003A6822" w:rsidRDefault="00D10A19" w:rsidP="00F146A6">
      <w:pPr>
        <w:pStyle w:val="a3"/>
        <w:rPr>
          <w:rtl/>
        </w:rPr>
      </w:pPr>
      <w:r w:rsidRPr="003A6822">
        <w:rPr>
          <w:rtl/>
        </w:rPr>
        <w:t>וזהו שדייק רבינו הזקן לומר דמה שחש"ו אינן בני שליחות הוא מפני שאינן "כמותו דהמשלח" – שלכן הם מופקעים בעצם מגדר השליחות. כלומר: אף שבנוגע ל</w:t>
      </w:r>
      <w:r w:rsidRPr="003A6822">
        <w:rPr>
          <w:b/>
          <w:bCs/>
          <w:rtl/>
        </w:rPr>
        <w:t xml:space="preserve">מעשה </w:t>
      </w:r>
      <w:r w:rsidRPr="003A6822">
        <w:rPr>
          <w:rtl/>
        </w:rPr>
        <w:t>השליחות הי' מקום לומר שישנם בשליחות, שעשייתם תועיל עבור המשלח, מ"מ, אין הם בתורת שליחות, כי אא"פ שיחול עליהם שם שליח, מאחר שאינם "כמותו דהמשלח".</w:t>
      </w:r>
    </w:p>
    <w:p w:rsidR="00D10A19" w:rsidRPr="003A6822" w:rsidRDefault="00D10A19" w:rsidP="00F146A6">
      <w:pPr>
        <w:pStyle w:val="a3"/>
        <w:rPr>
          <w:rtl/>
        </w:rPr>
      </w:pPr>
      <w:r w:rsidRPr="003A6822">
        <w:rPr>
          <w:rtl/>
        </w:rPr>
        <w:t xml:space="preserve">ומבואר מדברי הרבי, דזה שאין הקטן יכול </w:t>
      </w:r>
      <w:r w:rsidRPr="003A6822">
        <w:rPr>
          <w:b/>
          <w:bCs/>
          <w:rtl/>
        </w:rPr>
        <w:t xml:space="preserve">להיעשות </w:t>
      </w:r>
      <w:r w:rsidRPr="003A6822">
        <w:rPr>
          <w:rtl/>
        </w:rPr>
        <w:t xml:space="preserve">שליח וגם אינו </w:t>
      </w:r>
      <w:r w:rsidRPr="003A6822">
        <w:rPr>
          <w:b/>
          <w:bCs/>
          <w:rtl/>
        </w:rPr>
        <w:t xml:space="preserve">נעשה </w:t>
      </w:r>
      <w:r w:rsidRPr="003A6822">
        <w:rPr>
          <w:rtl/>
        </w:rPr>
        <w:t xml:space="preserve">שליח אין זה רק משום "דלאו בני דעה נינהו" שאין בהם כח ה"הבחנה" וה"הבדלה", דאם זהו הפירוש "דלאו בני דיעה נינהו" הרי שי"ל דבמקום דאין צריך לכח זה אלא רק עשי' בלבד אין מבואר מדוע אין הקטן </w:t>
      </w:r>
      <w:r w:rsidRPr="003A6822">
        <w:rPr>
          <w:b/>
          <w:bCs/>
          <w:rtl/>
        </w:rPr>
        <w:t>נעשה</w:t>
      </w:r>
      <w:r w:rsidRPr="003A6822">
        <w:rPr>
          <w:rtl/>
        </w:rPr>
        <w:t xml:space="preserve"> או </w:t>
      </w:r>
      <w:r w:rsidRPr="003A6822">
        <w:rPr>
          <w:b/>
          <w:bCs/>
          <w:rtl/>
        </w:rPr>
        <w:t>עושה</w:t>
      </w:r>
      <w:r w:rsidRPr="003A6822">
        <w:rPr>
          <w:rtl/>
        </w:rPr>
        <w:t xml:space="preserve"> שליח לדבר זה דאדרבה כיון שאין צריך לדעתו ורק צריך למעשיו הרי שאין שום סיבה שאין הוא יכול </w:t>
      </w:r>
      <w:r w:rsidRPr="003A6822">
        <w:rPr>
          <w:b/>
          <w:bCs/>
          <w:rtl/>
        </w:rPr>
        <w:t xml:space="preserve">להיעשות </w:t>
      </w:r>
      <w:r w:rsidRPr="003A6822">
        <w:rPr>
          <w:rtl/>
        </w:rPr>
        <w:t>ו</w:t>
      </w:r>
      <w:r w:rsidRPr="003A6822">
        <w:rPr>
          <w:b/>
          <w:bCs/>
          <w:rtl/>
        </w:rPr>
        <w:t>לעשות</w:t>
      </w:r>
      <w:r w:rsidRPr="003A6822">
        <w:rPr>
          <w:rtl/>
        </w:rPr>
        <w:t xml:space="preserve"> שליח. וזהו שמבאר הרבי שחידש רבינו הזקן שבשום אופן אפילו לגבי מעשיו של הקטן אין הקטן יכול </w:t>
      </w:r>
      <w:r w:rsidRPr="003A6822">
        <w:rPr>
          <w:b/>
          <w:bCs/>
          <w:rtl/>
        </w:rPr>
        <w:t xml:space="preserve">להיעשות </w:t>
      </w:r>
      <w:r w:rsidRPr="003A6822">
        <w:rPr>
          <w:rtl/>
        </w:rPr>
        <w:t>ו</w:t>
      </w:r>
      <w:r w:rsidRPr="003A6822">
        <w:rPr>
          <w:b/>
          <w:bCs/>
          <w:rtl/>
        </w:rPr>
        <w:t>לעשות</w:t>
      </w:r>
      <w:r w:rsidRPr="003A6822">
        <w:rPr>
          <w:rtl/>
        </w:rPr>
        <w:t xml:space="preserve"> שליח כיון שאז יחסר בדין ד"כמותו" דהמשלח.</w:t>
      </w:r>
    </w:p>
    <w:p w:rsidR="00D10A19" w:rsidRPr="003A6822" w:rsidRDefault="00D10A19" w:rsidP="00F146A6">
      <w:pPr>
        <w:pStyle w:val="a3"/>
        <w:rPr>
          <w:rtl/>
        </w:rPr>
      </w:pPr>
      <w:r w:rsidRPr="003A6822">
        <w:rPr>
          <w:rtl/>
        </w:rPr>
        <w:t>יא. ובביאור הדברים בגדר ד"כמותו" דהמשלח י"ל עוד נקודה. ובהקדים:</w:t>
      </w:r>
    </w:p>
    <w:p w:rsidR="00D10A19" w:rsidRPr="003A6822" w:rsidRDefault="00D10A19" w:rsidP="004820B2">
      <w:pPr>
        <w:pStyle w:val="a3"/>
        <w:rPr>
          <w:rtl/>
        </w:rPr>
      </w:pPr>
      <w:r w:rsidRPr="003A6822">
        <w:rPr>
          <w:rtl/>
        </w:rPr>
        <w:t>דהנה מבאר הרבי בלקו"ש חלק כב (פרשיות בהר-בחוקותי, אות ג – עמוד 161</w:t>
      </w:r>
      <w:r w:rsidRPr="004820B2">
        <w:rPr>
          <w:vertAlign w:val="superscript"/>
        </w:rPr>
        <w:t>6</w:t>
      </w:r>
      <w:r w:rsidRPr="003A6822">
        <w:rPr>
          <w:rtl/>
        </w:rPr>
        <w:t>): בהחילוק יש בין "עבד ל"שליח", אע"פ ש"שלוחו של אדם כמותו", שזה כולל (גם ובעיקר) את המדריגה הגבוהה בשליחות, שהשליח בעת שליחותו נהיה מציאותו של המשלח.</w:t>
      </w:r>
    </w:p>
    <w:p w:rsidR="00D10A19" w:rsidRPr="003A6822" w:rsidRDefault="00D10A19" w:rsidP="00F146A6">
      <w:pPr>
        <w:pStyle w:val="a3"/>
        <w:rPr>
          <w:rtl/>
        </w:rPr>
      </w:pPr>
      <w:r w:rsidRPr="003A6822">
        <w:rPr>
          <w:rtl/>
        </w:rPr>
        <w:t>... אעפ"כ שייך להבדיל בין השליח למשלח (שלכן אומרים "שלוחו של אדם כמותו" רק לגבי ענין השליחות, ולא לגבי שאר ענינים אפילו בשעת מעשה);</w:t>
      </w:r>
    </w:p>
    <w:p w:rsidR="00D10A19" w:rsidRPr="003A6822" w:rsidRDefault="00D10A19" w:rsidP="00F146A6">
      <w:pPr>
        <w:pStyle w:val="a3"/>
        <w:rPr>
          <w:rtl/>
        </w:rPr>
      </w:pPr>
      <w:r w:rsidRPr="003A6822">
        <w:rPr>
          <w:rtl/>
        </w:rPr>
        <w:t>משא"כ עבד אינו מציאות לעצמו כלל, כל מציאותו היא מציאות האדון. ולכן – "מה שקנה עבד (כל מה שיש לעבד) קנה רבו".</w:t>
      </w:r>
    </w:p>
    <w:p w:rsidR="00D10A19" w:rsidRPr="003A6822" w:rsidRDefault="00D10A19" w:rsidP="00F146A6">
      <w:pPr>
        <w:pStyle w:val="a3"/>
        <w:rPr>
          <w:rtl/>
        </w:rPr>
      </w:pPr>
      <w:r w:rsidRPr="003A6822">
        <w:rPr>
          <w:rtl/>
        </w:rPr>
        <w:t>כיון ששליח הוא מציאות בפני עצמו, ש</w:t>
      </w:r>
      <w:r w:rsidRPr="003A6822">
        <w:rPr>
          <w:b/>
          <w:bCs/>
          <w:rtl/>
        </w:rPr>
        <w:t>מבטל</w:t>
      </w:r>
      <w:r w:rsidRPr="003A6822">
        <w:rPr>
          <w:rtl/>
        </w:rPr>
        <w:t xml:space="preserve"> את עצמו למשלח, ולכן גם בשעת </w:t>
      </w:r>
      <w:r w:rsidRPr="003A6822">
        <w:rPr>
          <w:rtl/>
        </w:rPr>
        <w:lastRenderedPageBreak/>
        <w:t>הביטול יש מקום למציאותו; משא"כ עבד אין הוא צריך להתבטל לאדון – אלא שהוא מלכתחילה רק "רכושו וקנינו" של האדון, ובמילא אין הוא מציאות לעצמו כלל.</w:t>
      </w:r>
    </w:p>
    <w:p w:rsidR="00D10A19" w:rsidRPr="003A6822" w:rsidRDefault="00D10A19" w:rsidP="00F146A6">
      <w:pPr>
        <w:pStyle w:val="a3"/>
        <w:rPr>
          <w:rtl/>
        </w:rPr>
      </w:pPr>
      <w:r w:rsidRPr="003A6822">
        <w:rPr>
          <w:rtl/>
        </w:rPr>
        <w:t>והוסיף הרבי בהערה 28: עפ"ז יומתק זה שהשליח צ"ל דוקא "כמותו" דהמשלח (ראה קדושין מא,ב: מה אתם בני ברית כו'. ובלקו"ת ויקרא (א,ג): ולכן אין שליחות לחרש שוטה וקטן שאינן כמותו דהמשלח). – וראה בארוכה לקו"ש חל"ג ע' 114 ואילך.</w:t>
      </w:r>
    </w:p>
    <w:p w:rsidR="00D10A19" w:rsidRPr="003A6822" w:rsidRDefault="00D10A19" w:rsidP="00F146A6">
      <w:pPr>
        <w:pStyle w:val="a3"/>
        <w:rPr>
          <w:rtl/>
        </w:rPr>
      </w:pPr>
      <w:r w:rsidRPr="003A6822">
        <w:rPr>
          <w:rtl/>
        </w:rPr>
        <w:t xml:space="preserve">ומבואר דדעת הרבי היא ש"כמותו" פירושו היות שכל דין השליחות הוא חידוש, והיינו שאע"פ שהשליח הוא מציאות בפ"ע, אעפ"כ מועילים מעשיו להמשלח, ולכן צריך שיהיה איזה דבר שיפעול שהשליח יהיה מאוחד עם המשלח, וזה נעשה ע"י שהשליח </w:t>
      </w:r>
      <w:r w:rsidRPr="003A6822">
        <w:rPr>
          <w:b/>
          <w:bCs/>
          <w:rtl/>
        </w:rPr>
        <w:t>בטל</w:t>
      </w:r>
      <w:r w:rsidRPr="003A6822">
        <w:rPr>
          <w:rtl/>
        </w:rPr>
        <w:t xml:space="preserve"> להמשלח.</w:t>
      </w:r>
    </w:p>
    <w:p w:rsidR="00D10A19" w:rsidRPr="003A6822" w:rsidRDefault="00D10A19" w:rsidP="00F146A6">
      <w:pPr>
        <w:pStyle w:val="a3"/>
        <w:rPr>
          <w:rtl/>
        </w:rPr>
      </w:pPr>
      <w:r w:rsidRPr="003A6822">
        <w:rPr>
          <w:rtl/>
        </w:rPr>
        <w:t>וזהו גם מה שציין הרבי בהערה שם: וראה בארוכה לקו"ש חל"ג. ולכאורה כוונתו כמ"ש, שהך ביאור בלקו"ש חכ"ב בגדרו של שליח "כמותו דהמשלח" הוא הביאור בתירוצו של הרבי בלקו"ש חל"ג.</w:t>
      </w:r>
    </w:p>
    <w:p w:rsidR="00D10A19" w:rsidRPr="003A6822" w:rsidRDefault="00D10A19" w:rsidP="00F146A6">
      <w:pPr>
        <w:pStyle w:val="a3"/>
        <w:rPr>
          <w:rtl/>
        </w:rPr>
      </w:pPr>
      <w:r w:rsidRPr="003A6822">
        <w:rPr>
          <w:rtl/>
        </w:rPr>
        <w:t>ועפ"ז מבואר בטוב טעם מה שהוסיף רבינו הזקן באומרו "כמותו דהמשלח" דזהו טעם הפסול דנכרי, דאינו יכול להיות בטל להישראל, וממילא אינו מתאחד עמו, ולכן "אין שליחות לנכרי". וכ"ה בקטן, שאף שהוא "ישראל", מ"מ כיון ד"קטנים לאו בני דיעה נינהו" אין להקטן דעת לבטל את עצמו להמשלח אפילו רק גבי מעשיו.</w:t>
      </w:r>
    </w:p>
    <w:p w:rsidR="00364372" w:rsidRDefault="00364372" w:rsidP="0036437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D10A19" w:rsidRPr="00D10A19" w:rsidRDefault="00D10A19" w:rsidP="00D10A19">
      <w:pPr>
        <w:pStyle w:val="a0"/>
        <w:rPr>
          <w:rFonts w:ascii="Arial" w:hAnsi="Arial" w:cs="Arial"/>
          <w:color w:val="222222"/>
          <w:sz w:val="24"/>
          <w:szCs w:val="24"/>
        </w:rPr>
      </w:pPr>
      <w:bookmarkStart w:id="139" w:name="_Toc43963108"/>
      <w:r w:rsidRPr="00D10A19">
        <w:rPr>
          <w:rtl/>
        </w:rPr>
        <w:t>ביאור בבן בג בג במס' ב"ק (א)</w:t>
      </w:r>
      <w:bookmarkEnd w:id="139"/>
    </w:p>
    <w:p w:rsidR="00D10A19" w:rsidRPr="00D10A19" w:rsidRDefault="00D10A19" w:rsidP="00F146A6">
      <w:pPr>
        <w:pStyle w:val="11"/>
        <w:bidi/>
        <w:rPr>
          <w:rFonts w:ascii="Arial" w:hAnsi="Arial" w:cs="Arial"/>
          <w:color w:val="222222"/>
          <w:rtl/>
        </w:rPr>
      </w:pPr>
      <w:r w:rsidRPr="00D10A19">
        <w:rPr>
          <w:rtl/>
        </w:rPr>
        <w:t>סוגיית הגמ' בדין "עביד איניש דינא לנפשיה"</w:t>
      </w:r>
    </w:p>
    <w:p w:rsidR="00D10A19" w:rsidRDefault="00D10A19" w:rsidP="00F146A6">
      <w:pPr>
        <w:pStyle w:val="a"/>
        <w:rPr>
          <w:rtl/>
        </w:rPr>
      </w:pPr>
      <w:bookmarkStart w:id="140" w:name="_Toc43963109"/>
      <w:r>
        <w:rPr>
          <w:rFonts w:hint="cs"/>
          <w:rtl/>
        </w:rPr>
        <w:t xml:space="preserve">הרב </w:t>
      </w:r>
      <w:r w:rsidRPr="00D10A19">
        <w:rPr>
          <w:rtl/>
        </w:rPr>
        <w:t>מרדכי רובין</w:t>
      </w:r>
      <w:bookmarkEnd w:id="140"/>
    </w:p>
    <w:p w:rsidR="00D10A19" w:rsidRPr="00D10A19" w:rsidRDefault="00D10A19" w:rsidP="00D10A19">
      <w:pPr>
        <w:pStyle w:val="a1"/>
        <w:rPr>
          <w:sz w:val="22"/>
          <w:szCs w:val="22"/>
        </w:rPr>
      </w:pPr>
      <w:r>
        <w:rPr>
          <w:rtl/>
        </w:rPr>
        <w:t>שליח כ"ק אדמו"ר</w:t>
      </w:r>
      <w:r w:rsidRPr="00D10A19">
        <w:rPr>
          <w:rtl/>
        </w:rPr>
        <w:t xml:space="preserve"> - אלבאני נ.י.</w:t>
      </w:r>
    </w:p>
    <w:p w:rsidR="00D10A19" w:rsidRPr="00D10A19" w:rsidRDefault="00D10A19" w:rsidP="00F146A6">
      <w:pPr>
        <w:pStyle w:val="11"/>
        <w:bidi/>
        <w:rPr>
          <w:rFonts w:ascii="Arial" w:hAnsi="Arial" w:cs="Arial"/>
          <w:color w:val="222222"/>
        </w:rPr>
      </w:pPr>
      <w:r w:rsidRPr="00D10A19">
        <w:rPr>
          <w:rtl/>
        </w:rPr>
        <w:t>א</w:t>
      </w:r>
      <w:r w:rsidRPr="00D10A19">
        <w:rPr>
          <w:rFonts w:ascii="Cambria" w:hAnsi="Cambria" w:cs="Cambria" w:hint="cs"/>
          <w:rtl/>
        </w:rPr>
        <w:t> </w:t>
      </w:r>
    </w:p>
    <w:p w:rsidR="00D10A19" w:rsidRPr="00D10A19" w:rsidRDefault="00D10A19" w:rsidP="00F146A6">
      <w:pPr>
        <w:pStyle w:val="11"/>
        <w:bidi/>
        <w:rPr>
          <w:rFonts w:ascii="Arial" w:hAnsi="Arial" w:cs="Arial"/>
          <w:color w:val="222222"/>
          <w:rtl/>
        </w:rPr>
      </w:pPr>
      <w:r w:rsidRPr="00D10A19">
        <w:rPr>
          <w:rtl/>
        </w:rPr>
        <w:t>סוגיית הגמ' בדין "עביד איניש דינא לנפשיה"</w:t>
      </w:r>
    </w:p>
    <w:p w:rsidR="00D10A19" w:rsidRPr="00D10A19" w:rsidRDefault="00D10A19" w:rsidP="00F146A6">
      <w:pPr>
        <w:pStyle w:val="a3"/>
        <w:rPr>
          <w:rFonts w:ascii="Arial" w:hAnsi="Arial" w:cs="Arial"/>
          <w:color w:val="222222"/>
        </w:rPr>
      </w:pPr>
      <w:r w:rsidRPr="00D10A19">
        <w:rPr>
          <w:rtl/>
        </w:rPr>
        <w:t>והנה ידוע המח' בדין "עביד איניש דינא לנפשיה" בין ר"נ ור"י, ונפסק הלכה ברמב"ם ובשו"ע כר"נ דאמר עביד איניש דינא לנפשיה" אפי' היכא דאיכא פסידא. ובלשון הרי"ף "והל' כר"נ דקיי"ל (כתובות יג, א) הל' כר"נ בדיני".</w:t>
      </w:r>
    </w:p>
    <w:p w:rsidR="00D10A19" w:rsidRPr="00D10A19" w:rsidRDefault="00D10A19" w:rsidP="00F146A6">
      <w:pPr>
        <w:pStyle w:val="a3"/>
        <w:rPr>
          <w:rFonts w:ascii="Arial" w:hAnsi="Arial" w:cs="Arial"/>
          <w:color w:val="222222"/>
          <w:rtl/>
        </w:rPr>
      </w:pPr>
      <w:r w:rsidRPr="00D10A19">
        <w:rPr>
          <w:rtl/>
        </w:rPr>
        <w:t xml:space="preserve">והמקור הוא בגמ', דאיתא במס' ב"ק (כז, ב) "דאתמר רב יהודה אמר לא עביד איניש דינא לנפשיה רב נחמן אמר עביד איניש דינא לנפשיה היכא דאיכא פסידא כ"ע </w:t>
      </w:r>
      <w:r w:rsidRPr="00D10A19">
        <w:rPr>
          <w:rtl/>
        </w:rPr>
        <w:lastRenderedPageBreak/>
        <w:t>לא פליגי דעביד איניש דינא לנפשיה כי פליגי היכא דליכא פסידא רב יהודה אמר לא עביד איניש דינא לנפשיה דכיון דליכא פסידא ליזיל קמיה דיינא ר"נ אמר עביד איניש דינא לנפשיה דכיון דבדין עביד לא טרח".</w:t>
      </w:r>
    </w:p>
    <w:p w:rsidR="00D10A19" w:rsidRPr="00D10A19" w:rsidRDefault="00D10A19" w:rsidP="00F146A6">
      <w:pPr>
        <w:pStyle w:val="a3"/>
        <w:rPr>
          <w:rFonts w:ascii="Arial" w:hAnsi="Arial" w:cs="Arial"/>
          <w:color w:val="222222"/>
        </w:rPr>
      </w:pPr>
      <w:r w:rsidRPr="00D10A19">
        <w:rPr>
          <w:rtl/>
        </w:rPr>
        <w:t>ובהמשך מביאה הגמ' שאלה לשיטת ר"י, מברייתא: "מתיב רב כהנא בן בג בג אומר אל תיכנס לחצר חברך ליטול את שלך שלא ברשות שמא תראה עליו כגנב אלא שבור את שיניו ואמור לו שלי אני נוטל א"ל עמך בן בג בג יחידאה הוא ופליגי רבנן עליה רבי ינאי אמר מאי שבור את שיניו בדין אי הכי ואמור לו ואומרים לו מיבעי ליה שלי אני נוטל שלו הוא נוטל מיבעי ליה, קשיא."</w:t>
      </w:r>
      <w:r w:rsidRPr="00D10A19">
        <w:rPr>
          <w:rFonts w:ascii="Cambria" w:hAnsi="Cambria" w:cs="Cambria" w:hint="cs"/>
          <w:rtl/>
        </w:rPr>
        <w:t> </w:t>
      </w:r>
    </w:p>
    <w:p w:rsidR="00D10A19" w:rsidRPr="00D10A19" w:rsidRDefault="00D10A19" w:rsidP="00F146A6">
      <w:pPr>
        <w:pStyle w:val="a3"/>
        <w:rPr>
          <w:rFonts w:ascii="Arial" w:hAnsi="Arial" w:cs="Arial"/>
          <w:color w:val="222222"/>
          <w:rtl/>
        </w:rPr>
      </w:pPr>
      <w:r w:rsidRPr="00D10A19">
        <w:rPr>
          <w:rtl/>
        </w:rPr>
        <w:t>ורש"י מבאר הסוגיא של הדין דבן בג בג "אל תיכנס לחצר חבירך. בגניבה ובסתר שלא תראה עליו כגנב: אלא שבור את שיניו. כלומר קח בחזקה וקשיא לרב יהודה:.עמך. בתמיה [כלומר] וכי [נראה] בעיניך שתשובה זו הוגנת היא לישנא אחרינא עמך תהא תשובה זו שאינה כלום: בדין. תבעהו לדין: אומרים לו. ב"ד שלו הוא נוטל מבעי ליה:"</w:t>
      </w:r>
      <w:r w:rsidRPr="00D10A19">
        <w:rPr>
          <w:rFonts w:ascii="Cambria" w:hAnsi="Cambria" w:cs="Cambria" w:hint="cs"/>
          <w:rtl/>
        </w:rPr>
        <w:t> </w:t>
      </w:r>
    </w:p>
    <w:p w:rsidR="00D10A19" w:rsidRPr="00D10A19" w:rsidRDefault="00D10A19" w:rsidP="00F146A6">
      <w:pPr>
        <w:pStyle w:val="a3"/>
        <w:rPr>
          <w:rFonts w:ascii="Arial" w:hAnsi="Arial" w:cs="Arial"/>
          <w:color w:val="222222"/>
        </w:rPr>
      </w:pPr>
      <w:r w:rsidRPr="00D10A19">
        <w:rPr>
          <w:rtl/>
        </w:rPr>
        <w:t>ויש להעיר בכללות, דזה הדין (הלכה ממש) היחידי של בן בג בג שמבואר בגמ', חוץ ממאמר הידוע במסכת אבות (פרק ה', משנה כ"ב) "הפוך בה והפוך בה דכולא בה, ובה תחזי וסיב ובלה בה ומנה לא תזוע, שאין לך מדה טובה הימנה", וגם ישנו במסכת קידושין (דף י, ב) ברייתא שמתואר דו-שיח בינו לבין רבי יהודה בן בתירא: "שלח יוחנן בן בג בג אצל רבי יהודה בן בתירה לנציבין: שמעתי עליך, שאתה אומר ארוסה בת ישראל אוכלת בתרומה. שלח לו: ואתה אי אתה אומר כן? מוחזקני בך שאתה בקי בחדרי תורה, לדרוש בקל וחומר אי אתה יודע?".</w:t>
      </w:r>
    </w:p>
    <w:p w:rsidR="00D10A19" w:rsidRPr="00D10A19" w:rsidRDefault="00D10A19" w:rsidP="00F146A6">
      <w:pPr>
        <w:pStyle w:val="11"/>
        <w:bidi/>
        <w:rPr>
          <w:rFonts w:ascii="Arial" w:hAnsi="Arial" w:cs="Arial"/>
          <w:color w:val="222222"/>
        </w:rPr>
      </w:pPr>
      <w:r w:rsidRPr="00D10A19">
        <w:rPr>
          <w:rtl/>
        </w:rPr>
        <w:t>ב</w:t>
      </w:r>
      <w:r w:rsidRPr="00D10A19">
        <w:rPr>
          <w:rFonts w:ascii="Cambria" w:hAnsi="Cambria" w:cs="Cambria" w:hint="cs"/>
          <w:rtl/>
        </w:rPr>
        <w:t> </w:t>
      </w:r>
    </w:p>
    <w:p w:rsidR="00D10A19" w:rsidRPr="00D10A19" w:rsidRDefault="00D10A19" w:rsidP="00F146A6">
      <w:pPr>
        <w:pStyle w:val="11"/>
        <w:bidi/>
        <w:rPr>
          <w:rFonts w:ascii="Arial" w:hAnsi="Arial" w:cs="Arial"/>
          <w:color w:val="222222"/>
          <w:rtl/>
        </w:rPr>
      </w:pPr>
      <w:r w:rsidRPr="00D10A19">
        <w:rPr>
          <w:rtl/>
        </w:rPr>
        <w:t>קושיית האחרונים במנ"ח ובאג"מ שלא הובא בשו"ע</w:t>
      </w:r>
      <w:r w:rsidRPr="00D10A19">
        <w:rPr>
          <w:rFonts w:ascii="Cambria" w:hAnsi="Cambria" w:cs="Cambria" w:hint="cs"/>
          <w:rtl/>
        </w:rPr>
        <w:t> </w:t>
      </w:r>
    </w:p>
    <w:p w:rsidR="00D10A19" w:rsidRPr="00D10A19" w:rsidRDefault="00D10A19" w:rsidP="00F146A6">
      <w:pPr>
        <w:pStyle w:val="a3"/>
        <w:rPr>
          <w:rFonts w:ascii="Arial" w:hAnsi="Arial" w:cs="Arial"/>
          <w:color w:val="222222"/>
          <w:rtl/>
        </w:rPr>
      </w:pPr>
      <w:r w:rsidRPr="00D10A19">
        <w:rPr>
          <w:rtl/>
        </w:rPr>
        <w:t>והקשו כו"כ מגדולי האחרונים למה השמיט הן ברמב"ם והן בשו"ע את דברי בן בג בג שלא הובאו להלכה.</w:t>
      </w:r>
      <w:r w:rsidRPr="00D10A19">
        <w:rPr>
          <w:rFonts w:ascii="Cambria" w:hAnsi="Cambria" w:cs="Cambria" w:hint="cs"/>
          <w:rtl/>
        </w:rPr>
        <w:t> </w:t>
      </w:r>
    </w:p>
    <w:p w:rsidR="00D10A19" w:rsidRPr="00D10A19" w:rsidRDefault="00D10A19" w:rsidP="00F146A6">
      <w:pPr>
        <w:pStyle w:val="a3"/>
        <w:rPr>
          <w:rFonts w:ascii="Arial" w:hAnsi="Arial" w:cs="Arial"/>
          <w:color w:val="222222"/>
        </w:rPr>
      </w:pPr>
      <w:r w:rsidRPr="00D10A19">
        <w:rPr>
          <w:rtl/>
        </w:rPr>
        <w:t>והנה במנ"ח (מצוה רכד, ב) דן בזה, וכתב "ועיין ר"מ וגם הרב במחבר אינו מביא דין זה, ואפשר דעתם כיון דמבואר שם כח, א דרבנן פליגי ע"ז, מ"מ כיון דבלשון מיתניא נראה דרבים פליגי, על כן אינו פוסק כוותיה", עיי"ש עוד מ"ש בזה (ועוד חזון למועד להאריך ולדון לזה).</w:t>
      </w:r>
      <w:r w:rsidRPr="00D10A19">
        <w:rPr>
          <w:rFonts w:ascii="Cambria" w:hAnsi="Cambria" w:cs="Cambria" w:hint="cs"/>
          <w:rtl/>
        </w:rPr>
        <w:t>  </w:t>
      </w:r>
    </w:p>
    <w:p w:rsidR="00D10A19" w:rsidRPr="00D10A19" w:rsidRDefault="00D10A19" w:rsidP="00F146A6">
      <w:pPr>
        <w:pStyle w:val="a3"/>
        <w:rPr>
          <w:rFonts w:ascii="Arial" w:hAnsi="Arial" w:cs="Arial"/>
          <w:color w:val="222222"/>
        </w:rPr>
      </w:pPr>
      <w:r w:rsidRPr="00D10A19">
        <w:rPr>
          <w:rtl/>
        </w:rPr>
        <w:t>ובאג"מ (חו"מ ח"א סי' ג) מבאר בזה עד"ז ומבאר ארוכה כל הסוגיא עיי"ש, וגם מבאר שזה תלוי בב' הלישנות ברש"י הנ"ל (ד"ה עמך). "בתמיה [כלומר] וכי [נראה] בעיניך שתשובה זו הוגנת היא לישנא אחרינא עמך תהא תשובה זו שאינה כלום", עיי"ש.</w:t>
      </w:r>
      <w:r w:rsidRPr="00D10A19">
        <w:rPr>
          <w:rFonts w:ascii="Cambria" w:hAnsi="Cambria" w:cs="Cambria" w:hint="cs"/>
          <w:rtl/>
        </w:rPr>
        <w:t> </w:t>
      </w:r>
    </w:p>
    <w:p w:rsidR="00D10A19" w:rsidRPr="00D10A19" w:rsidRDefault="00D10A19" w:rsidP="00F146A6">
      <w:pPr>
        <w:pStyle w:val="11"/>
        <w:bidi/>
        <w:rPr>
          <w:rFonts w:ascii="Arial" w:hAnsi="Arial" w:cs="Arial"/>
          <w:color w:val="222222"/>
        </w:rPr>
      </w:pPr>
      <w:r w:rsidRPr="00D10A19">
        <w:rPr>
          <w:rtl/>
        </w:rPr>
        <w:lastRenderedPageBreak/>
        <w:t>ג</w:t>
      </w:r>
    </w:p>
    <w:p w:rsidR="00D10A19" w:rsidRPr="00D10A19" w:rsidRDefault="00D10A19" w:rsidP="00F146A6">
      <w:pPr>
        <w:pStyle w:val="11"/>
        <w:bidi/>
        <w:rPr>
          <w:rFonts w:ascii="Arial" w:hAnsi="Arial" w:cs="Arial"/>
          <w:color w:val="222222"/>
          <w:rtl/>
        </w:rPr>
      </w:pPr>
      <w:r w:rsidRPr="00D10A19">
        <w:rPr>
          <w:rtl/>
        </w:rPr>
        <w:t>דברי אדה"ז בשו"ע</w:t>
      </w:r>
    </w:p>
    <w:p w:rsidR="00D10A19" w:rsidRPr="00D10A19" w:rsidRDefault="00D10A19" w:rsidP="00F146A6">
      <w:pPr>
        <w:pStyle w:val="a3"/>
        <w:rPr>
          <w:rFonts w:ascii="Arial" w:hAnsi="Arial" w:cs="Arial"/>
          <w:color w:val="222222"/>
          <w:rtl/>
        </w:rPr>
      </w:pPr>
      <w:r w:rsidRPr="00D10A19">
        <w:rPr>
          <w:rtl/>
        </w:rPr>
        <w:t>והנה אחר העיון בעוד דברים בסוגיין מצאתי בשו"ע אדה"ז שכן מביא כל הדין בן בג בג.</w:t>
      </w:r>
      <w:r w:rsidRPr="00D10A19">
        <w:rPr>
          <w:rFonts w:ascii="Cambria" w:hAnsi="Cambria" w:cs="Cambria" w:hint="cs"/>
          <w:rtl/>
        </w:rPr>
        <w:t> </w:t>
      </w:r>
    </w:p>
    <w:p w:rsidR="00D10A19" w:rsidRPr="00D10A19" w:rsidRDefault="00D10A19" w:rsidP="00F146A6">
      <w:pPr>
        <w:pStyle w:val="a3"/>
        <w:rPr>
          <w:rFonts w:ascii="Arial" w:hAnsi="Arial" w:cs="Arial"/>
          <w:color w:val="222222"/>
          <w:rtl/>
        </w:rPr>
      </w:pPr>
      <w:r w:rsidRPr="00D10A19">
        <w:rPr>
          <w:rtl/>
        </w:rPr>
        <w:t>דהנה כתב אדה"ז בחו"מ הל' גזלה וגנבה (סכ"ח) כתב: "במה דברים אמורים שאינו רשאי לעשות דין לעצמו כשנוטל כנגד מה שנטל ממנו ולא גוף החפץ בעצמו שנטל ממנושמח אבל ליטול גוף החפץ בעצמו שנטל זה ממנו בין בגנבה בין בגזלה מותר ליטלו ממנו בעל כרחו ואין זה גוזל אלא מציל את שלוואם הלה אינו מניח לו ליטול מותר אפילו להכותו עד שיניח אם אינו יכול להציל ממנו בענין אחר ואינו מחוייב להוליכו לבית דין שבכגון זה שגוף החפץ שלו הוא בעין אדם עושה דין לעצמו להצילו ממי שגזלו או ממי שבא לגזלו או ממי שבא להזיקושנג בכל הצלה שיכול אפילו בהכאה ואף אם לא יגיע לו שום הפסד אם ילך לבית דין אינו צריך לטרוח כלל".</w:t>
      </w:r>
    </w:p>
    <w:p w:rsidR="00D10A19" w:rsidRPr="00D10A19" w:rsidRDefault="00D10A19" w:rsidP="00F146A6">
      <w:pPr>
        <w:pStyle w:val="a3"/>
        <w:rPr>
          <w:rFonts w:ascii="Arial" w:hAnsi="Arial" w:cs="Arial"/>
          <w:color w:val="222222"/>
          <w:rtl/>
        </w:rPr>
      </w:pPr>
      <w:r w:rsidRPr="00D10A19">
        <w:rPr>
          <w:rtl/>
        </w:rPr>
        <w:t>ומסיים בדין דבן בג בג, "אבל לא ילך לבית הגזלן לגנוב חפץ שלו שמא יראה עליו כגנב אלא אם כן אי אפשר להצילו בענין אחר".</w:t>
      </w:r>
    </w:p>
    <w:p w:rsidR="00D10A19" w:rsidRPr="00D10A19" w:rsidRDefault="00D10A19" w:rsidP="00F146A6">
      <w:pPr>
        <w:pStyle w:val="a3"/>
        <w:rPr>
          <w:rFonts w:ascii="Arial" w:hAnsi="Arial" w:cs="Arial"/>
          <w:color w:val="222222"/>
          <w:rtl/>
        </w:rPr>
      </w:pPr>
      <w:r w:rsidRPr="00D10A19">
        <w:rPr>
          <w:rtl/>
        </w:rPr>
        <w:t>וצלה"ב מהו החילוק בין דעת אדה"ז שכן מביא דין זה להלכה ושיטות של הרמב"ם ושו"ע המחבר לא מביא דין זה.</w:t>
      </w:r>
      <w:r w:rsidRPr="00D10A19">
        <w:rPr>
          <w:rFonts w:ascii="Cambria" w:hAnsi="Cambria" w:cs="Cambria" w:hint="cs"/>
          <w:rtl/>
        </w:rPr>
        <w:t> </w:t>
      </w:r>
    </w:p>
    <w:p w:rsidR="00D10A19" w:rsidRPr="00D10A19" w:rsidRDefault="00D10A19" w:rsidP="00F146A6">
      <w:pPr>
        <w:pStyle w:val="a3"/>
        <w:rPr>
          <w:rFonts w:ascii="Arial" w:hAnsi="Arial" w:cs="Arial"/>
          <w:color w:val="222222"/>
        </w:rPr>
      </w:pPr>
      <w:r w:rsidRPr="00D10A19">
        <w:rPr>
          <w:rtl/>
        </w:rPr>
        <w:t>ויש ולבאר יותר ובפרט בסוגיית הש"ס בנדו"ד, אבל מצד קוצר הזמן קצרתי והנ"ל הוא רק חלק א'</w:t>
      </w:r>
      <w:r w:rsidRPr="00D10A19">
        <w:rPr>
          <w:rFonts w:ascii="Cambria" w:hAnsi="Cambria" w:cs="Cambria" w:hint="cs"/>
          <w:rtl/>
        </w:rPr>
        <w:t> </w:t>
      </w:r>
      <w:r w:rsidRPr="00D10A19">
        <w:rPr>
          <w:rtl/>
        </w:rPr>
        <w:t xml:space="preserve"> </w:t>
      </w:r>
      <w:r w:rsidRPr="00D10A19">
        <w:rPr>
          <w:rFonts w:hint="cs"/>
          <w:rtl/>
        </w:rPr>
        <w:t>ובעזרת</w:t>
      </w:r>
      <w:r w:rsidRPr="00D10A19">
        <w:rPr>
          <w:rtl/>
        </w:rPr>
        <w:t xml:space="preserve"> </w:t>
      </w:r>
      <w:r w:rsidRPr="00D10A19">
        <w:rPr>
          <w:rFonts w:hint="cs"/>
          <w:rtl/>
        </w:rPr>
        <w:t>ה</w:t>
      </w:r>
      <w:r w:rsidRPr="00D10A19">
        <w:rPr>
          <w:rtl/>
        </w:rPr>
        <w:t xml:space="preserve">' </w:t>
      </w:r>
      <w:r w:rsidRPr="00D10A19">
        <w:rPr>
          <w:rFonts w:hint="cs"/>
          <w:rtl/>
        </w:rPr>
        <w:t>יבוא</w:t>
      </w:r>
      <w:r w:rsidRPr="00D10A19">
        <w:rPr>
          <w:rtl/>
        </w:rPr>
        <w:t xml:space="preserve"> </w:t>
      </w:r>
      <w:r w:rsidRPr="00D10A19">
        <w:rPr>
          <w:rFonts w:hint="cs"/>
          <w:rtl/>
        </w:rPr>
        <w:t>המשך</w:t>
      </w:r>
      <w:r w:rsidRPr="00D10A19">
        <w:rPr>
          <w:rtl/>
        </w:rPr>
        <w:t xml:space="preserve"> </w:t>
      </w:r>
      <w:r w:rsidRPr="00D10A19">
        <w:rPr>
          <w:rFonts w:hint="cs"/>
          <w:rtl/>
        </w:rPr>
        <w:t>ותן</w:t>
      </w:r>
      <w:r w:rsidRPr="00D10A19">
        <w:rPr>
          <w:rtl/>
        </w:rPr>
        <w:t xml:space="preserve"> </w:t>
      </w:r>
      <w:r w:rsidRPr="00D10A19">
        <w:rPr>
          <w:rFonts w:hint="cs"/>
          <w:rtl/>
        </w:rPr>
        <w:t>לחכם</w:t>
      </w:r>
      <w:r w:rsidRPr="00D10A19">
        <w:rPr>
          <w:rtl/>
        </w:rPr>
        <w:t xml:space="preserve">, </w:t>
      </w:r>
      <w:r w:rsidRPr="00D10A19">
        <w:rPr>
          <w:rFonts w:hint="cs"/>
          <w:rtl/>
        </w:rPr>
        <w:t>ועוד</w:t>
      </w:r>
      <w:r w:rsidRPr="00D10A19">
        <w:rPr>
          <w:rtl/>
        </w:rPr>
        <w:t xml:space="preserve"> </w:t>
      </w:r>
      <w:r w:rsidRPr="00D10A19">
        <w:rPr>
          <w:rFonts w:hint="cs"/>
          <w:rtl/>
        </w:rPr>
        <w:t>חזון</w:t>
      </w:r>
      <w:r w:rsidRPr="00D10A19">
        <w:rPr>
          <w:rtl/>
        </w:rPr>
        <w:t xml:space="preserve"> </w:t>
      </w:r>
      <w:r w:rsidRPr="00D10A19">
        <w:rPr>
          <w:rFonts w:hint="cs"/>
          <w:rtl/>
        </w:rPr>
        <w:t>למועד</w:t>
      </w:r>
      <w:r w:rsidRPr="00D10A19">
        <w:rPr>
          <w:rtl/>
        </w:rPr>
        <w:t>.</w:t>
      </w:r>
    </w:p>
    <w:p w:rsidR="00D10A19" w:rsidRPr="00D10A19" w:rsidRDefault="00D10A19" w:rsidP="00F146A6">
      <w:pPr>
        <w:pStyle w:val="a3"/>
        <w:rPr>
          <w:rFonts w:ascii="Arial" w:hAnsi="Arial" w:cs="Arial"/>
          <w:color w:val="222222"/>
          <w:rtl/>
        </w:rPr>
      </w:pPr>
      <w:r w:rsidRPr="00D10A19">
        <w:rPr>
          <w:rtl/>
        </w:rPr>
        <w:t>וגם אבקש מהקוראים להעיר בזה.</w:t>
      </w:r>
      <w:r w:rsidRPr="00D10A19">
        <w:rPr>
          <w:rFonts w:ascii="Cambria" w:hAnsi="Cambria" w:cs="Cambria" w:hint="cs"/>
          <w:rtl/>
        </w:rPr>
        <w:t> </w:t>
      </w:r>
    </w:p>
    <w:p w:rsidR="00364372" w:rsidRDefault="00364372" w:rsidP="0036437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F87814" w:rsidRDefault="00F87814" w:rsidP="00F87814">
      <w:pPr>
        <w:pStyle w:val="a0"/>
        <w:rPr>
          <w:rtl/>
        </w:rPr>
      </w:pPr>
      <w:bookmarkStart w:id="141" w:name="_Toc43963110"/>
      <w:r w:rsidRPr="00F87814">
        <w:rPr>
          <w:rtl/>
        </w:rPr>
        <w:t>פיטום הקטורת - מתי?</w:t>
      </w:r>
      <w:bookmarkEnd w:id="141"/>
    </w:p>
    <w:p w:rsidR="00F87814" w:rsidRDefault="00F87814" w:rsidP="00F146A6">
      <w:pPr>
        <w:pStyle w:val="a"/>
        <w:rPr>
          <w:rtl/>
        </w:rPr>
      </w:pPr>
      <w:bookmarkStart w:id="142" w:name="_Toc43963111"/>
      <w:r>
        <w:rPr>
          <w:rFonts w:hint="cs"/>
          <w:rtl/>
        </w:rPr>
        <w:t xml:space="preserve">הרב </w:t>
      </w:r>
      <w:r>
        <w:rPr>
          <w:rtl/>
        </w:rPr>
        <w:t>משה רבינוביץ</w:t>
      </w:r>
      <w:bookmarkEnd w:id="142"/>
    </w:p>
    <w:p w:rsidR="00F87814" w:rsidRPr="00F87814" w:rsidRDefault="00F87814" w:rsidP="00F87814">
      <w:pPr>
        <w:pStyle w:val="a1"/>
        <w:rPr>
          <w:color w:val="222222"/>
        </w:rPr>
      </w:pPr>
      <w:r w:rsidRPr="00F87814">
        <w:rPr>
          <w:rtl/>
        </w:rPr>
        <w:t>ברוקלין נ.י.</w:t>
      </w:r>
    </w:p>
    <w:p w:rsidR="00F87814" w:rsidRPr="00F87814" w:rsidRDefault="00F87814" w:rsidP="00F146A6">
      <w:pPr>
        <w:pStyle w:val="a3"/>
        <w:rPr>
          <w:color w:val="222222"/>
        </w:rPr>
      </w:pPr>
      <w:r w:rsidRPr="00F87814">
        <w:rPr>
          <w:rtl/>
        </w:rPr>
        <w:t xml:space="preserve">ברמב"ם הלכות כלי המקדש והעובדים בו פ"ב הלכה א: </w:t>
      </w:r>
      <w:r w:rsidRPr="00F87814">
        <w:rPr>
          <w:b/>
          <w:bCs/>
          <w:rtl/>
        </w:rPr>
        <w:t xml:space="preserve">הקטרת נעשית בכל שנה ושנה </w:t>
      </w:r>
      <w:r w:rsidRPr="00F87814">
        <w:rPr>
          <w:rtl/>
        </w:rPr>
        <w:t>ועשייתו מצות עשה שנאמר ואתה קח לך סמים וגו'.</w:t>
      </w:r>
      <w:r w:rsidRPr="00F87814">
        <w:rPr>
          <w:b/>
          <w:bCs/>
          <w:rtl/>
        </w:rPr>
        <w:t xml:space="preserve"> </w:t>
      </w:r>
      <w:r w:rsidRPr="00F87814">
        <w:rPr>
          <w:rtl/>
        </w:rPr>
        <w:t xml:space="preserve">וכן הוא בספר החינוך מצוה קג: </w:t>
      </w:r>
      <w:r w:rsidRPr="00F87814">
        <w:rPr>
          <w:b/>
          <w:bCs/>
          <w:rtl/>
        </w:rPr>
        <w:t>ובכל שנה ושנה</w:t>
      </w:r>
      <w:r w:rsidRPr="00F87814">
        <w:rPr>
          <w:rtl/>
        </w:rPr>
        <w:t xml:space="preserve"> מצוה עליהם לעשות ממנה כדי להקטיר בה…</w:t>
      </w:r>
    </w:p>
    <w:p w:rsidR="00F87814" w:rsidRPr="00F87814" w:rsidRDefault="00F87814" w:rsidP="00F146A6">
      <w:pPr>
        <w:pStyle w:val="a3"/>
        <w:rPr>
          <w:color w:val="222222"/>
        </w:rPr>
      </w:pPr>
      <w:r w:rsidRPr="00F87814">
        <w:rPr>
          <w:rtl/>
        </w:rPr>
        <w:t>המקור לזה שעשיית הקטורת היא בכל שנה ושנה דוקא, ושאין להכין מדה גדולה שתספיק לכמה שנים, הוא מהברייתא בכריתות (ו, א) שפיטמו שס"ח מנים כמנין ימות החמה.</w:t>
      </w:r>
      <w:r w:rsidRPr="00F87814">
        <w:rPr>
          <w:rFonts w:ascii="Cambria" w:hAnsi="Cambria" w:cs="Cambria" w:hint="cs"/>
          <w:rtl/>
        </w:rPr>
        <w:t> </w:t>
      </w:r>
    </w:p>
    <w:p w:rsidR="00F87814" w:rsidRPr="00F87814" w:rsidRDefault="00F87814" w:rsidP="00F146A6">
      <w:pPr>
        <w:pStyle w:val="a3"/>
        <w:rPr>
          <w:color w:val="222222"/>
        </w:rPr>
      </w:pPr>
      <w:r w:rsidRPr="00F87814">
        <w:rPr>
          <w:rtl/>
        </w:rPr>
        <w:lastRenderedPageBreak/>
        <w:t>באיזה יום בשנה פיטמו את הקטורת?</w:t>
      </w:r>
      <w:r w:rsidRPr="00F87814">
        <w:rPr>
          <w:rFonts w:ascii="Cambria" w:hAnsi="Cambria" w:cs="Cambria" w:hint="cs"/>
          <w:rtl/>
        </w:rPr>
        <w:t> </w:t>
      </w:r>
    </w:p>
    <w:p w:rsidR="00F87814" w:rsidRPr="00F87814" w:rsidRDefault="00F87814" w:rsidP="00F146A6">
      <w:pPr>
        <w:pStyle w:val="a3"/>
        <w:rPr>
          <w:color w:val="222222"/>
        </w:rPr>
      </w:pPr>
      <w:r w:rsidRPr="00F87814">
        <w:rPr>
          <w:rtl/>
        </w:rPr>
        <w:t>באין ראיה לסתור מסתבר שהכינו מדה קטורת חדשה קרוב לזמן שבה נגמרה הקטורת הקודמת פשוט שלא יווצר מצב שאין מספיק להקטיר. ואין יום מסוים בשנה להכנת קטורת חדשה.</w:t>
      </w:r>
      <w:r w:rsidRPr="00F87814">
        <w:rPr>
          <w:rFonts w:ascii="Cambria" w:hAnsi="Cambria" w:cs="Cambria" w:hint="cs"/>
          <w:rtl/>
        </w:rPr>
        <w:t> </w:t>
      </w:r>
    </w:p>
    <w:p w:rsidR="00F87814" w:rsidRPr="00F87814" w:rsidRDefault="00F87814" w:rsidP="00F146A6">
      <w:pPr>
        <w:pStyle w:val="a3"/>
        <w:rPr>
          <w:color w:val="222222"/>
          <w:rtl/>
        </w:rPr>
      </w:pPr>
      <w:r w:rsidRPr="00F87814">
        <w:rPr>
          <w:rtl/>
        </w:rPr>
        <w:t>בגמרא לכאורה לא דנו בזה. וכן הרמב"ם ובחינוך סתמו בעניין זה.</w:t>
      </w:r>
      <w:r w:rsidRPr="00F87814">
        <w:rPr>
          <w:rFonts w:ascii="Cambria" w:hAnsi="Cambria" w:cs="Cambria" w:hint="cs"/>
          <w:rtl/>
        </w:rPr>
        <w:t> </w:t>
      </w:r>
    </w:p>
    <w:p w:rsidR="00F87814" w:rsidRPr="00F87814" w:rsidRDefault="00F87814" w:rsidP="00F146A6">
      <w:pPr>
        <w:pStyle w:val="a3"/>
        <w:rPr>
          <w:color w:val="222222"/>
          <w:rtl/>
        </w:rPr>
      </w:pPr>
      <w:r w:rsidRPr="00F87814">
        <w:rPr>
          <w:rFonts w:ascii="Cambria" w:hAnsi="Cambria" w:cs="Cambria" w:hint="cs"/>
          <w:rtl/>
        </w:rPr>
        <w:t> </w:t>
      </w:r>
      <w:r w:rsidRPr="00F87814">
        <w:rPr>
          <w:rtl/>
        </w:rPr>
        <w:t xml:space="preserve">ולכאורה, הפעם הראשונה שפיטמו את הקטורת היתה בשנה הראשונה ליציאת מצרים, </w:t>
      </w:r>
      <w:r w:rsidRPr="00F87814">
        <w:rPr>
          <w:b/>
          <w:bCs/>
          <w:rtl/>
        </w:rPr>
        <w:t>לפני</w:t>
      </w:r>
      <w:r w:rsidRPr="00F87814">
        <w:rPr>
          <w:b/>
          <w:bCs/>
          <w:i/>
          <w:iCs/>
          <w:rtl/>
        </w:rPr>
        <w:t xml:space="preserve"> </w:t>
      </w:r>
      <w:r w:rsidRPr="00F87814">
        <w:rPr>
          <w:rtl/>
        </w:rPr>
        <w:t>שבעת ימי המילואים.</w:t>
      </w:r>
      <w:r w:rsidRPr="00F87814">
        <w:rPr>
          <w:rFonts w:ascii="Cambria" w:hAnsi="Cambria" w:cs="Cambria" w:hint="cs"/>
          <w:rtl/>
        </w:rPr>
        <w:t> </w:t>
      </w:r>
      <w:r w:rsidRPr="00F87814">
        <w:rPr>
          <w:rtl/>
        </w:rPr>
        <w:t xml:space="preserve"> </w:t>
      </w:r>
      <w:r w:rsidRPr="00F87814">
        <w:rPr>
          <w:rFonts w:hint="cs"/>
          <w:rtl/>
        </w:rPr>
        <w:t>שהרי</w:t>
      </w:r>
      <w:r w:rsidRPr="00F87814">
        <w:rPr>
          <w:rtl/>
        </w:rPr>
        <w:t xml:space="preserve"> </w:t>
      </w:r>
      <w:r w:rsidRPr="00F87814">
        <w:rPr>
          <w:rFonts w:hint="cs"/>
          <w:rtl/>
        </w:rPr>
        <w:t>הצטרכו</w:t>
      </w:r>
      <w:r w:rsidRPr="00F87814">
        <w:rPr>
          <w:rtl/>
        </w:rPr>
        <w:t xml:space="preserve"> לקטורת כבר ביום ראשון למילואים שאז הקטיר משה רבינו את הקטורת.1) כלומר לא יותר מאוחר מכ"ג או כ"ד אדר.</w:t>
      </w:r>
      <w:r w:rsidRPr="00F87814">
        <w:rPr>
          <w:rFonts w:ascii="Cambria" w:hAnsi="Cambria" w:cs="Cambria" w:hint="cs"/>
          <w:rtl/>
        </w:rPr>
        <w:t>  </w:t>
      </w:r>
    </w:p>
    <w:p w:rsidR="00F87814" w:rsidRPr="00F87814" w:rsidRDefault="00F87814" w:rsidP="00F146A6">
      <w:pPr>
        <w:pStyle w:val="a3"/>
        <w:rPr>
          <w:color w:val="222222"/>
          <w:rtl/>
        </w:rPr>
      </w:pPr>
      <w:r w:rsidRPr="00F87814">
        <w:rPr>
          <w:rtl/>
        </w:rPr>
        <w:t>מה שפחות ברור זה מתי הכינו את בשנים הבאות. .</w:t>
      </w:r>
      <w:r w:rsidRPr="00F87814">
        <w:rPr>
          <w:rFonts w:ascii="Cambria" w:hAnsi="Cambria" w:cs="Cambria" w:hint="cs"/>
          <w:rtl/>
        </w:rPr>
        <w:t> </w:t>
      </w:r>
    </w:p>
    <w:p w:rsidR="00F87814" w:rsidRPr="00F87814" w:rsidRDefault="00F87814" w:rsidP="00F146A6">
      <w:pPr>
        <w:pStyle w:val="a3"/>
        <w:rPr>
          <w:color w:val="222222"/>
          <w:rtl/>
        </w:rPr>
      </w:pPr>
      <w:r w:rsidRPr="00F87814">
        <w:rPr>
          <w:rtl/>
        </w:rPr>
        <w:t>והנה אם נאמר שמדת הקטורת של משה היתה שלוש מאות ושישים ושמונה מנים, יוצא לפי זה שכל שנה נגמר הקטורת באותו יום בשנה.</w:t>
      </w:r>
      <w:r w:rsidRPr="00F87814">
        <w:rPr>
          <w:rFonts w:ascii="Cambria" w:hAnsi="Cambria" w:cs="Cambria" w:hint="cs"/>
          <w:rtl/>
        </w:rPr>
        <w:t> </w:t>
      </w:r>
    </w:p>
    <w:p w:rsidR="00F87814" w:rsidRPr="00F87814" w:rsidRDefault="00F87814" w:rsidP="00F146A6">
      <w:pPr>
        <w:pStyle w:val="a3"/>
        <w:rPr>
          <w:color w:val="222222"/>
        </w:rPr>
      </w:pPr>
      <w:r w:rsidRPr="00F87814">
        <w:rPr>
          <w:rtl/>
        </w:rPr>
        <w:t>אבל אינו, כמובן. כי הרי שנת הלבנה פחותה משנת החמה י"א יום. [וישנם שנים פשוטות של שנד-ה יום, ושנים מעוברות של שפג-ד יום. וכדלהלן] . יוצא לפי זה שאם השנה השני' ליציאת מצרים היתה שנה פשוטה, כלומר שנה של שנד יום, נגמרה תכולת הקטורת של פעם הראשונה אחרי תחילת חודש ניסן של שנה השלישית.</w:t>
      </w:r>
      <w:r w:rsidRPr="00F87814">
        <w:rPr>
          <w:rFonts w:ascii="Cambria" w:hAnsi="Cambria" w:cs="Cambria" w:hint="cs"/>
          <w:rtl/>
        </w:rPr>
        <w:t> </w:t>
      </w:r>
    </w:p>
    <w:p w:rsidR="00F87814" w:rsidRPr="00F87814" w:rsidRDefault="00F87814" w:rsidP="00F146A6">
      <w:pPr>
        <w:pStyle w:val="a3"/>
        <w:rPr>
          <w:color w:val="222222"/>
        </w:rPr>
      </w:pPr>
      <w:r w:rsidRPr="00F87814">
        <w:rPr>
          <w:rtl/>
        </w:rPr>
        <w:t>משום שאם נניח, כאמור, שפיטום הראשון של 368 מנים היה ביום כ"ב אדר לשנה הראשונה, יוצא שעד כ"א אדר של שנה השני' השתמשו רק בשנ"ו מנים -</w:t>
      </w:r>
      <w:r w:rsidRPr="00F87814">
        <w:rPr>
          <w:rFonts w:ascii="Cambria" w:hAnsi="Cambria" w:cs="Cambria" w:hint="cs"/>
          <w:rtl/>
        </w:rPr>
        <w:t>  </w:t>
      </w:r>
    </w:p>
    <w:p w:rsidR="00F87814" w:rsidRPr="00F87814" w:rsidRDefault="00F87814" w:rsidP="00F146A6">
      <w:pPr>
        <w:pStyle w:val="a3"/>
        <w:rPr>
          <w:rtl/>
        </w:rPr>
      </w:pPr>
      <w:r w:rsidRPr="00F87814">
        <w:rPr>
          <w:rtl/>
        </w:rPr>
        <w:t>שנד מנים לשימוש היום יומי, בחצי מנה השתמשו ביוה"כ (כדלהלן), מה שמותיר</w:t>
      </w:r>
      <w:r w:rsidRPr="00F87814">
        <w:rPr>
          <w:rFonts w:ascii="Cambria" w:hAnsi="Cambria" w:cs="Cambria" w:hint="cs"/>
          <w:rtl/>
        </w:rPr>
        <w:t> </w:t>
      </w:r>
      <w:r w:rsidRPr="00F87814">
        <w:rPr>
          <w:rtl/>
        </w:rPr>
        <w:t xml:space="preserve"> </w:t>
      </w:r>
      <w:r w:rsidRPr="00F87814">
        <w:rPr>
          <w:rFonts w:hint="cs"/>
          <w:rtl/>
        </w:rPr>
        <w:t>בקופה</w:t>
      </w:r>
      <w:r w:rsidRPr="00F87814">
        <w:rPr>
          <w:rtl/>
        </w:rPr>
        <w:t xml:space="preserve"> 11 מנים ועוד 2.5 מנים, מספיק לעוד 13 יום -</w:t>
      </w:r>
    </w:p>
    <w:p w:rsidR="00F87814" w:rsidRPr="00F87814" w:rsidRDefault="00F87814" w:rsidP="00F146A6">
      <w:pPr>
        <w:pStyle w:val="a3"/>
        <w:rPr>
          <w:color w:val="222222"/>
        </w:rPr>
      </w:pPr>
      <w:r w:rsidRPr="00F87814">
        <w:rPr>
          <w:rtl/>
        </w:rPr>
        <w:t>ואם כנים הדברים, לא הי' צורך לפטם בכ"ב באדר כמו בשנה הראשונה. כי מדת הקטורת נגמרה רק בחודש ניסן (יום ב -ד) של שנה השלישית.</w:t>
      </w:r>
      <w:r w:rsidRPr="00F87814">
        <w:rPr>
          <w:rFonts w:ascii="Cambria" w:hAnsi="Cambria" w:cs="Cambria" w:hint="cs"/>
          <w:rtl/>
        </w:rPr>
        <w:t> </w:t>
      </w:r>
    </w:p>
    <w:p w:rsidR="00F87814" w:rsidRPr="00F87814" w:rsidRDefault="00F87814" w:rsidP="00F146A6">
      <w:pPr>
        <w:pStyle w:val="a3"/>
        <w:rPr>
          <w:color w:val="222222"/>
        </w:rPr>
      </w:pPr>
      <w:r w:rsidRPr="00F87814">
        <w:rPr>
          <w:rtl/>
        </w:rPr>
        <w:t>ולכאורה יש להביא ראי' מדברי רש"י ותוס' במס' שבועות שפיטום הקטורת נעשה כל שנה ושנה בתחילת</w:t>
      </w:r>
      <w:r w:rsidRPr="00F87814">
        <w:rPr>
          <w:rFonts w:ascii="Cambria" w:hAnsi="Cambria" w:cs="Cambria" w:hint="cs"/>
          <w:rtl/>
        </w:rPr>
        <w:t> </w:t>
      </w:r>
      <w:r w:rsidRPr="00F87814">
        <w:rPr>
          <w:rtl/>
        </w:rPr>
        <w:t xml:space="preserve"> </w:t>
      </w:r>
      <w:r w:rsidRPr="00F87814">
        <w:rPr>
          <w:rFonts w:hint="cs"/>
          <w:rtl/>
        </w:rPr>
        <w:t>חודש</w:t>
      </w:r>
      <w:r w:rsidRPr="00F87814">
        <w:rPr>
          <w:rtl/>
        </w:rPr>
        <w:t xml:space="preserve"> </w:t>
      </w:r>
      <w:r w:rsidRPr="00F87814">
        <w:rPr>
          <w:rFonts w:hint="cs"/>
          <w:rtl/>
        </w:rPr>
        <w:t>ניסן</w:t>
      </w:r>
      <w:r w:rsidRPr="00F87814">
        <w:rPr>
          <w:rtl/>
        </w:rPr>
        <w:t xml:space="preserve"> </w:t>
      </w:r>
      <w:r w:rsidRPr="00F87814">
        <w:rPr>
          <w:rFonts w:hint="cs"/>
          <w:rtl/>
        </w:rPr>
        <w:t>דווקא</w:t>
      </w:r>
      <w:r w:rsidRPr="00F87814">
        <w:rPr>
          <w:rtl/>
        </w:rPr>
        <w:t xml:space="preserve">. </w:t>
      </w:r>
      <w:r w:rsidRPr="00F87814">
        <w:rPr>
          <w:rFonts w:hint="cs"/>
          <w:rtl/>
        </w:rPr>
        <w:t>וזאת</w:t>
      </w:r>
      <w:r w:rsidRPr="00F87814">
        <w:rPr>
          <w:rtl/>
        </w:rPr>
        <w:t xml:space="preserve">, </w:t>
      </w:r>
      <w:r w:rsidRPr="00F87814">
        <w:rPr>
          <w:rFonts w:hint="cs"/>
          <w:rtl/>
        </w:rPr>
        <w:t>למרות</w:t>
      </w:r>
      <w:r w:rsidRPr="00F87814">
        <w:rPr>
          <w:rtl/>
        </w:rPr>
        <w:t xml:space="preserve"> </w:t>
      </w:r>
      <w:r w:rsidRPr="00F87814">
        <w:rPr>
          <w:rFonts w:hint="cs"/>
          <w:rtl/>
        </w:rPr>
        <w:t>שבערב</w:t>
      </w:r>
      <w:r w:rsidRPr="00F87814">
        <w:rPr>
          <w:rtl/>
        </w:rPr>
        <w:t xml:space="preserve"> </w:t>
      </w:r>
      <w:r w:rsidRPr="00F87814">
        <w:rPr>
          <w:rFonts w:hint="cs"/>
          <w:rtl/>
        </w:rPr>
        <w:t>ר</w:t>
      </w:r>
      <w:r w:rsidRPr="00F87814">
        <w:rPr>
          <w:rtl/>
        </w:rPr>
        <w:t>"</w:t>
      </w:r>
      <w:r w:rsidRPr="00F87814">
        <w:rPr>
          <w:rFonts w:hint="cs"/>
          <w:rtl/>
        </w:rPr>
        <w:t>ח</w:t>
      </w:r>
      <w:r w:rsidRPr="00F87814">
        <w:rPr>
          <w:rtl/>
        </w:rPr>
        <w:t xml:space="preserve"> </w:t>
      </w:r>
      <w:r w:rsidRPr="00F87814">
        <w:rPr>
          <w:rFonts w:hint="cs"/>
          <w:rtl/>
        </w:rPr>
        <w:t>ניסן</w:t>
      </w:r>
      <w:r w:rsidRPr="00F87814">
        <w:rPr>
          <w:rtl/>
        </w:rPr>
        <w:t xml:space="preserve"> </w:t>
      </w:r>
      <w:r w:rsidRPr="00F87814">
        <w:rPr>
          <w:rFonts w:hint="cs"/>
          <w:rtl/>
        </w:rPr>
        <w:t>של</w:t>
      </w:r>
      <w:r w:rsidRPr="00F87814">
        <w:rPr>
          <w:rtl/>
        </w:rPr>
        <w:t xml:space="preserve"> </w:t>
      </w:r>
      <w:r w:rsidRPr="00F87814">
        <w:rPr>
          <w:rFonts w:hint="cs"/>
          <w:rtl/>
        </w:rPr>
        <w:t>כל</w:t>
      </w:r>
      <w:r w:rsidRPr="00F87814">
        <w:rPr>
          <w:rtl/>
        </w:rPr>
        <w:t xml:space="preserve"> </w:t>
      </w:r>
      <w:r w:rsidRPr="00F87814">
        <w:rPr>
          <w:rFonts w:hint="cs"/>
          <w:rtl/>
        </w:rPr>
        <w:t>שנה</w:t>
      </w:r>
      <w:r w:rsidRPr="00F87814">
        <w:rPr>
          <w:rtl/>
        </w:rPr>
        <w:t xml:space="preserve"> </w:t>
      </w:r>
      <w:r w:rsidRPr="00F87814">
        <w:rPr>
          <w:rFonts w:hint="cs"/>
          <w:rtl/>
        </w:rPr>
        <w:t>נותרה</w:t>
      </w:r>
      <w:r w:rsidRPr="00F87814">
        <w:rPr>
          <w:rtl/>
        </w:rPr>
        <w:t xml:space="preserve"> </w:t>
      </w:r>
      <w:r w:rsidRPr="00F87814">
        <w:rPr>
          <w:rFonts w:hint="cs"/>
          <w:rtl/>
        </w:rPr>
        <w:t>בקופה</w:t>
      </w:r>
      <w:r w:rsidRPr="00F87814">
        <w:rPr>
          <w:rtl/>
        </w:rPr>
        <w:t xml:space="preserve"> </w:t>
      </w:r>
      <w:r w:rsidRPr="00F87814">
        <w:rPr>
          <w:rFonts w:hint="cs"/>
          <w:rtl/>
        </w:rPr>
        <w:t>קטורת</w:t>
      </w:r>
      <w:r w:rsidRPr="00F87814">
        <w:rPr>
          <w:rtl/>
        </w:rPr>
        <w:t xml:space="preserve"> </w:t>
      </w:r>
      <w:r w:rsidRPr="00F87814">
        <w:rPr>
          <w:rFonts w:hint="cs"/>
          <w:rtl/>
        </w:rPr>
        <w:t>המספיקה</w:t>
      </w:r>
      <w:r w:rsidRPr="00F87814">
        <w:rPr>
          <w:rtl/>
        </w:rPr>
        <w:t xml:space="preserve"> </w:t>
      </w:r>
      <w:r w:rsidRPr="00F87814">
        <w:rPr>
          <w:rFonts w:hint="cs"/>
          <w:rtl/>
        </w:rPr>
        <w:t>לעוד</w:t>
      </w:r>
      <w:r w:rsidRPr="00F87814">
        <w:rPr>
          <w:rtl/>
        </w:rPr>
        <w:t xml:space="preserve"> </w:t>
      </w:r>
      <w:r w:rsidRPr="00F87814">
        <w:rPr>
          <w:rFonts w:hint="cs"/>
          <w:rtl/>
        </w:rPr>
        <w:t>כמה</w:t>
      </w:r>
      <w:r w:rsidRPr="00F87814">
        <w:rPr>
          <w:rtl/>
        </w:rPr>
        <w:t xml:space="preserve"> </w:t>
      </w:r>
      <w:r w:rsidRPr="00F87814">
        <w:rPr>
          <w:rFonts w:hint="cs"/>
          <w:rtl/>
        </w:rPr>
        <w:t>ימים</w:t>
      </w:r>
      <w:r w:rsidRPr="00F87814">
        <w:rPr>
          <w:rtl/>
        </w:rPr>
        <w:t>.</w:t>
      </w:r>
      <w:r w:rsidRPr="00F87814">
        <w:rPr>
          <w:rFonts w:ascii="Cambria" w:hAnsi="Cambria" w:cs="Cambria" w:hint="cs"/>
          <w:rtl/>
        </w:rPr>
        <w:t> </w:t>
      </w:r>
    </w:p>
    <w:p w:rsidR="00F87814" w:rsidRPr="00F87814" w:rsidRDefault="00F87814" w:rsidP="00F146A6">
      <w:pPr>
        <w:pStyle w:val="11"/>
        <w:bidi/>
        <w:rPr>
          <w:color w:val="222222"/>
        </w:rPr>
      </w:pPr>
      <w:r w:rsidRPr="00F87814">
        <w:rPr>
          <w:rtl/>
        </w:rPr>
        <w:t>מותר הקטורת</w:t>
      </w:r>
      <w:r w:rsidRPr="00F87814">
        <w:rPr>
          <w:rFonts w:ascii="Cambria" w:hAnsi="Cambria" w:cs="Cambria" w:hint="cs"/>
          <w:rtl/>
        </w:rPr>
        <w:t> </w:t>
      </w:r>
    </w:p>
    <w:p w:rsidR="00F87814" w:rsidRPr="00F87814" w:rsidRDefault="00F87814" w:rsidP="00F146A6">
      <w:pPr>
        <w:pStyle w:val="a3"/>
        <w:rPr>
          <w:rFonts w:asciiTheme="minorHAnsi" w:hAnsiTheme="minorHAnsi"/>
          <w:color w:val="222222"/>
          <w:rtl/>
        </w:rPr>
      </w:pPr>
      <w:r w:rsidRPr="00F87814">
        <w:rPr>
          <w:rtl/>
        </w:rPr>
        <w:t>ובהקדם דברי המשנה בשקלים פ"ד משנה ה:</w:t>
      </w:r>
    </w:p>
    <w:p w:rsidR="00F87814" w:rsidRPr="00F87814" w:rsidRDefault="00F87814" w:rsidP="00F146A6">
      <w:pPr>
        <w:pStyle w:val="a3"/>
        <w:rPr>
          <w:color w:val="222222"/>
        </w:rPr>
      </w:pPr>
      <w:r w:rsidRPr="00F87814">
        <w:rPr>
          <w:rtl/>
        </w:rPr>
        <w:t>מותר הקטורת מה היו עושין בה מפרישין ממנה שכר האומנין ומחללין אותה על מעות האומנין ונותנין אותה לאומנין בשכרן וחוזרין ולוקחין אותה מתרומה חדשה.</w:t>
      </w:r>
      <w:r w:rsidRPr="00F87814">
        <w:rPr>
          <w:rFonts w:ascii="Cambria" w:hAnsi="Cambria" w:cs="Cambria" w:hint="cs"/>
          <w:rtl/>
        </w:rPr>
        <w:t> </w:t>
      </w:r>
    </w:p>
    <w:p w:rsidR="00F87814" w:rsidRPr="00F87814" w:rsidRDefault="00F87814" w:rsidP="00F146A6">
      <w:pPr>
        <w:pStyle w:val="a3"/>
        <w:rPr>
          <w:color w:val="222222"/>
        </w:rPr>
      </w:pPr>
      <w:r w:rsidRPr="00F87814">
        <w:rPr>
          <w:rtl/>
        </w:rPr>
        <w:lastRenderedPageBreak/>
        <w:t>כלומר, בכל שנה ושנה מר"ח ניסן והלאה, הנה כל הפריטים של עבודת המקדש היו צריכים לבוא מחצאי השקלים של התרומה החדשה דווקא שנאספו בחודש אדר האחרון. הגמרא בר"ה (ז, א) מבססת חיוב זה ממ"ש בתורה "עולת חודש בחדשו". חדש בחדשו: חדש והבא קרבן מתרומה חדשה.</w:t>
      </w:r>
      <w:r w:rsidRPr="00F87814">
        <w:rPr>
          <w:rFonts w:ascii="Cambria" w:hAnsi="Cambria" w:cs="Cambria" w:hint="cs"/>
          <w:rtl/>
        </w:rPr>
        <w:t> </w:t>
      </w:r>
    </w:p>
    <w:p w:rsidR="00F87814" w:rsidRPr="00F87814" w:rsidRDefault="00F87814" w:rsidP="00F146A6">
      <w:pPr>
        <w:pStyle w:val="a3"/>
        <w:rPr>
          <w:color w:val="222222"/>
        </w:rPr>
      </w:pPr>
      <w:r w:rsidRPr="00F87814">
        <w:rPr>
          <w:rtl/>
        </w:rPr>
        <w:t>ובמקרה שנשארו למשל בעלי חיים משנה שעברה שהקדישום לשם קרבן, אז אסור להקריבן מר"ח ניסן והלאה. כי הם באו מהתרומה של שנה שעברה. בכל זאת, ישנה עצה שעל פיה ניתן להשתמש בהם ע"י פדיה, שאז יוצאים לחולין, ושוב קונים ומקדישין אותם וחוזרים להיות ראויין להקרב ע"ג המזבח.</w:t>
      </w:r>
      <w:r w:rsidRPr="00F87814">
        <w:rPr>
          <w:rFonts w:ascii="Cambria" w:hAnsi="Cambria" w:cs="Cambria" w:hint="cs"/>
          <w:rtl/>
        </w:rPr>
        <w:t> </w:t>
      </w:r>
    </w:p>
    <w:p w:rsidR="00F87814" w:rsidRPr="00F87814" w:rsidRDefault="00F87814" w:rsidP="00F146A6">
      <w:pPr>
        <w:pStyle w:val="a3"/>
        <w:rPr>
          <w:color w:val="222222"/>
        </w:rPr>
      </w:pPr>
      <w:r w:rsidRPr="00F87814">
        <w:rPr>
          <w:rtl/>
        </w:rPr>
        <w:t>זה נקרא "מותר של שנה שעברה". וזוהי כוונת המשנה "מותר הקטורת…..". היינו המנים שנשארו בקופת הקטורת שלא השתמשו בהם עד ר"ח ניסן. אז העצה היא לפדותם ואח"כ שוב להקדישן. (פדייתן קצת שונה מהבעלי חיים, כמבואר במשנה הנ"ל).</w:t>
      </w:r>
      <w:r w:rsidRPr="00F87814">
        <w:rPr>
          <w:rFonts w:ascii="Cambria" w:hAnsi="Cambria" w:cs="Cambria" w:hint="cs"/>
          <w:rtl/>
        </w:rPr>
        <w:t> </w:t>
      </w:r>
    </w:p>
    <w:p w:rsidR="00F87814" w:rsidRPr="00F87814" w:rsidRDefault="00F87814" w:rsidP="00F146A6">
      <w:pPr>
        <w:pStyle w:val="a3"/>
        <w:rPr>
          <w:color w:val="222222"/>
        </w:rPr>
      </w:pPr>
      <w:r w:rsidRPr="00F87814">
        <w:rPr>
          <w:rtl/>
        </w:rPr>
        <w:t xml:space="preserve">ועכשיו נבאר </w:t>
      </w:r>
      <w:r w:rsidRPr="00F87814">
        <w:rPr>
          <w:b/>
          <w:bCs/>
          <w:rtl/>
        </w:rPr>
        <w:t xml:space="preserve">כמה </w:t>
      </w:r>
      <w:r w:rsidRPr="00F87814">
        <w:rPr>
          <w:rtl/>
        </w:rPr>
        <w:t>'מותר' הי' נשאר כל שנה בר"ח ניסן. האם נשאר אותה מדה בכל שנה או סכום שונה בכל שנה.</w:t>
      </w:r>
      <w:r w:rsidRPr="00F87814">
        <w:rPr>
          <w:rFonts w:ascii="Cambria" w:hAnsi="Cambria" w:cs="Cambria" w:hint="cs"/>
          <w:rtl/>
        </w:rPr>
        <w:t> </w:t>
      </w:r>
    </w:p>
    <w:p w:rsidR="00F87814" w:rsidRPr="00F87814" w:rsidRDefault="00F87814" w:rsidP="00F146A6">
      <w:pPr>
        <w:pStyle w:val="11"/>
        <w:bidi/>
        <w:rPr>
          <w:color w:val="222222"/>
        </w:rPr>
      </w:pPr>
      <w:r w:rsidRPr="00F87814">
        <w:rPr>
          <w:rtl/>
        </w:rPr>
        <w:t>שיטת רש"י</w:t>
      </w:r>
    </w:p>
    <w:p w:rsidR="00F87814" w:rsidRPr="00F87814" w:rsidRDefault="00F87814" w:rsidP="00F146A6">
      <w:pPr>
        <w:pStyle w:val="a3"/>
      </w:pPr>
      <w:r w:rsidRPr="00F87814">
        <w:rPr>
          <w:rtl/>
        </w:rPr>
        <w:t>משנה זו שבמס' שקלים מובאת בגמרא ב</w:t>
      </w:r>
      <w:hyperlink r:id="rId10" w:tgtFrame="_blank" w:history="1">
        <w:r w:rsidRPr="00F87814">
          <w:rPr>
            <w:rtl/>
          </w:rPr>
          <w:t>מס' שבועות י, ב</w:t>
        </w:r>
      </w:hyperlink>
      <w:r w:rsidRPr="00F87814">
        <w:rPr>
          <w:rtl/>
        </w:rPr>
        <w:t>.</w:t>
      </w:r>
      <w:r w:rsidRPr="00F87814">
        <w:rPr>
          <w:rFonts w:ascii="Cambria" w:hAnsi="Cambria" w:cs="Cambria" w:hint="cs"/>
          <w:rtl/>
        </w:rPr>
        <w:t> </w:t>
      </w:r>
    </w:p>
    <w:p w:rsidR="00F87814" w:rsidRPr="00F87814" w:rsidRDefault="00F87814" w:rsidP="00F146A6">
      <w:pPr>
        <w:pStyle w:val="a3"/>
        <w:rPr>
          <w:color w:val="222222"/>
        </w:rPr>
      </w:pPr>
      <w:r w:rsidRPr="00F87814">
        <w:rPr>
          <w:rtl/>
        </w:rPr>
        <w:t>ופרש"י שם: מ</w:t>
      </w:r>
      <w:r w:rsidRPr="00F87814">
        <w:rPr>
          <w:b/>
          <w:bCs/>
          <w:rtl/>
        </w:rPr>
        <w:t>ותר הקטורת.</w:t>
      </w:r>
      <w:r w:rsidRPr="00F87814">
        <w:rPr>
          <w:rtl/>
        </w:rPr>
        <w:t xml:space="preserve"> הנותר בכל שנה מתרומה ישנה:</w:t>
      </w:r>
    </w:p>
    <w:p w:rsidR="00F87814" w:rsidRPr="00F87814" w:rsidRDefault="00F87814" w:rsidP="00F146A6">
      <w:pPr>
        <w:pStyle w:val="a3"/>
        <w:rPr>
          <w:color w:val="222222"/>
          <w:rtl/>
        </w:rPr>
      </w:pPr>
      <w:r w:rsidRPr="00F87814">
        <w:rPr>
          <w:b/>
          <w:bCs/>
          <w:rtl/>
        </w:rPr>
        <w:t>מה היו עושין בה.</w:t>
      </w:r>
      <w:r w:rsidRPr="00F87814">
        <w:rPr>
          <w:rtl/>
        </w:rPr>
        <w:t xml:space="preserve"> להכשירה לשנה הבאה. דאין לך שנה שאין בה מותר קטורת משלשת מנים יתירים שמפטמין בכל שנה למלוא חפנים ביוה"כ.</w:t>
      </w:r>
    </w:p>
    <w:p w:rsidR="00F87814" w:rsidRPr="00F87814" w:rsidRDefault="00F87814" w:rsidP="00F146A6">
      <w:pPr>
        <w:pStyle w:val="a3"/>
        <w:rPr>
          <w:color w:val="222222"/>
          <w:rtl/>
        </w:rPr>
      </w:pPr>
      <w:r w:rsidRPr="00F87814">
        <w:rPr>
          <w:rtl/>
        </w:rPr>
        <w:t>ואי אפשר שיכנסו כולם בחפניו. כדתניא בכריתות (דף ו:) אחת לששים או לשבעים שנה היתה חציה של שיריים: [הפיסוק הוא לא ברש"י].</w:t>
      </w:r>
    </w:p>
    <w:p w:rsidR="00F87814" w:rsidRPr="00F87814" w:rsidRDefault="00F87814" w:rsidP="00F146A6">
      <w:pPr>
        <w:pStyle w:val="a3"/>
        <w:rPr>
          <w:color w:val="222222"/>
        </w:rPr>
      </w:pPr>
      <w:r w:rsidRPr="00F87814">
        <w:rPr>
          <w:rtl/>
        </w:rPr>
        <w:t>כלומר- לדעת רש"י נשארו בקופת הקטורת כל ר"ח ניסן, פחות או יותר, שניים וחצי מנים. שהרי 3 מנים הכינו לשימוש ביו"כ, והכה"ג מוציא מהקופה מלא חפניו לעבודת היום. ומה שנשאר</w:t>
      </w:r>
      <w:r w:rsidRPr="00F87814">
        <w:rPr>
          <w:b/>
          <w:bCs/>
          <w:rtl/>
        </w:rPr>
        <w:t xml:space="preserve">, </w:t>
      </w:r>
      <w:r w:rsidRPr="00F87814">
        <w:rPr>
          <w:rtl/>
        </w:rPr>
        <w:t>מזה שלא נכנס לחופן הכה"ג, נשאר בקופה. (2.5 מנים פחות או יותר כי לא כל החפנים שווים, רש"י כריתות ו, ב. ד"ה אחת). וזה הוא ה'מותר'.</w:t>
      </w:r>
      <w:r w:rsidRPr="00F87814">
        <w:rPr>
          <w:rFonts w:ascii="Cambria" w:hAnsi="Cambria" w:cs="Cambria" w:hint="cs"/>
          <w:rtl/>
        </w:rPr>
        <w:t> </w:t>
      </w:r>
    </w:p>
    <w:p w:rsidR="00F87814" w:rsidRPr="00F87814" w:rsidRDefault="00F87814" w:rsidP="00F146A6">
      <w:pPr>
        <w:pStyle w:val="a3"/>
        <w:rPr>
          <w:color w:val="222222"/>
          <w:rtl/>
        </w:rPr>
      </w:pPr>
      <w:r w:rsidRPr="00F87814">
        <w:rPr>
          <w:rtl/>
        </w:rPr>
        <w:t>והמותר הזה, 2.5 מנים, היו פודין וחוזרין ומקדישין.</w:t>
      </w:r>
      <w:r w:rsidRPr="00F87814">
        <w:rPr>
          <w:rFonts w:ascii="Cambria" w:hAnsi="Cambria" w:cs="Cambria" w:hint="cs"/>
          <w:rtl/>
        </w:rPr>
        <w:t> </w:t>
      </w:r>
    </w:p>
    <w:p w:rsidR="00F87814" w:rsidRPr="00F87814" w:rsidRDefault="00F87814" w:rsidP="00F146A6">
      <w:pPr>
        <w:pStyle w:val="a3"/>
        <w:rPr>
          <w:color w:val="222222"/>
        </w:rPr>
      </w:pPr>
      <w:r w:rsidRPr="00F87814">
        <w:rPr>
          <w:rtl/>
        </w:rPr>
        <w:t xml:space="preserve">[ואחת לשישים או לשבעים שנה הי' מתאסף מה2.5 מנים שנותר בכל שנה סכום של 184 מנים, שזה חצי הסכום של 368. וע"ז נאמר בכריתות: אחת לס' או לע' שנה היתה באה של שיריים לחציין. שלא הי' צורך לפטם מדה שלימה. ובכו"כ אחרונים </w:t>
      </w:r>
      <w:r w:rsidRPr="00F87814">
        <w:rPr>
          <w:rtl/>
        </w:rPr>
        <w:lastRenderedPageBreak/>
        <w:t>ישנה שקו"ט לחשבון הזה]</w:t>
      </w:r>
      <w:r w:rsidRPr="00F87814">
        <w:rPr>
          <w:rFonts w:ascii="Cambria" w:hAnsi="Cambria" w:cs="Cambria" w:hint="cs"/>
          <w:rtl/>
        </w:rPr>
        <w:t> </w:t>
      </w:r>
    </w:p>
    <w:p w:rsidR="00F87814" w:rsidRPr="00F87814" w:rsidRDefault="00F87814" w:rsidP="00F146A6">
      <w:pPr>
        <w:pStyle w:val="a3"/>
        <w:rPr>
          <w:color w:val="222222"/>
        </w:rPr>
      </w:pPr>
      <w:r w:rsidRPr="00F87814">
        <w:rPr>
          <w:rtl/>
        </w:rPr>
        <w:t>אבל השניים וחצי מנים שנשארו בקופה בר"ח ניסן סיפק רק ליומיים! שהרי כל יום הקטירו חצי מנה בבוקר וחצי מנה בערב. ומה הקטירו בג' ניסן? ועל כרחך לומר שפיטמו מדה שלימה של 368 מנים כל ר"ח ניסן, או ביום ב בניסן. כך שיהיו 2 מנים שלימים ליום ג ניסן והלאה.</w:t>
      </w:r>
      <w:r w:rsidRPr="00F87814">
        <w:rPr>
          <w:rFonts w:ascii="Cambria" w:hAnsi="Cambria" w:cs="Cambria" w:hint="cs"/>
          <w:rtl/>
        </w:rPr>
        <w:t>  </w:t>
      </w:r>
    </w:p>
    <w:p w:rsidR="00F87814" w:rsidRPr="00F87814" w:rsidRDefault="00F87814" w:rsidP="00F146A6">
      <w:pPr>
        <w:pStyle w:val="a3"/>
        <w:rPr>
          <w:color w:val="222222"/>
        </w:rPr>
      </w:pPr>
      <w:r w:rsidRPr="00F87814">
        <w:rPr>
          <w:rtl/>
        </w:rPr>
        <w:t>זו היא שיטת רש"י.</w:t>
      </w:r>
      <w:r w:rsidRPr="00F87814">
        <w:rPr>
          <w:rFonts w:ascii="Cambria" w:hAnsi="Cambria" w:cs="Cambria" w:hint="cs"/>
          <w:rtl/>
        </w:rPr>
        <w:t> </w:t>
      </w:r>
    </w:p>
    <w:p w:rsidR="00F87814" w:rsidRPr="00F87814" w:rsidRDefault="00F87814" w:rsidP="00F146A6">
      <w:pPr>
        <w:pStyle w:val="a3"/>
        <w:rPr>
          <w:color w:val="222222"/>
        </w:rPr>
      </w:pPr>
      <w:r w:rsidRPr="00F87814">
        <w:rPr>
          <w:rtl/>
        </w:rPr>
        <w:t>אבל, כנ"ל, בשנה פשוטה נשארו בר"ח ניסן 11 מנים פלוס שניים וחצי! אז למה כתב רש"י שנשארו רק שניים וחצי מנים?</w:t>
      </w:r>
      <w:r w:rsidRPr="00F87814">
        <w:rPr>
          <w:rFonts w:ascii="Cambria" w:hAnsi="Cambria" w:cs="Cambria" w:hint="cs"/>
          <w:rtl/>
        </w:rPr>
        <w:t> </w:t>
      </w:r>
    </w:p>
    <w:p w:rsidR="00F87814" w:rsidRPr="00F87814" w:rsidRDefault="00F87814" w:rsidP="00F146A6">
      <w:pPr>
        <w:pStyle w:val="11"/>
        <w:bidi/>
        <w:rPr>
          <w:color w:val="222222"/>
        </w:rPr>
      </w:pPr>
      <w:r w:rsidRPr="00F87814">
        <w:rPr>
          <w:rtl/>
        </w:rPr>
        <w:t>שיטת התוס'</w:t>
      </w:r>
    </w:p>
    <w:p w:rsidR="00F87814" w:rsidRPr="00F87814" w:rsidRDefault="00F87814" w:rsidP="00F146A6">
      <w:pPr>
        <w:pStyle w:val="a3"/>
        <w:rPr>
          <w:color w:val="222222"/>
        </w:rPr>
      </w:pPr>
      <w:r w:rsidRPr="00F87814">
        <w:rPr>
          <w:rtl/>
        </w:rPr>
        <w:t>הנה על שאלה זו העירו התוס שם ד"ה מותר הקטורת.</w:t>
      </w:r>
      <w:r w:rsidRPr="00F87814">
        <w:rPr>
          <w:rFonts w:ascii="Cambria" w:hAnsi="Cambria" w:cs="Cambria" w:hint="cs"/>
          <w:rtl/>
        </w:rPr>
        <w:t> </w:t>
      </w:r>
    </w:p>
    <w:p w:rsidR="00F87814" w:rsidRPr="00F87814" w:rsidRDefault="00F87814" w:rsidP="00F146A6">
      <w:pPr>
        <w:pStyle w:val="a3"/>
        <w:rPr>
          <w:color w:val="222222"/>
          <w:rtl/>
        </w:rPr>
      </w:pPr>
      <w:r w:rsidRPr="00F87814">
        <w:rPr>
          <w:rtl/>
        </w:rPr>
        <w:t>ונקודת דבריהם, שאה"נ, הפירוש ב'מותר הקטורת' הוא (לא רק ה2.5 מנים כפי שפירש רש"י, אלא) ה11 מנים שנשארו בסוף כל שנה פשוטה. ואז פיטמו מדה שלימה של 368 מנים להשתמש בהם לי"ב החדשים הבאים.</w:t>
      </w:r>
    </w:p>
    <w:p w:rsidR="00F87814" w:rsidRPr="00F87814" w:rsidRDefault="00F87814" w:rsidP="00F146A6">
      <w:pPr>
        <w:pStyle w:val="a3"/>
        <w:rPr>
          <w:color w:val="222222"/>
        </w:rPr>
      </w:pPr>
      <w:r w:rsidRPr="00F87814">
        <w:rPr>
          <w:rtl/>
        </w:rPr>
        <w:t>מה עשו עם ה11 מנים שנשארו? כותבים התוס' שאספו אותם לשימוש בשנה מעוברת. שהרי בשנה מעוברת הי' צריכים 387 מנים. (354 + 3+ 30) ומאיפה לקחו 29 או 30 מנים לחודש העיבור שניתוסף? וע"ז באה התשובה : מה11 מנים שהי' מתאספים כל שנה פשוטה. ולצורך זה אספו את ה11 מנים שנשארו וחידשו אותם כל ר"ח ניסן.</w:t>
      </w:r>
      <w:r w:rsidRPr="00F87814">
        <w:rPr>
          <w:rFonts w:ascii="Cambria" w:hAnsi="Cambria" w:cs="Cambria" w:hint="cs"/>
          <w:rtl/>
        </w:rPr>
        <w:t> </w:t>
      </w:r>
    </w:p>
    <w:p w:rsidR="00F87814" w:rsidRPr="00F87814" w:rsidRDefault="00F87814" w:rsidP="00F146A6">
      <w:pPr>
        <w:pStyle w:val="a3"/>
        <w:rPr>
          <w:color w:val="222222"/>
        </w:rPr>
      </w:pPr>
      <w:r w:rsidRPr="00F87814">
        <w:rPr>
          <w:rtl/>
        </w:rPr>
        <w:t>עכ"פ בין לדעת רש"י שהמותר בר"ח ניסן הי' רק 2.5 מנים, ובין לדעת התוס' שזה 11 מנים (בשנה פשוטה, פלוס 2.5 שנשאר מיום כיפור) משמע שחוץ מזה לא הי' מותר.</w:t>
      </w:r>
      <w:r w:rsidRPr="00F87814">
        <w:rPr>
          <w:rFonts w:ascii="Cambria" w:hAnsi="Cambria" w:cs="Cambria" w:hint="cs"/>
          <w:rtl/>
        </w:rPr>
        <w:t> </w:t>
      </w:r>
    </w:p>
    <w:p w:rsidR="00F87814" w:rsidRPr="00F87814" w:rsidRDefault="00F87814" w:rsidP="00F146A6">
      <w:pPr>
        <w:pStyle w:val="a3"/>
        <w:rPr>
          <w:color w:val="222222"/>
        </w:rPr>
      </w:pPr>
      <w:r w:rsidRPr="00F87814">
        <w:rPr>
          <w:rtl/>
        </w:rPr>
        <w:t xml:space="preserve">לסיכום: בין לרש"י ובין לתוס', אם נאמר שהפיטום התקיים (לא בר"ח ניסן אלא) </w:t>
      </w:r>
      <w:r w:rsidRPr="00F87814">
        <w:rPr>
          <w:b/>
          <w:bCs/>
          <w:rtl/>
        </w:rPr>
        <w:t xml:space="preserve">באמצע </w:t>
      </w:r>
      <w:r w:rsidRPr="00F87814">
        <w:rPr>
          <w:rtl/>
        </w:rPr>
        <w:t>השנה (או אפילו כמה ימים לפני ר"ח ניסן)</w:t>
      </w:r>
      <w:r w:rsidRPr="00F87814">
        <w:rPr>
          <w:rFonts w:ascii="Cambria" w:hAnsi="Cambria" w:cs="Cambria" w:hint="cs"/>
          <w:rtl/>
        </w:rPr>
        <w:t> </w:t>
      </w:r>
      <w:r w:rsidRPr="00F87814">
        <w:rPr>
          <w:rtl/>
        </w:rPr>
        <w:t xml:space="preserve"> </w:t>
      </w:r>
      <w:r w:rsidRPr="00F87814">
        <w:rPr>
          <w:b/>
          <w:bCs/>
          <w:rtl/>
        </w:rPr>
        <w:t>אז המותר בר"ח ניסן הי' הרבה יותר מזה.</w:t>
      </w:r>
      <w:r w:rsidRPr="00F87814">
        <w:rPr>
          <w:rFonts w:ascii="Cambria" w:hAnsi="Cambria" w:cs="Cambria" w:hint="cs"/>
          <w:b/>
          <w:bCs/>
          <w:rtl/>
        </w:rPr>
        <w:t> </w:t>
      </w:r>
    </w:p>
    <w:p w:rsidR="00F87814" w:rsidRPr="00F87814" w:rsidRDefault="00F87814" w:rsidP="00F146A6">
      <w:pPr>
        <w:pStyle w:val="a3"/>
        <w:rPr>
          <w:color w:val="222222"/>
          <w:rtl/>
        </w:rPr>
      </w:pPr>
      <w:r w:rsidRPr="00F87814">
        <w:rPr>
          <w:rtl/>
        </w:rPr>
        <w:t xml:space="preserve">אע"כ שהפיטום התקיים כל שנה </w:t>
      </w:r>
      <w:r w:rsidRPr="00F87814">
        <w:rPr>
          <w:b/>
          <w:bCs/>
          <w:rtl/>
        </w:rPr>
        <w:t xml:space="preserve">אחרי </w:t>
      </w:r>
      <w:r w:rsidRPr="00F87814">
        <w:rPr>
          <w:rtl/>
        </w:rPr>
        <w:t>ר"ח ניסן. ולכן בראש חודש ניסן של שנה הבאה נשאר רק קצת - 2.5 או 13.5 מנים.</w:t>
      </w:r>
      <w:r w:rsidRPr="00F87814">
        <w:rPr>
          <w:rFonts w:ascii="Cambria" w:hAnsi="Cambria" w:cs="Cambria" w:hint="cs"/>
          <w:rtl/>
        </w:rPr>
        <w:t> </w:t>
      </w:r>
    </w:p>
    <w:p w:rsidR="007907A8" w:rsidRDefault="00F87814" w:rsidP="004820B2">
      <w:pPr>
        <w:pStyle w:val="a3"/>
        <w:rPr>
          <w:rFonts w:ascii="Cambria" w:hAnsi="Cambria" w:cs="Cambria"/>
          <w:rtl/>
        </w:rPr>
      </w:pPr>
      <w:r w:rsidRPr="00F87814">
        <w:rPr>
          <w:rtl/>
        </w:rPr>
        <w:t>כנ"ל בדרך אפשר.</w:t>
      </w:r>
      <w:r w:rsidRPr="00F87814">
        <w:rPr>
          <w:rFonts w:ascii="Cambria" w:hAnsi="Cambria" w:cs="Cambria" w:hint="cs"/>
          <w:rtl/>
        </w:rPr>
        <w:t>  </w:t>
      </w:r>
    </w:p>
    <w:p w:rsidR="00F87814" w:rsidRPr="00F87814" w:rsidRDefault="00F87814" w:rsidP="00F146A6">
      <w:pPr>
        <w:pStyle w:val="11"/>
        <w:bidi/>
        <w:rPr>
          <w:color w:val="222222"/>
        </w:rPr>
      </w:pPr>
      <w:r w:rsidRPr="00F87814">
        <w:rPr>
          <w:rtl/>
        </w:rPr>
        <w:t>המחזור של י"ט שנה</w:t>
      </w:r>
    </w:p>
    <w:p w:rsidR="00F87814" w:rsidRPr="00F87814" w:rsidRDefault="00F87814" w:rsidP="00F146A6">
      <w:pPr>
        <w:pStyle w:val="a3"/>
        <w:rPr>
          <w:color w:val="222222"/>
        </w:rPr>
      </w:pPr>
      <w:r w:rsidRPr="00F87814">
        <w:rPr>
          <w:rtl/>
        </w:rPr>
        <w:t>מה שעדיין צריך בירור, ואקוה שהקוראים יעירו ע"ז, הוא כדלהלן:</w:t>
      </w:r>
    </w:p>
    <w:p w:rsidR="00F87814" w:rsidRPr="00F87814" w:rsidRDefault="00F87814" w:rsidP="00F146A6">
      <w:pPr>
        <w:pStyle w:val="a3"/>
        <w:rPr>
          <w:color w:val="222222"/>
        </w:rPr>
      </w:pPr>
      <w:r w:rsidRPr="00F87814">
        <w:rPr>
          <w:rtl/>
        </w:rPr>
        <w:lastRenderedPageBreak/>
        <w:t>לפי הלוח שתיקן הלל בסוף זמן חכמי הגמרא, ישנו סדר של שנים מעוברות בתוך המחזור של 19 שנה. והן: 3, 6, 8, 11, 14, 17, 19.</w:t>
      </w:r>
    </w:p>
    <w:p w:rsidR="00F87814" w:rsidRPr="00F87814" w:rsidRDefault="00F87814" w:rsidP="00F146A6">
      <w:pPr>
        <w:pStyle w:val="a3"/>
        <w:rPr>
          <w:color w:val="222222"/>
        </w:rPr>
      </w:pPr>
      <w:r w:rsidRPr="00F87814">
        <w:rPr>
          <w:rtl/>
        </w:rPr>
        <w:t>אבל בזמן הבית שקדשו עפ"י הראי' לא היו מחוייבים לסדר של גו"ח וכו'. עיבור השנה הי' מיוסד על שלשה סימנין. רמב"ם קדה"ח ד, ג.</w:t>
      </w:r>
      <w:r w:rsidRPr="00F87814">
        <w:rPr>
          <w:rFonts w:ascii="Cambria" w:hAnsi="Cambria" w:cs="Cambria" w:hint="cs"/>
          <w:rtl/>
        </w:rPr>
        <w:t> </w:t>
      </w:r>
    </w:p>
    <w:p w:rsidR="00F87814" w:rsidRPr="00F87814" w:rsidRDefault="00F87814" w:rsidP="00F146A6">
      <w:pPr>
        <w:pStyle w:val="a3"/>
        <w:rPr>
          <w:color w:val="222222"/>
          <w:rtl/>
        </w:rPr>
      </w:pPr>
      <w:r w:rsidRPr="00F87814">
        <w:rPr>
          <w:rtl/>
        </w:rPr>
        <w:t>[רק השתמשו במחזור של 19 שנה כדי לדעת אם העדים משקרים. כמ"ש הרמב"ם בסוף פ"י מהלכות קדה"ח]</w:t>
      </w:r>
    </w:p>
    <w:p w:rsidR="00F87814" w:rsidRPr="00F87814" w:rsidRDefault="00F87814" w:rsidP="00F146A6">
      <w:pPr>
        <w:pStyle w:val="a3"/>
        <w:rPr>
          <w:color w:val="222222"/>
        </w:rPr>
      </w:pPr>
      <w:r w:rsidRPr="00F87814">
        <w:rPr>
          <w:rtl/>
        </w:rPr>
        <w:t>והשאלה היא בשתיים - הקטרת הקטורת שייכת הן בזמן שקידשו עפ"י הראי', והן בזמן שמשתמשים בלוח, וכדלהלן.</w:t>
      </w:r>
      <w:r w:rsidRPr="00F87814">
        <w:rPr>
          <w:rFonts w:ascii="Cambria" w:hAnsi="Cambria" w:cs="Cambria" w:hint="cs"/>
          <w:rtl/>
        </w:rPr>
        <w:t>  </w:t>
      </w:r>
    </w:p>
    <w:p w:rsidR="00F87814" w:rsidRPr="00F87814" w:rsidRDefault="00F87814" w:rsidP="00F146A6">
      <w:pPr>
        <w:pStyle w:val="a3"/>
        <w:rPr>
          <w:color w:val="222222"/>
        </w:rPr>
      </w:pPr>
      <w:r w:rsidRPr="00F87814">
        <w:rPr>
          <w:rtl/>
        </w:rPr>
        <w:t>א- בזמן שקידשו עפ"י הראי', קביעת החודש ועיבור השנה תלויים בעדים והחלטת הבי"ד. זאת אומרת, שבי"ד יכולים להחליט (עפ"י כללים מסויימים) על איזה שנה שתהיה, ואפילו לשנה ראשונה של המחזור, שתהי' מעוברת.</w:t>
      </w:r>
    </w:p>
    <w:p w:rsidR="00F87814" w:rsidRPr="00F87814" w:rsidRDefault="00F87814" w:rsidP="00F146A6">
      <w:pPr>
        <w:pStyle w:val="a3"/>
        <w:rPr>
          <w:color w:val="222222"/>
        </w:rPr>
      </w:pPr>
      <w:r w:rsidRPr="00F87814">
        <w:rPr>
          <w:rtl/>
        </w:rPr>
        <w:t>ואם כנים הדברים הנ"ל, שעשיית הקטורת התקיימה</w:t>
      </w:r>
      <w:r w:rsidRPr="00F87814">
        <w:rPr>
          <w:b/>
          <w:bCs/>
          <w:rtl/>
        </w:rPr>
        <w:t xml:space="preserve"> כל שנה</w:t>
      </w:r>
      <w:r w:rsidRPr="00F87814">
        <w:rPr>
          <w:rtl/>
        </w:rPr>
        <w:t xml:space="preserve"> בסמיכות לתחילת חודש ניסן, מה יעשו אם בי"ד יעברו את השנה הבאה? מאיפה יגיעו ה19</w:t>
      </w:r>
      <w:r w:rsidRPr="00F87814">
        <w:rPr>
          <w:rFonts w:ascii="Cambria" w:hAnsi="Cambria" w:cs="Cambria" w:hint="cs"/>
          <w:rtl/>
        </w:rPr>
        <w:t> </w:t>
      </w:r>
      <w:r w:rsidRPr="00F87814">
        <w:rPr>
          <w:rtl/>
        </w:rPr>
        <w:t xml:space="preserve"> </w:t>
      </w:r>
      <w:r w:rsidRPr="00F87814">
        <w:rPr>
          <w:rFonts w:hint="cs"/>
          <w:rtl/>
        </w:rPr>
        <w:t>או</w:t>
      </w:r>
      <w:r w:rsidRPr="00F87814">
        <w:rPr>
          <w:rtl/>
        </w:rPr>
        <w:t xml:space="preserve"> 20 </w:t>
      </w:r>
      <w:r w:rsidRPr="00F87814">
        <w:rPr>
          <w:rFonts w:hint="cs"/>
          <w:rtl/>
        </w:rPr>
        <w:t>מנים</w:t>
      </w:r>
      <w:r w:rsidRPr="00F87814">
        <w:rPr>
          <w:rtl/>
        </w:rPr>
        <w:t xml:space="preserve"> </w:t>
      </w:r>
      <w:r w:rsidRPr="00F87814">
        <w:rPr>
          <w:rFonts w:hint="cs"/>
          <w:rtl/>
        </w:rPr>
        <w:t>שצריכים</w:t>
      </w:r>
      <w:r w:rsidRPr="00F87814">
        <w:rPr>
          <w:rtl/>
        </w:rPr>
        <w:t xml:space="preserve"> </w:t>
      </w:r>
      <w:r w:rsidRPr="00F87814">
        <w:rPr>
          <w:rFonts w:hint="cs"/>
          <w:rtl/>
        </w:rPr>
        <w:t>לחודש</w:t>
      </w:r>
      <w:r w:rsidRPr="00F87814">
        <w:rPr>
          <w:rtl/>
        </w:rPr>
        <w:t xml:space="preserve"> </w:t>
      </w:r>
      <w:r w:rsidRPr="00F87814">
        <w:rPr>
          <w:rFonts w:hint="cs"/>
          <w:rtl/>
        </w:rPr>
        <w:t>העיבור</w:t>
      </w:r>
      <w:r w:rsidRPr="00F87814">
        <w:rPr>
          <w:rtl/>
        </w:rPr>
        <w:t>?</w:t>
      </w:r>
      <w:r w:rsidRPr="00F87814">
        <w:rPr>
          <w:rFonts w:ascii="Cambria" w:hAnsi="Cambria" w:cs="Cambria" w:hint="cs"/>
          <w:rtl/>
        </w:rPr>
        <w:t> </w:t>
      </w:r>
    </w:p>
    <w:p w:rsidR="00F87814" w:rsidRPr="00F87814" w:rsidRDefault="00F87814" w:rsidP="00F146A6">
      <w:pPr>
        <w:pStyle w:val="a3"/>
        <w:rPr>
          <w:color w:val="222222"/>
          <w:rtl/>
        </w:rPr>
      </w:pPr>
      <w:r w:rsidRPr="00F87814">
        <w:rPr>
          <w:rtl/>
        </w:rPr>
        <w:t xml:space="preserve">הרי אם יפטמו רק 368 אז בסיום חודש אדר (ראשון) של שנה ראשונה ישארו רק 11 מנים, פלוס 2.5 מנה שנשאר מיו"כ, ומה יקטירו אחרי שלש עשרה יום לחודש אדר שני? הרי רק </w:t>
      </w:r>
      <w:r w:rsidRPr="00F87814">
        <w:rPr>
          <w:b/>
          <w:bCs/>
          <w:rtl/>
        </w:rPr>
        <w:t xml:space="preserve">אחרי </w:t>
      </w:r>
      <w:r w:rsidRPr="00F87814">
        <w:rPr>
          <w:rtl/>
        </w:rPr>
        <w:t>3 שנים נשאר קטורת מספיקה לחודש שלם!</w:t>
      </w:r>
      <w:r w:rsidRPr="00F87814">
        <w:rPr>
          <w:rFonts w:ascii="Cambria" w:hAnsi="Cambria" w:cs="Cambria" w:hint="cs"/>
          <w:rtl/>
        </w:rPr>
        <w:t> </w:t>
      </w:r>
    </w:p>
    <w:p w:rsidR="00F87814" w:rsidRPr="00F87814" w:rsidRDefault="00F87814" w:rsidP="00F146A6">
      <w:pPr>
        <w:pStyle w:val="a3"/>
        <w:rPr>
          <w:color w:val="222222"/>
        </w:rPr>
      </w:pPr>
      <w:r w:rsidRPr="00F87814">
        <w:rPr>
          <w:rtl/>
        </w:rPr>
        <w:t>ב- וכן אינו מובן בזמן שקובעים השנה לפי לוח.</w:t>
      </w:r>
      <w:r w:rsidRPr="00F87814">
        <w:rPr>
          <w:rFonts w:ascii="Cambria" w:hAnsi="Cambria" w:cs="Cambria" w:hint="cs"/>
          <w:rtl/>
        </w:rPr>
        <w:t> </w:t>
      </w:r>
    </w:p>
    <w:p w:rsidR="00F87814" w:rsidRPr="00F87814" w:rsidRDefault="00F87814" w:rsidP="00F146A6">
      <w:pPr>
        <w:pStyle w:val="a3"/>
        <w:rPr>
          <w:color w:val="222222"/>
        </w:rPr>
      </w:pPr>
      <w:r w:rsidRPr="00F87814">
        <w:rPr>
          <w:rtl/>
        </w:rPr>
        <w:t>כי הנה, בהמשך דברי התוס' הנ"ל מובא שבסוף המחזור של י"ט שנה, שאז משתווים (פחות או יותר) ימי השנה של הלבנה והחמה, לא נשאר כלום מה11 מנים הנותרים בכל שנה. כי השתמשו בזה ל7 שנים המעוברות שבכל מחזור. היינו, שאחרי כל ג' שנים פשוטות נשארו 33 מנים יתירים. ובזה השתמשו בחודש העיבור.</w:t>
      </w:r>
      <w:r w:rsidRPr="00F87814">
        <w:rPr>
          <w:rFonts w:ascii="Cambria" w:hAnsi="Cambria" w:cs="Cambria" w:hint="cs"/>
          <w:rtl/>
        </w:rPr>
        <w:t> </w:t>
      </w:r>
    </w:p>
    <w:p w:rsidR="00F87814" w:rsidRPr="00F87814" w:rsidRDefault="00F87814" w:rsidP="00F146A6">
      <w:pPr>
        <w:pStyle w:val="a3"/>
        <w:rPr>
          <w:color w:val="222222"/>
        </w:rPr>
      </w:pPr>
      <w:r w:rsidRPr="00F87814">
        <w:rPr>
          <w:rtl/>
        </w:rPr>
        <w:t>מה שכן נשאר הוא ה2.5 מנים מהשלשה מנים של של יו"כ. וכשהצטבר לאחר 60 או 70 שנה 186 מנים הי' צורך לפטם רק חצי מדה.</w:t>
      </w:r>
      <w:r w:rsidRPr="00F87814">
        <w:rPr>
          <w:rFonts w:ascii="Cambria" w:hAnsi="Cambria" w:cs="Cambria" w:hint="cs"/>
          <w:rtl/>
        </w:rPr>
        <w:t> </w:t>
      </w:r>
      <w:r w:rsidRPr="00F87814">
        <w:rPr>
          <w:rtl/>
        </w:rPr>
        <w:t xml:space="preserve"> [2.5 </w:t>
      </w:r>
      <w:r w:rsidRPr="00F87814">
        <w:rPr>
          <w:rFonts w:hint="cs"/>
          <w:rtl/>
        </w:rPr>
        <w:t>מנים</w:t>
      </w:r>
      <w:r w:rsidRPr="00F87814">
        <w:rPr>
          <w:rtl/>
        </w:rPr>
        <w:t xml:space="preserve"> </w:t>
      </w:r>
      <w:r w:rsidRPr="00F87814">
        <w:rPr>
          <w:rFonts w:hint="cs"/>
          <w:rtl/>
        </w:rPr>
        <w:t>לשנה</w:t>
      </w:r>
      <w:r w:rsidRPr="00F87814">
        <w:rPr>
          <w:rtl/>
        </w:rPr>
        <w:t xml:space="preserve"> </w:t>
      </w:r>
      <w:r w:rsidRPr="00F87814">
        <w:rPr>
          <w:rFonts w:hint="cs"/>
          <w:rtl/>
        </w:rPr>
        <w:t>כפול</w:t>
      </w:r>
      <w:r w:rsidRPr="00F87814">
        <w:rPr>
          <w:rtl/>
        </w:rPr>
        <w:t xml:space="preserve"> 60</w:t>
      </w:r>
      <w:r w:rsidRPr="00F87814">
        <w:rPr>
          <w:rFonts w:ascii="Cambria" w:hAnsi="Cambria" w:cs="Cambria" w:hint="cs"/>
          <w:rtl/>
        </w:rPr>
        <w:t> </w:t>
      </w:r>
      <w:r w:rsidRPr="00F87814">
        <w:rPr>
          <w:rtl/>
        </w:rPr>
        <w:t xml:space="preserve"> </w:t>
      </w:r>
      <w:r w:rsidRPr="00F87814">
        <w:rPr>
          <w:rFonts w:hint="cs"/>
          <w:rtl/>
        </w:rPr>
        <w:t>או</w:t>
      </w:r>
      <w:r w:rsidRPr="00F87814">
        <w:rPr>
          <w:rtl/>
        </w:rPr>
        <w:t xml:space="preserve"> 70 </w:t>
      </w:r>
      <w:r w:rsidRPr="00F87814">
        <w:rPr>
          <w:rFonts w:hint="cs"/>
          <w:rtl/>
        </w:rPr>
        <w:t>עולה</w:t>
      </w:r>
      <w:r w:rsidRPr="00F87814">
        <w:rPr>
          <w:rtl/>
        </w:rPr>
        <w:t xml:space="preserve"> </w:t>
      </w:r>
      <w:r w:rsidRPr="00F87814">
        <w:rPr>
          <w:rFonts w:hint="cs"/>
          <w:rtl/>
        </w:rPr>
        <w:t>בסביבות</w:t>
      </w:r>
      <w:r w:rsidRPr="00F87814">
        <w:rPr>
          <w:rtl/>
        </w:rPr>
        <w:t xml:space="preserve"> </w:t>
      </w:r>
      <w:r w:rsidRPr="00F87814">
        <w:rPr>
          <w:rFonts w:hint="cs"/>
          <w:rtl/>
        </w:rPr>
        <w:t>חצי</w:t>
      </w:r>
      <w:r w:rsidRPr="00F87814">
        <w:rPr>
          <w:rtl/>
        </w:rPr>
        <w:t xml:space="preserve"> </w:t>
      </w:r>
      <w:r w:rsidRPr="00F87814">
        <w:rPr>
          <w:rFonts w:hint="cs"/>
          <w:rtl/>
        </w:rPr>
        <w:t>מדה</w:t>
      </w:r>
      <w:r w:rsidRPr="00F87814">
        <w:rPr>
          <w:rtl/>
        </w:rPr>
        <w:t xml:space="preserve"> </w:t>
      </w:r>
      <w:r w:rsidRPr="00F87814">
        <w:rPr>
          <w:rFonts w:hint="cs"/>
          <w:rtl/>
        </w:rPr>
        <w:t>שלימה</w:t>
      </w:r>
      <w:r w:rsidRPr="00F87814">
        <w:rPr>
          <w:rtl/>
        </w:rPr>
        <w:t xml:space="preserve">, </w:t>
      </w:r>
      <w:r w:rsidRPr="00F87814">
        <w:rPr>
          <w:rFonts w:hint="cs"/>
          <w:rtl/>
        </w:rPr>
        <w:t>יעו</w:t>
      </w:r>
      <w:r w:rsidRPr="00F87814">
        <w:rPr>
          <w:rtl/>
        </w:rPr>
        <w:t>"</w:t>
      </w:r>
      <w:r w:rsidRPr="00F87814">
        <w:rPr>
          <w:rFonts w:hint="cs"/>
          <w:rtl/>
        </w:rPr>
        <w:t>ש</w:t>
      </w:r>
      <w:r w:rsidRPr="00F87814">
        <w:rPr>
          <w:rtl/>
        </w:rPr>
        <w:t xml:space="preserve"> החשבון בתוס'].</w:t>
      </w:r>
      <w:r w:rsidRPr="00F87814">
        <w:rPr>
          <w:rFonts w:ascii="Cambria" w:hAnsi="Cambria" w:cs="Cambria" w:hint="cs"/>
          <w:rtl/>
        </w:rPr>
        <w:t> </w:t>
      </w:r>
    </w:p>
    <w:p w:rsidR="00F87814" w:rsidRPr="00F87814" w:rsidRDefault="00F87814" w:rsidP="00F146A6">
      <w:pPr>
        <w:pStyle w:val="a3"/>
        <w:rPr>
          <w:color w:val="222222"/>
        </w:rPr>
      </w:pPr>
      <w:r w:rsidRPr="00F87814">
        <w:rPr>
          <w:rtl/>
        </w:rPr>
        <w:t>וגם פה לכאורה נשאלת</w:t>
      </w:r>
      <w:r w:rsidRPr="00F87814">
        <w:rPr>
          <w:rFonts w:ascii="Cambria" w:hAnsi="Cambria" w:cs="Cambria" w:hint="cs"/>
          <w:rtl/>
        </w:rPr>
        <w:t> </w:t>
      </w:r>
      <w:r w:rsidRPr="00F87814">
        <w:rPr>
          <w:rtl/>
        </w:rPr>
        <w:t xml:space="preserve"> </w:t>
      </w:r>
      <w:r w:rsidRPr="00F87814">
        <w:rPr>
          <w:rFonts w:hint="cs"/>
          <w:rtl/>
        </w:rPr>
        <w:t>אותה</w:t>
      </w:r>
      <w:r w:rsidRPr="00F87814">
        <w:rPr>
          <w:rtl/>
        </w:rPr>
        <w:t xml:space="preserve"> </w:t>
      </w:r>
      <w:r w:rsidRPr="00F87814">
        <w:rPr>
          <w:rFonts w:hint="cs"/>
          <w:rtl/>
        </w:rPr>
        <w:t>שאלה</w:t>
      </w:r>
      <w:r w:rsidRPr="00F87814">
        <w:rPr>
          <w:rtl/>
        </w:rPr>
        <w:t xml:space="preserve">. </w:t>
      </w:r>
      <w:r w:rsidRPr="00F87814">
        <w:rPr>
          <w:rFonts w:hint="cs"/>
          <w:rtl/>
        </w:rPr>
        <w:t>שהרי</w:t>
      </w:r>
      <w:r w:rsidRPr="00F87814">
        <w:rPr>
          <w:rtl/>
        </w:rPr>
        <w:t xml:space="preserve"> </w:t>
      </w:r>
      <w:r w:rsidRPr="00F87814">
        <w:rPr>
          <w:rFonts w:hint="cs"/>
          <w:rtl/>
        </w:rPr>
        <w:t>השנה</w:t>
      </w:r>
      <w:r w:rsidRPr="00F87814">
        <w:rPr>
          <w:rtl/>
        </w:rPr>
        <w:t xml:space="preserve"> </w:t>
      </w:r>
      <w:r w:rsidRPr="00F87814">
        <w:rPr>
          <w:rFonts w:hint="cs"/>
          <w:rtl/>
        </w:rPr>
        <w:t>השלישית</w:t>
      </w:r>
      <w:r w:rsidRPr="00F87814">
        <w:rPr>
          <w:rtl/>
        </w:rPr>
        <w:t xml:space="preserve"> </w:t>
      </w:r>
      <w:r w:rsidRPr="00F87814">
        <w:rPr>
          <w:rFonts w:hint="cs"/>
          <w:rtl/>
        </w:rPr>
        <w:t>של</w:t>
      </w:r>
      <w:r w:rsidRPr="00F87814">
        <w:rPr>
          <w:rtl/>
        </w:rPr>
        <w:t xml:space="preserve"> </w:t>
      </w:r>
      <w:r w:rsidRPr="00F87814">
        <w:rPr>
          <w:rFonts w:hint="cs"/>
          <w:rtl/>
        </w:rPr>
        <w:t>המחזור</w:t>
      </w:r>
      <w:r w:rsidRPr="00F87814">
        <w:rPr>
          <w:rtl/>
        </w:rPr>
        <w:t xml:space="preserve"> </w:t>
      </w:r>
      <w:r w:rsidRPr="00F87814">
        <w:rPr>
          <w:rFonts w:hint="cs"/>
          <w:rtl/>
        </w:rPr>
        <w:t>היא</w:t>
      </w:r>
      <w:r w:rsidRPr="00F87814">
        <w:rPr>
          <w:rtl/>
        </w:rPr>
        <w:t xml:space="preserve"> </w:t>
      </w:r>
      <w:r w:rsidRPr="00F87814">
        <w:rPr>
          <w:rFonts w:hint="cs"/>
          <w:rtl/>
        </w:rPr>
        <w:t>כבר</w:t>
      </w:r>
      <w:r w:rsidRPr="00F87814">
        <w:rPr>
          <w:rtl/>
        </w:rPr>
        <w:t xml:space="preserve"> </w:t>
      </w:r>
      <w:r w:rsidRPr="00F87814">
        <w:rPr>
          <w:rFonts w:hint="cs"/>
          <w:rtl/>
        </w:rPr>
        <w:t>מעוברת</w:t>
      </w:r>
      <w:r w:rsidRPr="00F87814">
        <w:rPr>
          <w:rtl/>
        </w:rPr>
        <w:t xml:space="preserve"> </w:t>
      </w:r>
      <w:r w:rsidRPr="00F87814">
        <w:rPr>
          <w:rFonts w:hint="cs"/>
          <w:rtl/>
        </w:rPr>
        <w:t>כמ</w:t>
      </w:r>
      <w:r w:rsidRPr="00F87814">
        <w:rPr>
          <w:rtl/>
        </w:rPr>
        <w:t>"</w:t>
      </w:r>
      <w:r w:rsidRPr="00F87814">
        <w:rPr>
          <w:rFonts w:hint="cs"/>
          <w:rtl/>
        </w:rPr>
        <w:t>ש</w:t>
      </w:r>
      <w:r w:rsidRPr="00F87814">
        <w:rPr>
          <w:rtl/>
        </w:rPr>
        <w:t xml:space="preserve"> </w:t>
      </w:r>
      <w:r w:rsidRPr="00F87814">
        <w:rPr>
          <w:rFonts w:hint="cs"/>
          <w:rtl/>
        </w:rPr>
        <w:t>התוס</w:t>
      </w:r>
      <w:r w:rsidRPr="00F87814">
        <w:rPr>
          <w:rtl/>
        </w:rPr>
        <w:t>', (</w:t>
      </w:r>
      <w:r w:rsidRPr="00F87814">
        <w:rPr>
          <w:rFonts w:hint="cs"/>
          <w:rtl/>
        </w:rPr>
        <w:t>וכ</w:t>
      </w:r>
      <w:r w:rsidRPr="00F87814">
        <w:rPr>
          <w:rtl/>
        </w:rPr>
        <w:t>"</w:t>
      </w:r>
      <w:r w:rsidRPr="00F87814">
        <w:rPr>
          <w:rFonts w:hint="cs"/>
          <w:rtl/>
        </w:rPr>
        <w:t>ה</w:t>
      </w:r>
      <w:r w:rsidRPr="00F87814">
        <w:rPr>
          <w:rtl/>
        </w:rPr>
        <w:t xml:space="preserve"> </w:t>
      </w:r>
      <w:r w:rsidRPr="00F87814">
        <w:rPr>
          <w:rFonts w:hint="cs"/>
          <w:rtl/>
        </w:rPr>
        <w:t>ברמב</w:t>
      </w:r>
      <w:r w:rsidRPr="00F87814">
        <w:rPr>
          <w:rtl/>
        </w:rPr>
        <w:t>"</w:t>
      </w:r>
      <w:r w:rsidRPr="00F87814">
        <w:rPr>
          <w:rFonts w:hint="cs"/>
          <w:rtl/>
        </w:rPr>
        <w:t>ם</w:t>
      </w:r>
      <w:r w:rsidRPr="00F87814">
        <w:rPr>
          <w:rtl/>
        </w:rPr>
        <w:t xml:space="preserve"> </w:t>
      </w:r>
      <w:r w:rsidRPr="00F87814">
        <w:rPr>
          <w:rFonts w:hint="cs"/>
          <w:rtl/>
        </w:rPr>
        <w:t>קדוה</w:t>
      </w:r>
      <w:r w:rsidRPr="00F87814">
        <w:rPr>
          <w:rtl/>
        </w:rPr>
        <w:t>"</w:t>
      </w:r>
      <w:r w:rsidRPr="00F87814">
        <w:rPr>
          <w:rFonts w:hint="cs"/>
          <w:rtl/>
        </w:rPr>
        <w:t>ח</w:t>
      </w:r>
      <w:r w:rsidRPr="00F87814">
        <w:rPr>
          <w:rtl/>
        </w:rPr>
        <w:t xml:space="preserve"> </w:t>
      </w:r>
      <w:r w:rsidRPr="00F87814">
        <w:rPr>
          <w:rFonts w:hint="cs"/>
          <w:rtl/>
        </w:rPr>
        <w:t>ו</w:t>
      </w:r>
      <w:r w:rsidRPr="00F87814">
        <w:rPr>
          <w:rtl/>
        </w:rPr>
        <w:t xml:space="preserve">, </w:t>
      </w:r>
      <w:r w:rsidRPr="00F87814">
        <w:rPr>
          <w:rFonts w:hint="cs"/>
          <w:rtl/>
        </w:rPr>
        <w:t>יא</w:t>
      </w:r>
      <w:r w:rsidRPr="00F87814">
        <w:rPr>
          <w:rtl/>
        </w:rPr>
        <w:t xml:space="preserve">) </w:t>
      </w:r>
      <w:r w:rsidRPr="00F87814">
        <w:rPr>
          <w:rFonts w:hint="cs"/>
          <w:rtl/>
        </w:rPr>
        <w:t>ולפי</w:t>
      </w:r>
      <w:r w:rsidRPr="00F87814">
        <w:rPr>
          <w:rtl/>
        </w:rPr>
        <w:t xml:space="preserve"> </w:t>
      </w:r>
      <w:r w:rsidRPr="00F87814">
        <w:rPr>
          <w:rFonts w:hint="cs"/>
          <w:rtl/>
        </w:rPr>
        <w:t>זה</w:t>
      </w:r>
      <w:r w:rsidRPr="00F87814">
        <w:rPr>
          <w:rtl/>
        </w:rPr>
        <w:t xml:space="preserve"> </w:t>
      </w:r>
      <w:r w:rsidRPr="00F87814">
        <w:rPr>
          <w:rFonts w:hint="cs"/>
          <w:rtl/>
        </w:rPr>
        <w:t>לכאורה</w:t>
      </w:r>
      <w:r w:rsidRPr="00F87814">
        <w:rPr>
          <w:rtl/>
        </w:rPr>
        <w:t xml:space="preserve"> </w:t>
      </w:r>
      <w:r w:rsidRPr="00F87814">
        <w:rPr>
          <w:rFonts w:hint="cs"/>
          <w:rtl/>
        </w:rPr>
        <w:t>מה</w:t>
      </w:r>
      <w:r w:rsidRPr="00F87814">
        <w:rPr>
          <w:rtl/>
        </w:rPr>
        <w:t xml:space="preserve"> </w:t>
      </w:r>
      <w:r w:rsidRPr="00F87814">
        <w:rPr>
          <w:rFonts w:hint="cs"/>
          <w:rtl/>
        </w:rPr>
        <w:t>שנשאר</w:t>
      </w:r>
      <w:r w:rsidRPr="00F87814">
        <w:rPr>
          <w:rtl/>
        </w:rPr>
        <w:t xml:space="preserve"> </w:t>
      </w:r>
      <w:r w:rsidRPr="00F87814">
        <w:rPr>
          <w:rFonts w:hint="cs"/>
          <w:rtl/>
        </w:rPr>
        <w:t>בקופת</w:t>
      </w:r>
      <w:r w:rsidRPr="00F87814">
        <w:rPr>
          <w:rtl/>
        </w:rPr>
        <w:t xml:space="preserve"> </w:t>
      </w:r>
      <w:r w:rsidRPr="00F87814">
        <w:rPr>
          <w:rFonts w:hint="cs"/>
          <w:rtl/>
        </w:rPr>
        <w:t>הקטורת</w:t>
      </w:r>
      <w:r w:rsidRPr="00F87814">
        <w:rPr>
          <w:rtl/>
        </w:rPr>
        <w:t xml:space="preserve"> </w:t>
      </w:r>
      <w:r w:rsidRPr="00F87814">
        <w:rPr>
          <w:rFonts w:hint="cs"/>
          <w:rtl/>
        </w:rPr>
        <w:t>בשנה</w:t>
      </w:r>
      <w:r w:rsidRPr="00F87814">
        <w:rPr>
          <w:rtl/>
        </w:rPr>
        <w:t xml:space="preserve"> </w:t>
      </w:r>
      <w:r w:rsidRPr="00F87814">
        <w:rPr>
          <w:rFonts w:hint="cs"/>
          <w:rtl/>
        </w:rPr>
        <w:t>השלישית</w:t>
      </w:r>
      <w:r w:rsidRPr="00F87814">
        <w:rPr>
          <w:rtl/>
        </w:rPr>
        <w:t xml:space="preserve"> </w:t>
      </w:r>
      <w:r w:rsidRPr="00F87814">
        <w:rPr>
          <w:rFonts w:hint="cs"/>
          <w:rtl/>
        </w:rPr>
        <w:t>בר</w:t>
      </w:r>
      <w:r w:rsidRPr="00F87814">
        <w:rPr>
          <w:rtl/>
        </w:rPr>
        <w:t>"</w:t>
      </w:r>
      <w:r w:rsidRPr="00F87814">
        <w:rPr>
          <w:rFonts w:hint="cs"/>
          <w:rtl/>
        </w:rPr>
        <w:t>ח</w:t>
      </w:r>
      <w:r w:rsidRPr="00F87814">
        <w:rPr>
          <w:rtl/>
        </w:rPr>
        <w:t xml:space="preserve"> </w:t>
      </w:r>
      <w:r w:rsidRPr="00F87814">
        <w:rPr>
          <w:rFonts w:hint="cs"/>
          <w:rtl/>
        </w:rPr>
        <w:t>אד</w:t>
      </w:r>
      <w:r w:rsidRPr="00F87814">
        <w:rPr>
          <w:rtl/>
        </w:rPr>
        <w:t>"</w:t>
      </w:r>
      <w:r w:rsidRPr="00F87814">
        <w:rPr>
          <w:rFonts w:hint="cs"/>
          <w:rtl/>
        </w:rPr>
        <w:t>ר</w:t>
      </w:r>
      <w:r w:rsidRPr="00F87814">
        <w:rPr>
          <w:rtl/>
        </w:rPr>
        <w:t xml:space="preserve"> </w:t>
      </w:r>
      <w:r w:rsidRPr="00F87814">
        <w:rPr>
          <w:rFonts w:hint="cs"/>
          <w:rtl/>
        </w:rPr>
        <w:t>הם</w:t>
      </w:r>
      <w:r w:rsidRPr="00F87814">
        <w:rPr>
          <w:rtl/>
        </w:rPr>
        <w:t xml:space="preserve">: 11 + 11 + 2.5 + 2.5. </w:t>
      </w:r>
      <w:r w:rsidRPr="00F87814">
        <w:rPr>
          <w:rFonts w:hint="cs"/>
          <w:rtl/>
        </w:rPr>
        <w:t>ס</w:t>
      </w:r>
      <w:r w:rsidRPr="00F87814">
        <w:rPr>
          <w:rtl/>
        </w:rPr>
        <w:t>"</w:t>
      </w:r>
      <w:r w:rsidRPr="00F87814">
        <w:rPr>
          <w:rFonts w:hint="cs"/>
          <w:rtl/>
        </w:rPr>
        <w:t>ה</w:t>
      </w:r>
      <w:r w:rsidRPr="00F87814">
        <w:rPr>
          <w:rtl/>
        </w:rPr>
        <w:t xml:space="preserve"> 27 </w:t>
      </w:r>
      <w:r w:rsidRPr="00F87814">
        <w:rPr>
          <w:rFonts w:hint="cs"/>
          <w:rtl/>
        </w:rPr>
        <w:t>מנים</w:t>
      </w:r>
      <w:r w:rsidRPr="00F87814">
        <w:rPr>
          <w:rtl/>
        </w:rPr>
        <w:t xml:space="preserve">. </w:t>
      </w:r>
      <w:r w:rsidRPr="00F87814">
        <w:rPr>
          <w:rFonts w:hint="cs"/>
          <w:rtl/>
        </w:rPr>
        <w:t>כלומר</w:t>
      </w:r>
      <w:r w:rsidRPr="00F87814">
        <w:rPr>
          <w:rtl/>
        </w:rPr>
        <w:t xml:space="preserve"> </w:t>
      </w:r>
      <w:r w:rsidRPr="00F87814">
        <w:rPr>
          <w:rFonts w:hint="cs"/>
          <w:rtl/>
        </w:rPr>
        <w:t>לכאורה</w:t>
      </w:r>
      <w:r w:rsidRPr="00F87814">
        <w:rPr>
          <w:rtl/>
        </w:rPr>
        <w:t xml:space="preserve"> </w:t>
      </w:r>
      <w:r w:rsidRPr="00F87814">
        <w:rPr>
          <w:rFonts w:hint="cs"/>
          <w:rtl/>
        </w:rPr>
        <w:t>חסרים</w:t>
      </w:r>
      <w:r w:rsidRPr="00F87814">
        <w:rPr>
          <w:rtl/>
        </w:rPr>
        <w:t xml:space="preserve"> 5 </w:t>
      </w:r>
      <w:r w:rsidRPr="00F87814">
        <w:rPr>
          <w:rFonts w:hint="cs"/>
          <w:rtl/>
        </w:rPr>
        <w:t>מנים</w:t>
      </w:r>
      <w:r w:rsidRPr="00F87814">
        <w:rPr>
          <w:rtl/>
        </w:rPr>
        <w:t xml:space="preserve"> כבר בשנה שלישית שהיא שנה מעוברת.</w:t>
      </w:r>
      <w:r w:rsidRPr="00F87814">
        <w:rPr>
          <w:rFonts w:ascii="Cambria" w:hAnsi="Cambria" w:cs="Cambria" w:hint="cs"/>
          <w:rtl/>
        </w:rPr>
        <w:t> </w:t>
      </w:r>
    </w:p>
    <w:p w:rsidR="00F87814" w:rsidRPr="00F87814" w:rsidRDefault="00F87814" w:rsidP="00F146A6">
      <w:pPr>
        <w:pStyle w:val="a3"/>
        <w:rPr>
          <w:color w:val="222222"/>
        </w:rPr>
      </w:pPr>
      <w:r w:rsidRPr="00F87814">
        <w:rPr>
          <w:rtl/>
        </w:rPr>
        <w:t>ולכאורה הי' אפשר לתרץ ש</w:t>
      </w:r>
      <w:r w:rsidRPr="00F87814">
        <w:rPr>
          <w:b/>
          <w:bCs/>
          <w:rtl/>
        </w:rPr>
        <w:t>סדר ה</w:t>
      </w:r>
      <w:r w:rsidRPr="00F87814">
        <w:rPr>
          <w:rtl/>
        </w:rPr>
        <w:t xml:space="preserve">שנים המעוברות בתוך המחזור הוא רק בלוח </w:t>
      </w:r>
      <w:r w:rsidRPr="00F87814">
        <w:rPr>
          <w:rtl/>
        </w:rPr>
        <w:lastRenderedPageBreak/>
        <w:t xml:space="preserve">שלנו שתיקן הלל. וכל משך זמן הבית קדשו עפ"י הראי'. ועפ"ז נמצא שכוונת התוספות בחשבון של מותר הקטורת הוא רק </w:t>
      </w:r>
      <w:r w:rsidRPr="00F87814">
        <w:rPr>
          <w:b/>
          <w:bCs/>
          <w:rtl/>
        </w:rPr>
        <w:t xml:space="preserve">משל </w:t>
      </w:r>
      <w:r w:rsidRPr="00F87814">
        <w:rPr>
          <w:rtl/>
        </w:rPr>
        <w:t>לפיטום הקטורת שהיה</w:t>
      </w:r>
      <w:r w:rsidRPr="00F87814">
        <w:rPr>
          <w:rFonts w:ascii="Cambria" w:hAnsi="Cambria" w:cs="Cambria" w:hint="cs"/>
          <w:rtl/>
        </w:rPr>
        <w:t> </w:t>
      </w:r>
      <w:r w:rsidRPr="00F87814">
        <w:rPr>
          <w:rtl/>
        </w:rPr>
        <w:t xml:space="preserve"> </w:t>
      </w:r>
      <w:r w:rsidRPr="00F87814">
        <w:rPr>
          <w:rFonts w:hint="cs"/>
          <w:rtl/>
        </w:rPr>
        <w:t>בזמן</w:t>
      </w:r>
      <w:r w:rsidRPr="00F87814">
        <w:rPr>
          <w:rtl/>
        </w:rPr>
        <w:t xml:space="preserve"> </w:t>
      </w:r>
      <w:r w:rsidRPr="00F87814">
        <w:rPr>
          <w:rFonts w:hint="cs"/>
          <w:rtl/>
        </w:rPr>
        <w:t>המקדש</w:t>
      </w:r>
      <w:r w:rsidRPr="00F87814">
        <w:rPr>
          <w:rtl/>
        </w:rPr>
        <w:t xml:space="preserve">. </w:t>
      </w:r>
      <w:r w:rsidRPr="00F87814">
        <w:rPr>
          <w:rFonts w:hint="cs"/>
          <w:rtl/>
        </w:rPr>
        <w:t>היינו</w:t>
      </w:r>
      <w:r w:rsidRPr="00F87814">
        <w:rPr>
          <w:rtl/>
        </w:rPr>
        <w:t xml:space="preserve"> </w:t>
      </w:r>
      <w:r w:rsidRPr="00F87814">
        <w:rPr>
          <w:rFonts w:hint="cs"/>
          <w:rtl/>
        </w:rPr>
        <w:t>לשם</w:t>
      </w:r>
      <w:r w:rsidRPr="00F87814">
        <w:rPr>
          <w:rtl/>
        </w:rPr>
        <w:t xml:space="preserve"> </w:t>
      </w:r>
      <w:r w:rsidRPr="00F87814">
        <w:rPr>
          <w:rFonts w:hint="cs"/>
          <w:rtl/>
        </w:rPr>
        <w:t>המח</w:t>
      </w:r>
      <w:r w:rsidRPr="00F87814">
        <w:rPr>
          <w:rtl/>
        </w:rPr>
        <w:t>שת הדבר וכדי שנבין איך נגמרו כל המותר של ה11 מנים של כל השנים בסוף כל מחזור כששנת הלבנה ושנת החמה משתווים. אבל בזמן הבית לא הלכו לפי חשבון השנים הנ"ל בתוך המחזור.</w:t>
      </w:r>
      <w:r w:rsidRPr="00F87814">
        <w:rPr>
          <w:rFonts w:ascii="Cambria" w:hAnsi="Cambria" w:cs="Cambria" w:hint="cs"/>
          <w:rtl/>
        </w:rPr>
        <w:t> </w:t>
      </w:r>
    </w:p>
    <w:p w:rsidR="00F87814" w:rsidRPr="00F87814" w:rsidRDefault="00F87814" w:rsidP="00F146A6">
      <w:pPr>
        <w:pStyle w:val="a3"/>
        <w:rPr>
          <w:color w:val="222222"/>
        </w:rPr>
      </w:pPr>
      <w:r w:rsidRPr="00F87814">
        <w:rPr>
          <w:rtl/>
        </w:rPr>
        <w:t>אבל-</w:t>
      </w:r>
      <w:r w:rsidRPr="00F87814">
        <w:rPr>
          <w:rFonts w:ascii="Cambria" w:hAnsi="Cambria" w:cs="Cambria" w:hint="cs"/>
          <w:rtl/>
        </w:rPr>
        <w:t> </w:t>
      </w:r>
    </w:p>
    <w:p w:rsidR="00F87814" w:rsidRPr="00F87814" w:rsidRDefault="00F87814" w:rsidP="00F146A6">
      <w:pPr>
        <w:pStyle w:val="a3"/>
        <w:rPr>
          <w:color w:val="222222"/>
          <w:rtl/>
        </w:rPr>
      </w:pPr>
      <w:r w:rsidRPr="00F87814">
        <w:rPr>
          <w:rtl/>
        </w:rPr>
        <w:t>א- לשיטת הרס"ג שתמיד קדשו עפ"י החשבון, אם נשארו צמודים גם למחזור של יט שנה, נותרת השאלה בעינה.</w:t>
      </w:r>
      <w:r w:rsidRPr="00F87814">
        <w:rPr>
          <w:rFonts w:ascii="Cambria" w:hAnsi="Cambria" w:cs="Cambria" w:hint="cs"/>
          <w:rtl/>
        </w:rPr>
        <w:t> </w:t>
      </w:r>
    </w:p>
    <w:p w:rsidR="00F87814" w:rsidRPr="00F87814" w:rsidRDefault="00F87814" w:rsidP="00F146A6">
      <w:pPr>
        <w:pStyle w:val="a3"/>
        <w:rPr>
          <w:color w:val="222222"/>
          <w:rtl/>
        </w:rPr>
      </w:pPr>
      <w:r w:rsidRPr="00F87814">
        <w:rPr>
          <w:rtl/>
        </w:rPr>
        <w:t xml:space="preserve">ב- לשיטת </w:t>
      </w:r>
      <w:r w:rsidRPr="00F87814">
        <w:rPr>
          <w:color w:val="34393D"/>
          <w:rtl/>
        </w:rPr>
        <w:t xml:space="preserve">רבנו </w:t>
      </w:r>
      <w:r w:rsidRPr="00F87814">
        <w:rPr>
          <w:rtl/>
        </w:rPr>
        <w:t>חננאל המובא ברבינו בחיי פ' בא (יב, ב) שבזמן ששהו בנ"י במדבר קדשו עפ"י החשבון ג"כ נותרת השאלה. מה עשו בשנה השלישית של המחזור שהיא שנה מעוברת?</w:t>
      </w:r>
      <w:r w:rsidRPr="00F87814">
        <w:rPr>
          <w:rFonts w:ascii="Cambria" w:hAnsi="Cambria" w:cs="Cambria" w:hint="cs"/>
          <w:rtl/>
        </w:rPr>
        <w:t> </w:t>
      </w:r>
    </w:p>
    <w:p w:rsidR="00F87814" w:rsidRPr="00F87814" w:rsidRDefault="00F87814" w:rsidP="00F146A6">
      <w:pPr>
        <w:pStyle w:val="a3"/>
        <w:rPr>
          <w:color w:val="222222"/>
        </w:rPr>
      </w:pPr>
      <w:r w:rsidRPr="00F87814">
        <w:rPr>
          <w:rtl/>
        </w:rPr>
        <w:t>וצ"ב.</w:t>
      </w:r>
      <w:r w:rsidRPr="00F87814">
        <w:rPr>
          <w:rFonts w:ascii="Cambria" w:hAnsi="Cambria" w:cs="Cambria" w:hint="cs"/>
          <w:rtl/>
        </w:rPr>
        <w:t> </w:t>
      </w:r>
    </w:p>
    <w:p w:rsidR="00F87814" w:rsidRPr="00F87814" w:rsidRDefault="00F87814" w:rsidP="00F146A6">
      <w:pPr>
        <w:pStyle w:val="11"/>
        <w:bidi/>
        <w:rPr>
          <w:color w:val="222222"/>
        </w:rPr>
      </w:pPr>
      <w:r w:rsidRPr="00F87814">
        <w:rPr>
          <w:rtl/>
        </w:rPr>
        <w:t>לקו"ש</w:t>
      </w:r>
      <w:r w:rsidRPr="00F87814">
        <w:rPr>
          <w:rFonts w:ascii="Cambria" w:hAnsi="Cambria" w:cs="Cambria" w:hint="cs"/>
          <w:rtl/>
        </w:rPr>
        <w:t> </w:t>
      </w:r>
    </w:p>
    <w:p w:rsidR="00F87814" w:rsidRPr="00F87814" w:rsidRDefault="00F87814" w:rsidP="00F146A6">
      <w:pPr>
        <w:pStyle w:val="a3"/>
      </w:pPr>
      <w:r w:rsidRPr="00F87814">
        <w:rPr>
          <w:rtl/>
        </w:rPr>
        <w:t xml:space="preserve">והנה </w:t>
      </w:r>
      <w:hyperlink r:id="rId11" w:tgtFrame="_blank" w:history="1">
        <w:r w:rsidRPr="00F87814">
          <w:rPr>
            <w:rtl/>
          </w:rPr>
          <w:t>בלקו"ש</w:t>
        </w:r>
      </w:hyperlink>
      <w:r w:rsidRPr="00F87814">
        <w:rPr>
          <w:rtl/>
        </w:rPr>
        <w:t xml:space="preserve"> כו, בא. א. מבאר שמצות קידוש החודש נועדה לגלות שמטרת בריאת הזמן היא בשביל התורה וישראל, שהזמן נהי' מציאות של תורה. ולכן כותב הרמב"ם 'והשנים שאנו מחשבין הם שני החמה', אף שבפועל השנה שאנו מחשבין היא לשנת הלבנה, כי הכוונה במצוה זו היא לפעול בכל פרטי הזמן - הן של שנת הלבנה והן של שנת החמה. יעו"ש באריכות.</w:t>
      </w:r>
      <w:r w:rsidRPr="00F87814">
        <w:rPr>
          <w:rFonts w:ascii="Cambria" w:hAnsi="Cambria" w:cs="Cambria" w:hint="cs"/>
          <w:rtl/>
        </w:rPr>
        <w:t> </w:t>
      </w:r>
    </w:p>
    <w:p w:rsidR="00F87814" w:rsidRPr="00F87814" w:rsidRDefault="00F87814" w:rsidP="00F146A6">
      <w:pPr>
        <w:pStyle w:val="a3"/>
        <w:rPr>
          <w:color w:val="222222"/>
        </w:rPr>
      </w:pPr>
      <w:r w:rsidRPr="00F87814">
        <w:rPr>
          <w:rtl/>
        </w:rPr>
        <w:t>ובסוף סעיף יב כותב: ושלכן מצינו כמה דינים ומצוות התורה שקשורים לשנת החמה (שס"ה יום)</w:t>
      </w:r>
      <w:r w:rsidRPr="00F87814">
        <w:rPr>
          <w:rFonts w:ascii="Cambria" w:hAnsi="Cambria" w:cs="Cambria" w:hint="cs"/>
          <w:rtl/>
        </w:rPr>
        <w:t> </w:t>
      </w:r>
    </w:p>
    <w:p w:rsidR="00F87814" w:rsidRPr="00F87814" w:rsidRDefault="00F87814" w:rsidP="00F146A6">
      <w:pPr>
        <w:pStyle w:val="a3"/>
        <w:rPr>
          <w:color w:val="222222"/>
          <w:rtl/>
        </w:rPr>
      </w:pPr>
      <w:r w:rsidRPr="00F87814">
        <w:rPr>
          <w:rtl/>
        </w:rPr>
        <w:t>- ולדוגמא: קטורת "הייתה נעשית [כל שנה ושנה]</w:t>
      </w:r>
      <w:r w:rsidRPr="00F87814">
        <w:rPr>
          <w:rFonts w:ascii="Cambria" w:hAnsi="Cambria" w:cs="Cambria" w:hint="cs"/>
          <w:rtl/>
        </w:rPr>
        <w:t> </w:t>
      </w:r>
      <w:r w:rsidRPr="00F87814">
        <w:rPr>
          <w:rtl/>
        </w:rPr>
        <w:t xml:space="preserve"> </w:t>
      </w:r>
      <w:r w:rsidRPr="00F87814">
        <w:rPr>
          <w:rFonts w:hint="cs"/>
          <w:rtl/>
        </w:rPr>
        <w:t>שס</w:t>
      </w:r>
      <w:r w:rsidRPr="00F87814">
        <w:rPr>
          <w:rtl/>
        </w:rPr>
        <w:t>"</w:t>
      </w:r>
      <w:r w:rsidRPr="00F87814">
        <w:rPr>
          <w:rFonts w:hint="cs"/>
          <w:rtl/>
        </w:rPr>
        <w:t>ה</w:t>
      </w:r>
      <w:r w:rsidRPr="00F87814">
        <w:rPr>
          <w:rtl/>
        </w:rPr>
        <w:t xml:space="preserve"> </w:t>
      </w:r>
      <w:r w:rsidRPr="00F87814">
        <w:rPr>
          <w:rFonts w:hint="cs"/>
          <w:rtl/>
        </w:rPr>
        <w:t>מנה…</w:t>
      </w:r>
      <w:r w:rsidRPr="00F87814">
        <w:rPr>
          <w:rtl/>
        </w:rPr>
        <w:t xml:space="preserve"> </w:t>
      </w:r>
      <w:r w:rsidRPr="00F87814">
        <w:rPr>
          <w:rFonts w:hint="cs"/>
          <w:rtl/>
        </w:rPr>
        <w:t>כנגד</w:t>
      </w:r>
      <w:r w:rsidRPr="00F87814">
        <w:rPr>
          <w:rtl/>
        </w:rPr>
        <w:t xml:space="preserve"> </w:t>
      </w:r>
      <w:r w:rsidRPr="00F87814">
        <w:rPr>
          <w:b/>
          <w:bCs/>
          <w:rtl/>
        </w:rPr>
        <w:t>ימות החמה</w:t>
      </w:r>
      <w:r w:rsidRPr="00F87814">
        <w:rPr>
          <w:rtl/>
        </w:rPr>
        <w:t xml:space="preserve"> - ואע"פ שעל ידי מספר זה היו </w:t>
      </w:r>
      <w:r w:rsidRPr="00F87814">
        <w:rPr>
          <w:b/>
          <w:bCs/>
          <w:rtl/>
        </w:rPr>
        <w:t xml:space="preserve">מוכרחים </w:t>
      </w:r>
      <w:r w:rsidRPr="00F87814">
        <w:rPr>
          <w:rtl/>
        </w:rPr>
        <w:t>אח"כ לפדות את השירים ולהורידם מקודש לחול -</w:t>
      </w:r>
      <w:r w:rsidRPr="00F87814">
        <w:rPr>
          <w:rFonts w:ascii="Cambria" w:hAnsi="Cambria" w:cs="Cambria" w:hint="cs"/>
          <w:rtl/>
        </w:rPr>
        <w:t> </w:t>
      </w:r>
    </w:p>
    <w:p w:rsidR="00F87814" w:rsidRPr="00F87814" w:rsidRDefault="00F87814" w:rsidP="00F146A6">
      <w:pPr>
        <w:pStyle w:val="a3"/>
        <w:rPr>
          <w:color w:val="222222"/>
          <w:rtl/>
        </w:rPr>
      </w:pPr>
      <w:r w:rsidRPr="00F87814">
        <w:rPr>
          <w:rtl/>
        </w:rPr>
        <w:t>ושלכן כותב הרמב"ם 'השנים שאנו מחשבין הם שני החמה' כפשוטו.</w:t>
      </w:r>
      <w:r w:rsidRPr="00F87814">
        <w:rPr>
          <w:rFonts w:ascii="Cambria" w:hAnsi="Cambria" w:cs="Cambria" w:hint="cs"/>
          <w:rtl/>
        </w:rPr>
        <w:t> </w:t>
      </w:r>
    </w:p>
    <w:p w:rsidR="00F87814" w:rsidRPr="00F87814" w:rsidRDefault="00F87814" w:rsidP="00F146A6">
      <w:pPr>
        <w:pStyle w:val="a3"/>
        <w:rPr>
          <w:color w:val="222222"/>
          <w:rtl/>
        </w:rPr>
      </w:pPr>
      <w:r w:rsidRPr="00F87814">
        <w:rPr>
          <w:rtl/>
        </w:rPr>
        <w:t>לכאורה, לפי מ"ש התוס' זה שפיטום הקטורת היתה שסח מנים הוא כדי שיהי' מספיק לשנה מעוברת.</w:t>
      </w:r>
      <w:r w:rsidRPr="00F87814">
        <w:rPr>
          <w:rFonts w:ascii="Cambria" w:hAnsi="Cambria" w:cs="Cambria" w:hint="cs"/>
          <w:rtl/>
        </w:rPr>
        <w:t> </w:t>
      </w:r>
    </w:p>
    <w:p w:rsidR="00F87814" w:rsidRPr="00F87814" w:rsidRDefault="00F87814" w:rsidP="00F146A6">
      <w:pPr>
        <w:pStyle w:val="a3"/>
        <w:rPr>
          <w:color w:val="222222"/>
        </w:rPr>
      </w:pPr>
      <w:r w:rsidRPr="00F87814">
        <w:rPr>
          <w:rtl/>
        </w:rPr>
        <w:t>ועוד חזון למועד בכ"ז בל"נ.</w:t>
      </w:r>
      <w:r w:rsidRPr="00F87814">
        <w:rPr>
          <w:rFonts w:ascii="Cambria" w:hAnsi="Cambria" w:cs="Cambria" w:hint="cs"/>
          <w:rtl/>
        </w:rPr>
        <w:t> </w:t>
      </w:r>
    </w:p>
    <w:p w:rsidR="00F87814" w:rsidRPr="00F87814" w:rsidRDefault="00F87814" w:rsidP="004820B2">
      <w:pPr>
        <w:pStyle w:val="a3"/>
        <w:bidi w:val="0"/>
        <w:jc w:val="center"/>
      </w:pPr>
      <w:r>
        <w:rPr>
          <w:rFonts w:hint="cs"/>
          <w:rtl/>
        </w:rPr>
        <w:t>*</w:t>
      </w:r>
    </w:p>
    <w:p w:rsidR="00F87814" w:rsidRPr="00F87814" w:rsidRDefault="00F87814" w:rsidP="00F146A6">
      <w:pPr>
        <w:pStyle w:val="a3"/>
        <w:rPr>
          <w:color w:val="222222"/>
          <w:rtl/>
        </w:rPr>
      </w:pPr>
      <w:r w:rsidRPr="00F87814">
        <w:rPr>
          <w:rtl/>
        </w:rPr>
        <w:t xml:space="preserve">כבר העירו רבים על הסגולות של רבותינו נשיאנו בשעת מגיפה ר"ל. ואחד מהם </w:t>
      </w:r>
      <w:r w:rsidRPr="00F87814">
        <w:rPr>
          <w:rtl/>
        </w:rPr>
        <w:lastRenderedPageBreak/>
        <w:t>הוא לימוד ואמירת פרשת ועשיית הקטורת.</w:t>
      </w:r>
      <w:r w:rsidRPr="00F87814">
        <w:rPr>
          <w:rFonts w:ascii="Cambria" w:hAnsi="Cambria" w:cs="Cambria" w:hint="cs"/>
          <w:rtl/>
        </w:rPr>
        <w:t> </w:t>
      </w:r>
    </w:p>
    <w:p w:rsidR="00F87814" w:rsidRPr="00F87814" w:rsidRDefault="00F87814" w:rsidP="00F146A6">
      <w:pPr>
        <w:pStyle w:val="a3"/>
        <w:rPr>
          <w:color w:val="222222"/>
          <w:rtl/>
        </w:rPr>
      </w:pPr>
      <w:r w:rsidRPr="00F87814">
        <w:rPr>
          <w:rtl/>
        </w:rPr>
        <w:t>ראה פה מה שליקט הר"י מונדשיין ע"ה.</w:t>
      </w:r>
      <w:r w:rsidRPr="00F87814">
        <w:rPr>
          <w:rFonts w:ascii="Cambria" w:hAnsi="Cambria" w:cs="Cambria" w:hint="cs"/>
          <w:rtl/>
        </w:rPr>
        <w:t> </w:t>
      </w:r>
    </w:p>
    <w:p w:rsidR="00F87814" w:rsidRPr="00F87814" w:rsidRDefault="00F146A6" w:rsidP="00F146A6">
      <w:pPr>
        <w:pStyle w:val="a3"/>
        <w:rPr>
          <w:color w:val="222222"/>
          <w:rtl/>
        </w:rPr>
      </w:pPr>
      <w:hyperlink r:id="rId12" w:tgtFrame="_blank" w:history="1">
        <w:r w:rsidR="00F87814" w:rsidRPr="00F87814">
          <w:t>http://www.shturem.net/index</w:t>
        </w:r>
        <w:r w:rsidR="00F87814" w:rsidRPr="00F87814">
          <w:rPr>
            <w:rtl/>
          </w:rPr>
          <w:t>.</w:t>
        </w:r>
        <w:r w:rsidR="00F87814" w:rsidRPr="00F87814">
          <w:t>php?section=blog_new</w:t>
        </w:r>
        <w:r w:rsidR="00F87814" w:rsidRPr="00F87814">
          <w:rPr>
            <w:rtl/>
          </w:rPr>
          <w:t>&amp;</w:t>
        </w:r>
        <w:r w:rsidR="00F87814" w:rsidRPr="00F87814">
          <w:t>article</w:t>
        </w:r>
        <w:r w:rsidR="00F87814" w:rsidRPr="00F87814">
          <w:rPr>
            <w:rtl/>
          </w:rPr>
          <w:t>_</w:t>
        </w:r>
        <w:r w:rsidR="00F87814" w:rsidRPr="00F87814">
          <w:t>id=129</w:t>
        </w:r>
      </w:hyperlink>
    </w:p>
    <w:p w:rsidR="00F87814" w:rsidRPr="00F87814" w:rsidRDefault="00F87814" w:rsidP="00F146A6">
      <w:pPr>
        <w:pStyle w:val="a3"/>
      </w:pPr>
      <w:r w:rsidRPr="00F87814">
        <w:rPr>
          <w:rFonts w:ascii="Cambria" w:hAnsi="Cambria" w:cs="Cambria" w:hint="cs"/>
          <w:rtl/>
        </w:rPr>
        <w:t> </w:t>
      </w:r>
      <w:r w:rsidRPr="00F87814">
        <w:rPr>
          <w:rFonts w:hint="cs"/>
          <w:rtl/>
        </w:rPr>
        <w:t>דעת</w:t>
      </w:r>
      <w:r w:rsidRPr="00F87814">
        <w:rPr>
          <w:rtl/>
        </w:rPr>
        <w:t xml:space="preserve"> </w:t>
      </w:r>
      <w:r w:rsidRPr="00F87814">
        <w:rPr>
          <w:rFonts w:hint="cs"/>
          <w:rtl/>
        </w:rPr>
        <w:t>הרמב</w:t>
      </w:r>
      <w:r w:rsidRPr="00F87814">
        <w:rPr>
          <w:rtl/>
        </w:rPr>
        <w:t>"</w:t>
      </w:r>
      <w:r w:rsidRPr="00F87814">
        <w:rPr>
          <w:rFonts w:hint="cs"/>
          <w:rtl/>
        </w:rPr>
        <w:t>ן</w:t>
      </w:r>
      <w:r w:rsidRPr="00F87814">
        <w:rPr>
          <w:rtl/>
        </w:rPr>
        <w:t xml:space="preserve"> </w:t>
      </w:r>
      <w:r w:rsidRPr="00F87814">
        <w:rPr>
          <w:rFonts w:hint="cs"/>
          <w:rtl/>
        </w:rPr>
        <w:t>שקטורת</w:t>
      </w:r>
      <w:r w:rsidRPr="00F87814">
        <w:rPr>
          <w:rtl/>
        </w:rPr>
        <w:t xml:space="preserve"> </w:t>
      </w:r>
      <w:r w:rsidRPr="00F87814">
        <w:rPr>
          <w:rFonts w:hint="cs"/>
          <w:rtl/>
        </w:rPr>
        <w:t>ונרות</w:t>
      </w:r>
      <w:r w:rsidRPr="00F87814">
        <w:rPr>
          <w:rtl/>
        </w:rPr>
        <w:t xml:space="preserve"> (</w:t>
      </w:r>
      <w:r w:rsidRPr="00F87814">
        <w:rPr>
          <w:rFonts w:hint="cs"/>
          <w:rtl/>
        </w:rPr>
        <w:t>שמות</w:t>
      </w:r>
      <w:r w:rsidRPr="00F87814">
        <w:rPr>
          <w:rtl/>
        </w:rPr>
        <w:t xml:space="preserve"> </w:t>
      </w:r>
      <w:r w:rsidRPr="00F87814">
        <w:rPr>
          <w:rFonts w:hint="cs"/>
          <w:rtl/>
        </w:rPr>
        <w:t>מ</w:t>
      </w:r>
      <w:r w:rsidRPr="00F87814">
        <w:rPr>
          <w:rtl/>
        </w:rPr>
        <w:t xml:space="preserve">, </w:t>
      </w:r>
      <w:r w:rsidRPr="00F87814">
        <w:rPr>
          <w:rFonts w:hint="cs"/>
          <w:rtl/>
        </w:rPr>
        <w:t>כז</w:t>
      </w:r>
      <w:r w:rsidRPr="00F87814">
        <w:rPr>
          <w:rtl/>
        </w:rPr>
        <w:t xml:space="preserve">) </w:t>
      </w:r>
      <w:r w:rsidRPr="00F87814">
        <w:rPr>
          <w:rFonts w:hint="cs"/>
          <w:rtl/>
        </w:rPr>
        <w:t>היו</w:t>
      </w:r>
      <w:r w:rsidRPr="00F87814">
        <w:rPr>
          <w:rtl/>
        </w:rPr>
        <w:t xml:space="preserve"> </w:t>
      </w:r>
      <w:r w:rsidRPr="00F87814">
        <w:rPr>
          <w:rFonts w:hint="cs"/>
          <w:rtl/>
        </w:rPr>
        <w:t>בימי</w:t>
      </w:r>
      <w:r w:rsidRPr="00F87814">
        <w:rPr>
          <w:rtl/>
        </w:rPr>
        <w:t xml:space="preserve"> </w:t>
      </w:r>
      <w:r w:rsidRPr="00F87814">
        <w:rPr>
          <w:rFonts w:hint="cs"/>
          <w:rtl/>
        </w:rPr>
        <w:t>המילואים</w:t>
      </w:r>
      <w:r w:rsidRPr="00F87814">
        <w:rPr>
          <w:rtl/>
        </w:rPr>
        <w:t xml:space="preserve">. </w:t>
      </w:r>
      <w:r w:rsidRPr="00F87814">
        <w:rPr>
          <w:rFonts w:hint="cs"/>
          <w:rtl/>
        </w:rPr>
        <w:t>והגו</w:t>
      </w:r>
      <w:r w:rsidRPr="00F87814">
        <w:rPr>
          <w:rtl/>
        </w:rPr>
        <w:t>"</w:t>
      </w:r>
      <w:r w:rsidRPr="00F87814">
        <w:rPr>
          <w:rFonts w:hint="cs"/>
          <w:rtl/>
        </w:rPr>
        <w:t>א</w:t>
      </w:r>
      <w:r w:rsidRPr="00F87814">
        <w:rPr>
          <w:rtl/>
        </w:rPr>
        <w:t xml:space="preserve"> (</w:t>
      </w:r>
      <w:r w:rsidRPr="00F87814">
        <w:rPr>
          <w:rFonts w:hint="cs"/>
          <w:rtl/>
        </w:rPr>
        <w:t>ויקרא</w:t>
      </w:r>
      <w:r w:rsidRPr="00F87814">
        <w:rPr>
          <w:rtl/>
        </w:rPr>
        <w:t xml:space="preserve"> </w:t>
      </w:r>
      <w:r w:rsidRPr="00F87814">
        <w:rPr>
          <w:rFonts w:hint="cs"/>
          <w:rtl/>
        </w:rPr>
        <w:t>ט</w:t>
      </w:r>
      <w:r w:rsidRPr="00F87814">
        <w:rPr>
          <w:rtl/>
        </w:rPr>
        <w:t xml:space="preserve">, </w:t>
      </w:r>
      <w:r w:rsidRPr="00F87814">
        <w:rPr>
          <w:rFonts w:hint="cs"/>
          <w:rtl/>
        </w:rPr>
        <w:t>כג</w:t>
      </w:r>
      <w:r w:rsidRPr="00F87814">
        <w:rPr>
          <w:rtl/>
        </w:rPr>
        <w:t xml:space="preserve">) </w:t>
      </w:r>
      <w:r w:rsidRPr="00F87814">
        <w:rPr>
          <w:rFonts w:hint="cs"/>
          <w:rtl/>
        </w:rPr>
        <w:t>חולק</w:t>
      </w:r>
      <w:r w:rsidRPr="00F87814">
        <w:rPr>
          <w:rtl/>
        </w:rPr>
        <w:t xml:space="preserve"> </w:t>
      </w:r>
      <w:r w:rsidRPr="00F87814">
        <w:rPr>
          <w:rFonts w:hint="cs"/>
          <w:rtl/>
        </w:rPr>
        <w:t>ע</w:t>
      </w:r>
      <w:r w:rsidRPr="00F87814">
        <w:rPr>
          <w:rtl/>
        </w:rPr>
        <w:t>"</w:t>
      </w:r>
      <w:r w:rsidRPr="00F87814">
        <w:rPr>
          <w:rFonts w:hint="cs"/>
          <w:rtl/>
        </w:rPr>
        <w:t>ז</w:t>
      </w:r>
      <w:r w:rsidRPr="00F87814">
        <w:rPr>
          <w:rtl/>
        </w:rPr>
        <w:t xml:space="preserve"> </w:t>
      </w:r>
      <w:r w:rsidRPr="00F87814">
        <w:rPr>
          <w:rFonts w:hint="cs"/>
          <w:rtl/>
        </w:rPr>
        <w:t>ולדעתו</w:t>
      </w:r>
      <w:r w:rsidRPr="00F87814">
        <w:rPr>
          <w:rtl/>
        </w:rPr>
        <w:t xml:space="preserve"> </w:t>
      </w:r>
      <w:r w:rsidRPr="00F87814">
        <w:rPr>
          <w:rFonts w:hint="cs"/>
          <w:rtl/>
        </w:rPr>
        <w:t>לא</w:t>
      </w:r>
      <w:r w:rsidRPr="00F87814">
        <w:rPr>
          <w:rtl/>
        </w:rPr>
        <w:t xml:space="preserve"> </w:t>
      </w:r>
      <w:r w:rsidRPr="00F87814">
        <w:rPr>
          <w:rFonts w:hint="cs"/>
          <w:rtl/>
        </w:rPr>
        <w:t>הקטירו</w:t>
      </w:r>
      <w:r w:rsidRPr="00F87814">
        <w:rPr>
          <w:rtl/>
        </w:rPr>
        <w:t xml:space="preserve"> </w:t>
      </w:r>
      <w:r w:rsidRPr="00F87814">
        <w:rPr>
          <w:rFonts w:hint="cs"/>
          <w:rtl/>
        </w:rPr>
        <w:t>קטורת</w:t>
      </w:r>
      <w:r w:rsidRPr="00F87814">
        <w:rPr>
          <w:rtl/>
        </w:rPr>
        <w:t xml:space="preserve"> </w:t>
      </w:r>
      <w:r w:rsidRPr="00F87814">
        <w:rPr>
          <w:rFonts w:hint="cs"/>
          <w:rtl/>
        </w:rPr>
        <w:t>עד</w:t>
      </w:r>
      <w:r w:rsidRPr="00F87814">
        <w:rPr>
          <w:rtl/>
        </w:rPr>
        <w:t xml:space="preserve"> </w:t>
      </w:r>
      <w:r w:rsidRPr="00F87814">
        <w:rPr>
          <w:rFonts w:hint="cs"/>
          <w:rtl/>
        </w:rPr>
        <w:t>ר</w:t>
      </w:r>
      <w:r w:rsidRPr="00F87814">
        <w:rPr>
          <w:rtl/>
        </w:rPr>
        <w:t>"</w:t>
      </w:r>
      <w:r w:rsidRPr="00F87814">
        <w:rPr>
          <w:rFonts w:hint="cs"/>
          <w:rtl/>
        </w:rPr>
        <w:t>ח</w:t>
      </w:r>
      <w:r w:rsidRPr="00F87814">
        <w:rPr>
          <w:rtl/>
        </w:rPr>
        <w:t xml:space="preserve"> </w:t>
      </w:r>
      <w:r w:rsidRPr="00F87814">
        <w:rPr>
          <w:rFonts w:hint="cs"/>
          <w:rtl/>
        </w:rPr>
        <w:t>ניסן</w:t>
      </w:r>
      <w:r w:rsidRPr="00F87814">
        <w:rPr>
          <w:rtl/>
        </w:rPr>
        <w:t xml:space="preserve">. </w:t>
      </w:r>
      <w:r w:rsidRPr="00F87814">
        <w:rPr>
          <w:rFonts w:hint="cs"/>
          <w:rtl/>
        </w:rPr>
        <w:t>ואכ</w:t>
      </w:r>
      <w:r w:rsidRPr="00F87814">
        <w:rPr>
          <w:rtl/>
        </w:rPr>
        <w:t>"</w:t>
      </w:r>
      <w:r w:rsidRPr="00F87814">
        <w:rPr>
          <w:rFonts w:hint="cs"/>
          <w:rtl/>
        </w:rPr>
        <w:t>מ</w:t>
      </w:r>
      <w:r w:rsidRPr="00F87814">
        <w:rPr>
          <w:rtl/>
        </w:rPr>
        <w:t>.</w:t>
      </w:r>
      <w:r w:rsidRPr="00F87814">
        <w:rPr>
          <w:rFonts w:ascii="Cambria" w:hAnsi="Cambria" w:cs="Cambria" w:hint="cs"/>
          <w:rtl/>
        </w:rPr>
        <w:t> </w:t>
      </w:r>
    </w:p>
    <w:p w:rsidR="00F87814" w:rsidRPr="00F87814" w:rsidRDefault="00F87814" w:rsidP="00F146A6">
      <w:pPr>
        <w:pStyle w:val="a3"/>
        <w:rPr>
          <w:rtl/>
        </w:rPr>
      </w:pPr>
      <w:r w:rsidRPr="00F87814">
        <w:rPr>
          <w:rtl/>
        </w:rPr>
        <w:t>כי לכאורה בזמן שהיו בי"ד מקדשין עפ"י הראי' לא היו מוגבלים לסדר של גו"ח י"א וכו'. ראה הערה הבאה.</w:t>
      </w:r>
      <w:r w:rsidRPr="00F87814">
        <w:rPr>
          <w:rFonts w:ascii="Cambria" w:hAnsi="Cambria" w:cs="Cambria" w:hint="cs"/>
          <w:rtl/>
        </w:rPr>
        <w:t> </w:t>
      </w:r>
    </w:p>
    <w:p w:rsidR="00F87814" w:rsidRPr="00F87814" w:rsidRDefault="00F87814" w:rsidP="00F146A6">
      <w:pPr>
        <w:pStyle w:val="a3"/>
        <w:rPr>
          <w:rtl/>
        </w:rPr>
      </w:pPr>
      <w:r w:rsidRPr="00F87814">
        <w:rPr>
          <w:rtl/>
        </w:rPr>
        <w:t xml:space="preserve">וז"ל: ובחנם פירש [רש"י] כן דבלאו הכי יש מותר שבכל שנה היו מפטמין שס"ה מנים למנין ימות החמה וג' מנים לחפני כה"ג ביום הכפורים ומשס"ה היה נשאר בכל שנה פשוטה י"א מנין כמנין ששנות החמה יתירים על שנות הלבנה ואע"פ שהיו צריכין למלאות בהן לשנים מעוברות שהן </w:t>
      </w:r>
      <w:r w:rsidRPr="00F87814">
        <w:rPr>
          <w:b/>
          <w:bCs/>
          <w:rtl/>
        </w:rPr>
        <w:t xml:space="preserve">גו"ח י"א י"ד י"ז י"ט </w:t>
      </w:r>
      <w:r w:rsidRPr="00F87814">
        <w:rPr>
          <w:rtl/>
        </w:rPr>
        <w:t>מ"מ צריכין היו לחדש בר"ח ניסן כדי שיהיו מתרומה חדשה.</w:t>
      </w:r>
      <w:r w:rsidRPr="00F87814">
        <w:rPr>
          <w:rFonts w:ascii="Cambria" w:hAnsi="Cambria" w:cs="Cambria" w:hint="cs"/>
          <w:rtl/>
        </w:rPr>
        <w:t> </w:t>
      </w:r>
    </w:p>
    <w:p w:rsidR="00F87814" w:rsidRPr="00F87814" w:rsidRDefault="00F87814" w:rsidP="00F146A6">
      <w:pPr>
        <w:pStyle w:val="a3"/>
        <w:rPr>
          <w:color w:val="222222"/>
          <w:rtl/>
        </w:rPr>
      </w:pPr>
      <w:r w:rsidRPr="00F87814">
        <w:rPr>
          <w:rtl/>
        </w:rPr>
        <w:t>כלומר בה11 מנים היתירים של כל שנה פשוטה השתמשו בשנים המעוברות.</w:t>
      </w:r>
      <w:r w:rsidRPr="00F87814">
        <w:rPr>
          <w:rFonts w:ascii="Cambria" w:hAnsi="Cambria" w:cs="Cambria" w:hint="cs"/>
          <w:rtl/>
        </w:rPr>
        <w:t> </w:t>
      </w:r>
    </w:p>
    <w:p w:rsidR="00F87814" w:rsidRPr="00F87814" w:rsidRDefault="00F87814" w:rsidP="00F146A6">
      <w:pPr>
        <w:pStyle w:val="a3"/>
        <w:rPr>
          <w:color w:val="222222"/>
          <w:rtl/>
        </w:rPr>
      </w:pPr>
      <w:r w:rsidRPr="00F87814">
        <w:rPr>
          <w:rtl/>
        </w:rPr>
        <w:t>כי במחזור של י"ט שנה ישנם 12 שנים פשוטות ו7 שנים מעוברות, כסדר שנמנו בתוס'. נמצא, בכל מחזור שלם נשארו בס"ה מה11 מנים יתרים של כל שנה (19 כפול 11) 209 מנים.</w:t>
      </w:r>
      <w:r w:rsidRPr="00F87814">
        <w:rPr>
          <w:rFonts w:ascii="Cambria" w:hAnsi="Cambria" w:cs="Cambria" w:hint="cs"/>
          <w:rtl/>
        </w:rPr>
        <w:t> </w:t>
      </w:r>
    </w:p>
    <w:p w:rsidR="00F87814" w:rsidRPr="00F87814" w:rsidRDefault="00F87814" w:rsidP="00F146A6">
      <w:pPr>
        <w:pStyle w:val="a3"/>
        <w:rPr>
          <w:color w:val="222222"/>
          <w:rtl/>
        </w:rPr>
      </w:pPr>
      <w:r w:rsidRPr="00F87814">
        <w:rPr>
          <w:rtl/>
        </w:rPr>
        <w:t>לשבע שנים המעוברות הצטרכו 210 מנים. 7 חודשי עיבור כפול 30. או פחות מזה אם אדר השני הי של</w:t>
      </w:r>
      <w:r w:rsidRPr="00F87814">
        <w:rPr>
          <w:rFonts w:ascii="Cambria" w:hAnsi="Cambria" w:cs="Cambria" w:hint="cs"/>
          <w:rtl/>
        </w:rPr>
        <w:t> </w:t>
      </w:r>
      <w:r w:rsidRPr="00F87814">
        <w:rPr>
          <w:rtl/>
        </w:rPr>
        <w:t xml:space="preserve"> 29 יום.</w:t>
      </w:r>
      <w:r w:rsidRPr="00F87814">
        <w:rPr>
          <w:rFonts w:ascii="Cambria" w:hAnsi="Cambria" w:cs="Cambria" w:hint="cs"/>
          <w:rtl/>
        </w:rPr>
        <w:t> </w:t>
      </w:r>
    </w:p>
    <w:p w:rsidR="00364372" w:rsidRDefault="00364372" w:rsidP="0036437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4820B2" w:rsidRPr="000836F8" w:rsidRDefault="004820B2" w:rsidP="004820B2">
      <w:pPr>
        <w:tabs>
          <w:tab w:val="left" w:pos="2171"/>
          <w:tab w:val="center" w:pos="3096"/>
        </w:tabs>
        <w:bidi/>
        <w:spacing w:after="100" w:line="360" w:lineRule="auto"/>
        <w:ind w:firstLine="288"/>
        <w:jc w:val="center"/>
        <w:rPr>
          <w:rFonts w:ascii="Nymphette" w:eastAsia="Times New Roman" w:hAnsi="Nymphette" w:cs="Nymphette"/>
          <w:sz w:val="44"/>
          <w:szCs w:val="44"/>
        </w:rPr>
      </w:pPr>
    </w:p>
    <w:p w:rsidR="00BC3AFB" w:rsidRDefault="00BC3AFB" w:rsidP="00BC3AFB">
      <w:pPr>
        <w:pStyle w:val="a0"/>
      </w:pPr>
      <w:bookmarkStart w:id="143" w:name="_Toc43963112"/>
      <w:r>
        <w:rPr>
          <w:rtl/>
        </w:rPr>
        <w:lastRenderedPageBreak/>
        <w:t>נותן טעם בר נותן טעם לשיטת רש"י ז"ל</w:t>
      </w:r>
      <w:r>
        <w:rPr>
          <w:vertAlign w:val="superscript"/>
        </w:rPr>
        <w:footnoteReference w:id="143"/>
      </w:r>
      <w:bookmarkEnd w:id="143"/>
    </w:p>
    <w:p w:rsidR="00BC3AFB" w:rsidRPr="00BC3AFB" w:rsidRDefault="00BC3AFB" w:rsidP="00F146A6">
      <w:pPr>
        <w:pStyle w:val="a"/>
        <w:rPr>
          <w:rtl/>
        </w:rPr>
      </w:pPr>
      <w:bookmarkStart w:id="144" w:name="_Toc33153313"/>
      <w:bookmarkStart w:id="145" w:name="_Toc43963113"/>
      <w:r w:rsidRPr="00BC3AFB">
        <w:rPr>
          <w:rFonts w:hint="cs"/>
          <w:rtl/>
        </w:rPr>
        <w:t>הרב</w:t>
      </w:r>
      <w:r w:rsidRPr="00BC3AFB">
        <w:rPr>
          <w:rtl/>
        </w:rPr>
        <w:t xml:space="preserve"> מנחם מענדל קמינקר</w:t>
      </w:r>
      <w:bookmarkEnd w:id="144"/>
      <w:bookmarkEnd w:id="145"/>
    </w:p>
    <w:p w:rsidR="00BC3AFB" w:rsidRPr="00BC3AFB" w:rsidRDefault="00BC3AFB" w:rsidP="00BC3AFB">
      <w:pPr>
        <w:spacing w:after="0" w:line="240" w:lineRule="auto"/>
        <w:rPr>
          <w:rFonts w:ascii="AAd_Livorna4" w:eastAsia="Calibri" w:hAnsi="AAd_Livorna4" w:cs="AAd_Livorna4"/>
          <w:sz w:val="23"/>
          <w:szCs w:val="23"/>
          <w:rtl/>
        </w:rPr>
      </w:pPr>
      <w:r w:rsidRPr="00BC3AFB">
        <w:rPr>
          <w:rFonts w:ascii="AAd_Livorna4" w:eastAsia="Calibri" w:hAnsi="AAd_Livorna4" w:cs="AAd_Livorna4"/>
          <w:sz w:val="23"/>
          <w:szCs w:val="23"/>
          <w:rtl/>
        </w:rPr>
        <w:t>חתנו של</w:t>
      </w:r>
      <w:r w:rsidRPr="00BC3AFB">
        <w:rPr>
          <w:rFonts w:ascii="AAd_Livorna4" w:eastAsia="Calibri" w:hAnsi="AAd_Livorna4" w:cs="AAd_Livorna4" w:hint="cs"/>
          <w:sz w:val="23"/>
          <w:szCs w:val="23"/>
          <w:rtl/>
        </w:rPr>
        <w:t xml:space="preserve"> </w:t>
      </w:r>
      <w:r w:rsidRPr="00BC3AFB">
        <w:rPr>
          <w:rFonts w:ascii="AAd_Livorna4" w:eastAsia="Calibri" w:hAnsi="AAd_Livorna4" w:cs="AAd_Livorna4"/>
          <w:sz w:val="23"/>
          <w:szCs w:val="23"/>
          <w:rtl/>
        </w:rPr>
        <w:t>הרה</w:t>
      </w:r>
      <w:r w:rsidRPr="00BC3AFB">
        <w:rPr>
          <w:rFonts w:ascii="AAd_Livorna4" w:eastAsia="Calibri" w:hAnsi="AAd_Livorna4" w:cs="AAd_Livorna4" w:hint="cs"/>
          <w:sz w:val="23"/>
          <w:szCs w:val="23"/>
          <w:rtl/>
        </w:rPr>
        <w:t>"ח הרה"ת ישראל בער הלוי גורביץ</w:t>
      </w:r>
    </w:p>
    <w:p w:rsidR="00BC3AFB" w:rsidRPr="00BC3AFB" w:rsidRDefault="00BC3AFB" w:rsidP="00BC3AFB">
      <w:pPr>
        <w:spacing w:after="0" w:line="276" w:lineRule="auto"/>
        <w:rPr>
          <w:rFonts w:ascii="AAd_Livorna4" w:eastAsia="Calibri" w:hAnsi="AAd_Livorna4" w:cs="AAd_Livorna4"/>
          <w:sz w:val="23"/>
          <w:szCs w:val="23"/>
        </w:rPr>
      </w:pPr>
      <w:r w:rsidRPr="00BC3AFB">
        <w:rPr>
          <w:rFonts w:ascii="AAd_Livorna4" w:eastAsia="Calibri" w:hAnsi="AAd_Livorna4" w:cs="AAd_Livorna4" w:hint="cs"/>
          <w:sz w:val="23"/>
          <w:szCs w:val="23"/>
          <w:rtl/>
        </w:rPr>
        <w:t>דור השביעי בן אחר בן להגה"ק החוזה מלובלין זצקו"ל</w:t>
      </w:r>
    </w:p>
    <w:p w:rsidR="00BC3AFB" w:rsidRPr="00BC3AFB" w:rsidRDefault="00BC3AFB" w:rsidP="00BC3AFB">
      <w:pPr>
        <w:spacing w:after="0" w:line="240" w:lineRule="auto"/>
        <w:rPr>
          <w:rFonts w:ascii="AAd_Livorna4" w:eastAsia="Calibri" w:hAnsi="AAd_Livorna4" w:cs="AAd_Livorna4"/>
          <w:sz w:val="23"/>
          <w:szCs w:val="23"/>
          <w:rtl/>
        </w:rPr>
      </w:pPr>
      <w:r w:rsidRPr="00BC3AFB">
        <w:rPr>
          <w:rFonts w:ascii="AAd_Livorna4" w:eastAsia="Calibri" w:hAnsi="AAd_Livorna4" w:cs="AAd_Livorna4"/>
          <w:sz w:val="23"/>
          <w:szCs w:val="23"/>
          <w:rtl/>
        </w:rPr>
        <w:t>'כולל מנחם' שע"י מזכירות כ"ק אדמו"ר</w:t>
      </w:r>
    </w:p>
    <w:p w:rsidR="00BC3AFB" w:rsidRPr="001B37D0" w:rsidRDefault="00BC3AFB" w:rsidP="00F146A6">
      <w:pPr>
        <w:pStyle w:val="a3"/>
      </w:pPr>
      <w:r w:rsidRPr="001B37D0">
        <w:rPr>
          <w:rtl/>
        </w:rPr>
        <w:t>ידוע מקדם</w:t>
      </w:r>
      <w:r w:rsidRPr="004820B2">
        <w:rPr>
          <w:vertAlign w:val="superscript"/>
        </w:rPr>
        <w:footnoteReference w:id="144"/>
      </w:r>
      <w:r w:rsidRPr="001B37D0">
        <w:rPr>
          <w:rtl/>
        </w:rPr>
        <w:t xml:space="preserve"> הדין של "נותן טעם בר נותן טעם", שבכדי שטעמו של איזה דבר יגרום לאיסור ה"ז רק כשיש טעם הבא מן הממש, ולא כשבא ע"י דבר אחר. ושיטת רש"י ז"ל בזה</w:t>
      </w:r>
      <w:r w:rsidRPr="004820B2">
        <w:rPr>
          <w:vertAlign w:val="superscript"/>
        </w:rPr>
        <w:footnoteReference w:id="145"/>
      </w:r>
      <w:r w:rsidRPr="001B37D0">
        <w:rPr>
          <w:rtl/>
        </w:rPr>
        <w:t xml:space="preserve"> הוא שהיתר זה אמורה רק כשאינו נותן טעם ע"י בישול (חמימות שע"י האש וכדומה). אבל כשנתבשלו הוה נותן טעם (ראשון</w:t>
      </w:r>
      <w:r w:rsidRPr="004820B2">
        <w:rPr>
          <w:vertAlign w:val="superscript"/>
        </w:rPr>
        <w:footnoteReference w:id="146"/>
      </w:r>
      <w:r w:rsidRPr="001B37D0">
        <w:rPr>
          <w:rtl/>
        </w:rPr>
        <w:t xml:space="preserve">-) לאסר. </w:t>
      </w:r>
    </w:p>
    <w:p w:rsidR="00BC3AFB" w:rsidRPr="001B37D0" w:rsidRDefault="00BC3AFB" w:rsidP="00F146A6">
      <w:pPr>
        <w:pStyle w:val="a3"/>
      </w:pPr>
      <w:r w:rsidRPr="001B37D0">
        <w:rPr>
          <w:rtl/>
        </w:rPr>
        <w:t xml:space="preserve">ואכן יש לפרט ולעיין בשיטתו, וכדלקמן בעזה"י: </w:t>
      </w:r>
    </w:p>
    <w:p w:rsidR="00BC3AFB" w:rsidRPr="00BC3AFB" w:rsidRDefault="00BC3AFB" w:rsidP="004820B2">
      <w:pPr>
        <w:pStyle w:val="a3"/>
      </w:pPr>
      <w:r w:rsidRPr="00BC3AFB">
        <w:rPr>
          <w:rtl/>
        </w:rPr>
        <w:t>והנה מקור דבריו הוא במס' חולין</w:t>
      </w:r>
      <w:r w:rsidRPr="00BC3AFB">
        <w:rPr>
          <w:vertAlign w:val="superscript"/>
        </w:rPr>
        <w:footnoteReference w:id="147"/>
      </w:r>
      <w:r w:rsidRPr="00BC3AFB">
        <w:rPr>
          <w:rtl/>
        </w:rPr>
        <w:t xml:space="preserve"> העוסקת בסוגיא זו של נ"ט בנ"ט, וכך שנינו שם: "איתמר, דגים שעלו בקערה, רב אמר אסור לאכלן בכותח, ושמואל אמר מותר לאכלן בכותח. </w:t>
      </w:r>
      <w:r w:rsidR="004820B2">
        <w:rPr>
          <w:rFonts w:hint="cs"/>
          <w:rtl/>
        </w:rPr>
        <w:t>(</w:t>
      </w:r>
      <w:r w:rsidRPr="00BC3AFB">
        <w:rPr>
          <w:rtl/>
        </w:rPr>
        <w:t>ופרש"י -דגים שעלו בקערה - מן הצלי כשהיו רותחין נתנן לתוך הקערה שאכלו בה בשר</w:t>
      </w:r>
      <w:r w:rsidR="004820B2">
        <w:rPr>
          <w:rFonts w:hint="cs"/>
          <w:rtl/>
        </w:rPr>
        <w:t>)</w:t>
      </w:r>
      <w:r w:rsidRPr="00BC3AFB">
        <w:rPr>
          <w:rtl/>
        </w:rPr>
        <w:t>.</w:t>
      </w:r>
    </w:p>
    <w:p w:rsidR="00BC3AFB" w:rsidRPr="00BC3AFB" w:rsidRDefault="00BC3AFB" w:rsidP="00F146A6">
      <w:pPr>
        <w:pStyle w:val="a3"/>
      </w:pPr>
      <w:r w:rsidRPr="00BC3AFB">
        <w:rPr>
          <w:rtl/>
        </w:rPr>
        <w:t xml:space="preserve">..רב אמר אסור, נותן טעם הוא. ושמואל אמר מותר, נותן טעם בר נ"ט הוא. (פרש"י -נותן טעם בר נותן טעם הוא - אם היו מבושלים עם בשר ממש היה אסור לאוכלן בכותח. אי נמי מודה שמואל שאסור לאכול חלב רותח בקערה, דנותן טעם ראשון הוי כבשר גמור, אבל קערה זו היא עצמה אינה בשר אלא על ידי נותן טעם ואינה כבשר)... </w:t>
      </w:r>
    </w:p>
    <w:p w:rsidR="00BC3AFB" w:rsidRPr="00BC3AFB" w:rsidRDefault="00BC3AFB" w:rsidP="00F146A6">
      <w:pPr>
        <w:pStyle w:val="a3"/>
      </w:pPr>
      <w:r w:rsidRPr="00BC3AFB">
        <w:rPr>
          <w:rtl/>
        </w:rPr>
        <w:t>..אמר חזקיה משום אביי, הלכתא דגים שעלו בקערה, מותר לאוכלן בכותח. צנון שחתכו בסכין שחתך בה בשר, אסור לאוכלו בכותח. וה"מ צנון דאגב חורפיה בלע, אבל קישות גריר לבי פסקיה ואכיל...ע"כ לשון הגמ'.</w:t>
      </w:r>
    </w:p>
    <w:p w:rsidR="00BC3AFB" w:rsidRPr="00BC3AFB" w:rsidRDefault="00BC3AFB" w:rsidP="00F146A6">
      <w:pPr>
        <w:pStyle w:val="a3"/>
      </w:pPr>
      <w:r w:rsidRPr="00BC3AFB">
        <w:rPr>
          <w:rtl/>
        </w:rPr>
        <w:lastRenderedPageBreak/>
        <w:t>ובתוס' כתב</w:t>
      </w:r>
      <w:r w:rsidRPr="00BC3AFB">
        <w:rPr>
          <w:vertAlign w:val="superscript"/>
        </w:rPr>
        <w:footnoteReference w:id="148"/>
      </w:r>
      <w:r w:rsidRPr="00BC3AFB">
        <w:rPr>
          <w:rtl/>
        </w:rPr>
        <w:t xml:space="preserve">, וז"ל: " בשם רש"י פי' ריב"ן חתנו, דוקא עלו שרו אבל נתבשלו אסור דכחד טעמא חשיב. ובא מעשה לפניו בביצים שנתבשלו בקדרה של חלב, ואסר לעשות מהם מולייתא של בשר. </w:t>
      </w:r>
    </w:p>
    <w:p w:rsidR="00BC3AFB" w:rsidRPr="00BC3AFB" w:rsidRDefault="00BC3AFB" w:rsidP="00F146A6">
      <w:pPr>
        <w:pStyle w:val="a3"/>
      </w:pPr>
      <w:r w:rsidRPr="00BC3AFB">
        <w:rPr>
          <w:rtl/>
        </w:rPr>
        <w:t xml:space="preserve">ויש להביא ראיה לדבריו מצנון שחתכו בסכין, דאסור לאוכלו בכותח, משום דאגב חורפיה בלע טפי,וחשיב כחד טעמא. ונתבשלו לא גרע מצנון. ומיהו לפירוש לשון אחר שפי' בקונט', דטעמא דאסור משום שהשומן קרוש על הסכין ואינו ניכר, והוי טעם ראשון בצנון, אין ראיה משם. </w:t>
      </w:r>
    </w:p>
    <w:p w:rsidR="00BC3AFB" w:rsidRPr="00BC3AFB" w:rsidRDefault="00BC3AFB" w:rsidP="00F146A6">
      <w:pPr>
        <w:pStyle w:val="a3"/>
      </w:pPr>
      <w:r w:rsidRPr="00BC3AFB">
        <w:rPr>
          <w:rtl/>
        </w:rPr>
        <w:t xml:space="preserve"> ומתוך לשון הקונט' משמע, דאין חלוק בין עלו לנתבשלו. דלעיל גבי נותן טעם בר נותן טעם, פירש בקונטרס דאם היו מבושלים עם בשר ממש, או לאכול חלב בקערה, מודה שמואל דאסור, דהוי נותן טעם ראשון. משמע מתוך פירושו דמבושלים עם בשר הוא דאסור, אבל מבושלים עם הקערה שרי וכו'." עכ"ל.</w:t>
      </w:r>
    </w:p>
    <w:p w:rsidR="00BC3AFB" w:rsidRPr="00BC3AFB" w:rsidRDefault="00BC3AFB" w:rsidP="00F146A6">
      <w:pPr>
        <w:pStyle w:val="a3"/>
      </w:pPr>
      <w:r w:rsidRPr="00BC3AFB">
        <w:rPr>
          <w:rtl/>
        </w:rPr>
        <w:t xml:space="preserve">ויש לעיין בזה: </w:t>
      </w:r>
    </w:p>
    <w:p w:rsidR="00BC3AFB" w:rsidRPr="00BC3AFB" w:rsidRDefault="00BC3AFB" w:rsidP="00F146A6">
      <w:pPr>
        <w:pStyle w:val="a3"/>
      </w:pPr>
      <w:r w:rsidRPr="00BC3AFB">
        <w:rPr>
          <w:rtl/>
        </w:rPr>
        <w:t>הרי מבדברי התוס' עולה סתירא בדברי רש"י ז"ל גופא, דמחד גיסא משמע שכתב דוקא נתבשלו עם הבשר ממש מודה שמואל דאסור, אבל כשיש טעם שני (ע"י הקערה) אף מבושל הוה מותר</w:t>
      </w:r>
      <w:r w:rsidRPr="00BC3AFB">
        <w:rPr>
          <w:vertAlign w:val="superscript"/>
        </w:rPr>
        <w:footnoteReference w:id="149"/>
      </w:r>
      <w:r w:rsidRPr="00BC3AFB">
        <w:rPr>
          <w:rtl/>
        </w:rPr>
        <w:t xml:space="preserve"> משום נ"ט בנ"ט. ומצד שני יש העדות של חתנו שאין להתיר נ"ט בנ"ט ע"י בישול. ועוד יש לדייק מדבריו דאם באגב חורפיה בלע כ"ש שבולע ע"י בישול, ואינו מועיל ההיתר של נ"ט בנ"ט</w:t>
      </w:r>
      <w:r w:rsidRPr="00BC3AFB">
        <w:rPr>
          <w:vertAlign w:val="superscript"/>
        </w:rPr>
        <w:footnoteReference w:id="150"/>
      </w:r>
      <w:r w:rsidRPr="00BC3AFB">
        <w:t>?</w:t>
      </w:r>
    </w:p>
    <w:p w:rsidR="00BC3AFB" w:rsidRPr="00BC3AFB" w:rsidRDefault="00BC3AFB" w:rsidP="00F146A6">
      <w:pPr>
        <w:pStyle w:val="a3"/>
      </w:pPr>
      <w:r w:rsidRPr="00BC3AFB">
        <w:rPr>
          <w:rtl/>
        </w:rPr>
        <w:t>הראשונים</w:t>
      </w:r>
      <w:r w:rsidRPr="00BC3AFB">
        <w:rPr>
          <w:vertAlign w:val="superscript"/>
        </w:rPr>
        <w:footnoteReference w:id="151"/>
      </w:r>
      <w:r w:rsidRPr="00BC3AFB">
        <w:rPr>
          <w:rtl/>
        </w:rPr>
        <w:t xml:space="preserve"> היקשו על רש"י, הרי הדין הוא שגם בעלו בקערה (כשהוא רותח) בעי קליפה</w:t>
      </w:r>
      <w:r w:rsidRPr="00BC3AFB">
        <w:rPr>
          <w:vertAlign w:val="superscript"/>
        </w:rPr>
        <w:footnoteReference w:id="152"/>
      </w:r>
      <w:r w:rsidRPr="00BC3AFB">
        <w:rPr>
          <w:rtl/>
        </w:rPr>
        <w:t xml:space="preserve">, א"כ הרי בנוגיע להקליפה יש לה דין דנתבשל, וראויה היא הקליפה </w:t>
      </w:r>
      <w:r w:rsidRPr="00BC3AFB">
        <w:rPr>
          <w:rtl/>
        </w:rPr>
        <w:lastRenderedPageBreak/>
        <w:t>לאסור את הכותח, כמו בנתבשלו?</w:t>
      </w:r>
    </w:p>
    <w:p w:rsidR="00BC3AFB" w:rsidRPr="00BC3AFB" w:rsidRDefault="00BC3AFB" w:rsidP="00F146A6">
      <w:pPr>
        <w:pStyle w:val="a3"/>
      </w:pPr>
      <w:r w:rsidRPr="00BC3AFB">
        <w:rPr>
          <w:rtl/>
        </w:rPr>
        <w:t>ועוד יש לעיין כמו שמקשה הראשונים</w:t>
      </w:r>
      <w:r w:rsidRPr="00BC3AFB">
        <w:rPr>
          <w:vertAlign w:val="superscript"/>
        </w:rPr>
        <w:footnoteReference w:id="153"/>
      </w:r>
      <w:r w:rsidRPr="00BC3AFB">
        <w:rPr>
          <w:rtl/>
        </w:rPr>
        <w:t xml:space="preserve"> על פי' השני שכתב רש"י -שלגבי צנון משום חורפי מפליט ליה לסכין עיקר ממשו של איסור (טעם ראשון)- דקשה אם איסורו הוא משום עיקר ממשו הנפלט מהסכין ע"י חורפי, ולא משום שומן הקרוש על פניו, א"כ קישות למה צריך גרידה הרי אינם חריפים ולהחשיבם טעם ראשון, והוה רק נותן טעם בנ"ט (מן הסכין לקישות, וממנה להכותח) והוה מותר לגמרי? </w:t>
      </w:r>
    </w:p>
    <w:p w:rsidR="00BC3AFB" w:rsidRPr="00BC3AFB" w:rsidRDefault="00BC3AFB" w:rsidP="004820B2">
      <w:pPr>
        <w:pStyle w:val="a3"/>
      </w:pPr>
      <w:r w:rsidRPr="00BC3AFB">
        <w:t xml:space="preserve">    </w:t>
      </w:r>
      <w:r w:rsidR="004820B2">
        <w:rPr>
          <w:rtl/>
        </w:rPr>
        <w:t>ב.</w:t>
      </w:r>
      <w:r w:rsidRPr="00BC3AFB">
        <w:rPr>
          <w:rtl/>
        </w:rPr>
        <w:t xml:space="preserve"> והנה המעיין בשיטת רש"י </w:t>
      </w:r>
      <w:r w:rsidR="004820B2">
        <w:rPr>
          <w:rFonts w:hint="cs"/>
          <w:rtl/>
        </w:rPr>
        <w:t>(</w:t>
      </w:r>
      <w:r w:rsidRPr="00BC3AFB">
        <w:rPr>
          <w:rtl/>
        </w:rPr>
        <w:t xml:space="preserve">שאוסר נ"ט בנ"ט ע"י בישול), יודע לו שיש שני אופנים איך שהובא דבריו. </w:t>
      </w:r>
    </w:p>
    <w:p w:rsidR="00BC3AFB" w:rsidRPr="00BC3AFB" w:rsidRDefault="00BC3AFB" w:rsidP="00F146A6">
      <w:pPr>
        <w:pStyle w:val="a3"/>
      </w:pPr>
      <w:r w:rsidRPr="00BC3AFB">
        <w:rPr>
          <w:rtl/>
        </w:rPr>
        <w:t>בר"ן הנ"ל וז"ל: "..דכל כה"ג ממשו של בשר הבלוע בקערה נפלט בהם והוה ליה כאילו נתבשלו עם הבשר ממש דאסורין". וכן לגבי צנון- "דמשום חורפא דצנון מפליט ליה לסכין עיקר ממשו של איסור, והוה ליה נותן טעם ראשון, וכ"ש בבשול גמור שאסור". דמשמע שע"י החום וחריפות מפליט ממשו - טעם ראשון - של איסור ואין כאן ההיתר של נ"ט בנ"ט</w:t>
      </w:r>
      <w:r w:rsidRPr="00BC3AFB">
        <w:rPr>
          <w:vertAlign w:val="superscript"/>
        </w:rPr>
        <w:footnoteReference w:id="154"/>
      </w:r>
      <w:r>
        <w:rPr>
          <w:rFonts w:hint="cs"/>
          <w:rtl/>
        </w:rPr>
        <w:t>.</w:t>
      </w:r>
    </w:p>
    <w:p w:rsidR="00BC3AFB" w:rsidRPr="00BC3AFB" w:rsidRDefault="00BC3AFB" w:rsidP="00F146A6">
      <w:pPr>
        <w:pStyle w:val="a3"/>
      </w:pPr>
      <w:r w:rsidRPr="00BC3AFB">
        <w:rPr>
          <w:rtl/>
        </w:rPr>
        <w:t>אבל ברא"ש וז"ל: "וריב"ן חתנו של רש"י כתב משמו, עלו אין נתבשלו לא. ואע"ג דבבעלו נמי קבלו כדי קליפה הטעם מן הבשר</w:t>
      </w:r>
      <w:r w:rsidRPr="00BC3AFB">
        <w:rPr>
          <w:vertAlign w:val="superscript"/>
        </w:rPr>
        <w:footnoteReference w:id="155"/>
      </w:r>
      <w:r w:rsidRPr="00BC3AFB">
        <w:rPr>
          <w:rtl/>
        </w:rPr>
        <w:t>? בבליעה מועטת מועטת התירו נ"ט בנ"ט, אבל נתבשלו ונבלע כל הטעם הבשר שהי' בלוע בקדירה אסור לאכלו בכותח. עכ"ל.</w:t>
      </w:r>
    </w:p>
    <w:p w:rsidR="00BC3AFB" w:rsidRPr="00BC3AFB" w:rsidRDefault="00BC3AFB" w:rsidP="00F146A6">
      <w:pPr>
        <w:pStyle w:val="a3"/>
      </w:pPr>
      <w:r w:rsidRPr="00BC3AFB">
        <w:rPr>
          <w:rtl/>
        </w:rPr>
        <w:t xml:space="preserve">דמשמע דע"י הבישול נפלט יותר (כמות של הטעם שני) לכן גזרו עליו לאסר גם בנ"ט בנ"ט. אבל באמת ע"י בישול הוה רק טעם שני דמדאורייתא מותר, ורק גזרו כשפלט יותר טעם מטעם קלוש הזה. </w:t>
      </w:r>
    </w:p>
    <w:p w:rsidR="00BC3AFB" w:rsidRPr="00BC3AFB" w:rsidRDefault="00BC3AFB" w:rsidP="00F146A6">
      <w:pPr>
        <w:pStyle w:val="a3"/>
      </w:pPr>
      <w:r w:rsidRPr="00BC3AFB">
        <w:rPr>
          <w:rtl/>
        </w:rPr>
        <w:t>והנה מזה נמצא שיש חילוק עיקרי איך ללמד האיסור שע"י בישול (בנ"ט בנ"ט), אם דהוה משום שיש כאן עדיין  מהות האיסור (טעם ראשון) -איכות האיסור-. או רק דהוה גזירה דרבנן כשיש ריבוי פליטה של טעם שני -כמות הרבה של טעם (שני) האיסור-. וצ"ע במה פליגי?</w:t>
      </w:r>
    </w:p>
    <w:p w:rsidR="00BC3AFB" w:rsidRPr="00BC3AFB" w:rsidRDefault="00BC3AFB" w:rsidP="00F146A6">
      <w:pPr>
        <w:pStyle w:val="a3"/>
      </w:pPr>
      <w:r w:rsidRPr="00BC3AFB">
        <w:t xml:space="preserve">     </w:t>
      </w:r>
      <w:r w:rsidR="004820B2">
        <w:rPr>
          <w:rtl/>
        </w:rPr>
        <w:t>ג.</w:t>
      </w:r>
      <w:r w:rsidRPr="00BC3AFB">
        <w:rPr>
          <w:rtl/>
        </w:rPr>
        <w:t xml:space="preserve"> ובהקדם יש לחקור בגדר דין דנ"ט בנ"ט, אם זה היתר מן הדין, או דבר מציאותי:</w:t>
      </w:r>
    </w:p>
    <w:p w:rsidR="00BC3AFB" w:rsidRPr="00BC3AFB" w:rsidRDefault="00BC3AFB" w:rsidP="00F146A6">
      <w:pPr>
        <w:pStyle w:val="a3"/>
      </w:pPr>
      <w:r w:rsidRPr="00BC3AFB">
        <w:rPr>
          <w:rtl/>
        </w:rPr>
        <w:lastRenderedPageBreak/>
        <w:t>דהיינו, אחד מהמקורות לדין טעם כעיקר הוא מכלי מדין</w:t>
      </w:r>
      <w:r w:rsidRPr="00BC3AFB">
        <w:rPr>
          <w:vertAlign w:val="superscript"/>
        </w:rPr>
        <w:footnoteReference w:id="156"/>
      </w:r>
      <w:r w:rsidRPr="00BC3AFB">
        <w:rPr>
          <w:rtl/>
        </w:rPr>
        <w:t>, ושם</w:t>
      </w:r>
      <w:r w:rsidRPr="00BC3AFB">
        <w:rPr>
          <w:vertAlign w:val="superscript"/>
        </w:rPr>
        <w:footnoteReference w:id="157"/>
      </w:r>
      <w:r w:rsidRPr="00BC3AFB">
        <w:rPr>
          <w:rtl/>
        </w:rPr>
        <w:t xml:space="preserve"> כל הגעלה הי' מצד הטעם ראשון שהי' בלוע בהכלים שלהם, אבל טעם שני</w:t>
      </w:r>
      <w:r w:rsidRPr="00BC3AFB">
        <w:rPr>
          <w:vertAlign w:val="superscript"/>
        </w:rPr>
        <w:footnoteReference w:id="158"/>
      </w:r>
      <w:r w:rsidRPr="00BC3AFB">
        <w:rPr>
          <w:rtl/>
        </w:rPr>
        <w:t xml:space="preserve">- ז"א נ"ט בנ"ט - מותר. ויש ללמוד היתר זה בשני אופנים: </w:t>
      </w:r>
    </w:p>
    <w:p w:rsidR="00BC3AFB" w:rsidRPr="00BC3AFB" w:rsidRDefault="00BC3AFB" w:rsidP="00F146A6">
      <w:pPr>
        <w:pStyle w:val="a3"/>
      </w:pPr>
      <w:r w:rsidRPr="00BC3AFB">
        <w:rPr>
          <w:rtl/>
        </w:rPr>
        <w:t>א-</w:t>
      </w:r>
      <w:r w:rsidR="004820B2">
        <w:rPr>
          <w:rFonts w:hint="cs"/>
          <w:rtl/>
        </w:rPr>
        <w:t xml:space="preserve"> </w:t>
      </w:r>
      <w:r w:rsidRPr="00BC3AFB">
        <w:rPr>
          <w:rtl/>
        </w:rPr>
        <w:t>דכל טעם קלוש מטעם שני אין בכוחו לאסור, דמן הדין לא אסרה תורה טעם זה.</w:t>
      </w:r>
    </w:p>
    <w:p w:rsidR="00BC3AFB" w:rsidRPr="00BC3AFB" w:rsidRDefault="00BC3AFB" w:rsidP="00F146A6">
      <w:pPr>
        <w:pStyle w:val="a3"/>
      </w:pPr>
      <w:r w:rsidRPr="00BC3AFB">
        <w:rPr>
          <w:rtl/>
        </w:rPr>
        <w:t>ב- או הוא משום שטעם כזה אינו ביכולתו לעשות מציאות חדשה (-"ושם חדש") של טעם האיסור. כגון בבשר בחלב הרי איסורו הוא כשיש טעם בשר מעורב בחלב, דשניהם מצד עצמם הרי שמותיהן מחולקים, ואיסורם הוא כשהם מעורבים יחד נעשה שם חדש - מציאות של – בב"ח. אבל בטעם שני משום שנקלש טעמו כ"כ, אין בו ממשות כל כך שיוכל לחול עליו שם חדש של בב"ח</w:t>
      </w:r>
      <w:r w:rsidRPr="00BC3AFB">
        <w:rPr>
          <w:vertAlign w:val="superscript"/>
        </w:rPr>
        <w:footnoteReference w:id="159"/>
      </w:r>
      <w:r>
        <w:rPr>
          <w:rFonts w:hint="cs"/>
          <w:rtl/>
        </w:rPr>
        <w:t>.</w:t>
      </w:r>
    </w:p>
    <w:p w:rsidR="00BC3AFB" w:rsidRPr="00BC3AFB" w:rsidRDefault="00BC3AFB" w:rsidP="00F146A6">
      <w:pPr>
        <w:pStyle w:val="a3"/>
      </w:pPr>
      <w:r w:rsidRPr="00BC3AFB">
        <w:rPr>
          <w:rtl/>
        </w:rPr>
        <w:t>והמקור לחקירה זו והנ"מ ביניהם, מצאינו לגבי איסור חמץ קודם זמן איסורו (,כגון שהתיכו שומן בתוך קדירה של חמץ קודם הפסח, ועדיין אינו אסור עד שמגיע הפסח..)</w:t>
      </w:r>
      <w:r w:rsidRPr="00BC3AFB">
        <w:rPr>
          <w:vertAlign w:val="superscript"/>
        </w:rPr>
        <w:footnoteReference w:id="160"/>
      </w:r>
      <w:r w:rsidRPr="00BC3AFB">
        <w:rPr>
          <w:rtl/>
        </w:rPr>
        <w:t xml:space="preserve">, אם אומרים בו נ"ט בנ"ט ומותר. </w:t>
      </w:r>
    </w:p>
    <w:p w:rsidR="00BC3AFB" w:rsidRPr="00BC3AFB" w:rsidRDefault="00BC3AFB" w:rsidP="00F146A6">
      <w:pPr>
        <w:pStyle w:val="a3"/>
      </w:pPr>
      <w:r w:rsidRPr="00BC3AFB">
        <w:rPr>
          <w:rtl/>
        </w:rPr>
        <w:t>דלפי אופן הא' אמרינן שפיר נ"ט בנ"ט ומותר בפסח, משום שהכלל של נ"ט בר נ"ט הוא משום שאין בטעם כזה דין לאסר. ולכן כשמגיע זמן איסור הרי הוא טעם שני שאינו אוסר</w:t>
      </w:r>
      <w:r w:rsidRPr="00BC3AFB">
        <w:rPr>
          <w:vertAlign w:val="superscript"/>
        </w:rPr>
        <w:footnoteReference w:id="161"/>
      </w:r>
      <w:r>
        <w:rPr>
          <w:rFonts w:hint="cs"/>
          <w:rtl/>
        </w:rPr>
        <w:t>.</w:t>
      </w:r>
      <w:r w:rsidRPr="00BC3AFB">
        <w:t xml:space="preserve"> </w:t>
      </w:r>
    </w:p>
    <w:p w:rsidR="00BC3AFB" w:rsidRPr="00BC3AFB" w:rsidRDefault="00BC3AFB" w:rsidP="00F146A6">
      <w:pPr>
        <w:pStyle w:val="a3"/>
      </w:pPr>
      <w:r w:rsidRPr="00BC3AFB">
        <w:rPr>
          <w:rtl/>
        </w:rPr>
        <w:t>אבל לפי אופן הב' הרי אצל חמץ אין כאן מציאות ושם חדש שצריך לפעול בטעם זה, שהרי תמיד הי' עליו שם חמץ ואין צריך לחדש שום שם חדש עליו, דגם טעם קלוש כזו מציאותו הוא שהוא חמץ. ולא כמו בב"ח שצריך לחדש טעם ושם חדש של בב"ח, ובנ"ט בנ"ט אין ביכולת לחדש שם חדש של בב"ח</w:t>
      </w:r>
      <w:r w:rsidRPr="00BC3AFB">
        <w:t xml:space="preserve"> .</w:t>
      </w:r>
      <w:r w:rsidRPr="00BC3AFB">
        <w:rPr>
          <w:vertAlign w:val="superscript"/>
        </w:rPr>
        <w:footnoteReference w:id="162"/>
      </w:r>
    </w:p>
    <w:p w:rsidR="004820B2" w:rsidRDefault="004820B2" w:rsidP="00F146A6">
      <w:pPr>
        <w:pStyle w:val="a3"/>
        <w:rPr>
          <w:rtl/>
        </w:rPr>
      </w:pPr>
    </w:p>
    <w:p w:rsidR="004820B2" w:rsidRDefault="004820B2" w:rsidP="00F146A6">
      <w:pPr>
        <w:pStyle w:val="a3"/>
        <w:rPr>
          <w:rtl/>
        </w:rPr>
      </w:pPr>
    </w:p>
    <w:p w:rsidR="00BC3AFB" w:rsidRPr="00BC3AFB" w:rsidRDefault="00BC3AFB" w:rsidP="00F146A6">
      <w:pPr>
        <w:pStyle w:val="a3"/>
      </w:pPr>
      <w:r w:rsidRPr="00BC3AFB">
        <w:rPr>
          <w:rtl/>
        </w:rPr>
        <w:lastRenderedPageBreak/>
        <w:t>והנה ביסוד מחלוקת זה מצאינו שחולקים בו הר"ן והרא"ש:</w:t>
      </w:r>
    </w:p>
    <w:p w:rsidR="00BC3AFB" w:rsidRPr="00BC3AFB" w:rsidRDefault="00BC3AFB" w:rsidP="00F146A6">
      <w:pPr>
        <w:pStyle w:val="a3"/>
      </w:pPr>
      <w:r w:rsidRPr="00BC3AFB">
        <w:rPr>
          <w:rtl/>
        </w:rPr>
        <w:t>הרא"ש במס' פסחים</w:t>
      </w:r>
      <w:r w:rsidRPr="00BC3AFB">
        <w:rPr>
          <w:vertAlign w:val="superscript"/>
        </w:rPr>
        <w:footnoteReference w:id="163"/>
      </w:r>
      <w:r w:rsidRPr="00BC3AFB">
        <w:rPr>
          <w:rtl/>
        </w:rPr>
        <w:t xml:space="preserve"> כתב : "ובערב פסח קודם שעה חמישית דשעת היתר הוא, מותר להגעיל אפי' בן יומו, דהוה נ"ט בנ"ט, טעם חמץ נ"ט בהכלי והכלי במים וחוזר ונבלעו בהכלים וכולו היתר. דהוה כמו דגים שעלו בקערה..".  </w:t>
      </w:r>
    </w:p>
    <w:p w:rsidR="00BC3AFB" w:rsidRPr="00BC3AFB" w:rsidRDefault="00BC3AFB" w:rsidP="00F146A6">
      <w:pPr>
        <w:pStyle w:val="a3"/>
      </w:pPr>
      <w:r w:rsidRPr="00BC3AFB">
        <w:rPr>
          <w:rtl/>
        </w:rPr>
        <w:t>דס"ל דאמרינן נ"ט בנ"ט גם בחמץ משום דאין בטעם כזו דין לאסר בשום מקום. ע"כ.</w:t>
      </w:r>
    </w:p>
    <w:p w:rsidR="00BC3AFB" w:rsidRPr="00BC3AFB" w:rsidRDefault="00BC3AFB" w:rsidP="00F146A6">
      <w:pPr>
        <w:pStyle w:val="a3"/>
      </w:pPr>
      <w:r w:rsidRPr="00BC3AFB">
        <w:rPr>
          <w:rtl/>
        </w:rPr>
        <w:t>אבל הר"ן</w:t>
      </w:r>
      <w:r w:rsidRPr="00BC3AFB">
        <w:rPr>
          <w:vertAlign w:val="superscript"/>
        </w:rPr>
        <w:footnoteReference w:id="164"/>
      </w:r>
      <w:r w:rsidRPr="00BC3AFB">
        <w:rPr>
          <w:rtl/>
        </w:rPr>
        <w:t xml:space="preserve"> כתב וז"ל: "כתב הרמב"ן ז"ל דליתא דכל הכלים הבלועים מחמץ, אע"פ שבלעו קודם הפסח איסורא בלעי... אבל חמץ כיון ששמו עליו קודם שנבלע בכלים הללו בשעת בליעתן איסורא בלעי". ע"כ.</w:t>
      </w:r>
    </w:p>
    <w:p w:rsidR="00BC3AFB" w:rsidRPr="00BC3AFB" w:rsidRDefault="00BC3AFB" w:rsidP="00F146A6">
      <w:pPr>
        <w:pStyle w:val="a3"/>
      </w:pPr>
      <w:r w:rsidRPr="00BC3AFB">
        <w:rPr>
          <w:rtl/>
        </w:rPr>
        <w:t xml:space="preserve">דהיינו דהר"ן ס"ל דההיתר של נ"ט בנ"ט הוא רק שאין ביכולת בטעם קלוש להוות איסור ושם חדש, ומשא"כ בחמץ דשמו עליו תמיד.  </w:t>
      </w:r>
    </w:p>
    <w:p w:rsidR="00BC3AFB" w:rsidRPr="00BC3AFB" w:rsidRDefault="00BC3AFB" w:rsidP="00F146A6">
      <w:pPr>
        <w:pStyle w:val="a3"/>
      </w:pPr>
      <w:r w:rsidRPr="00BC3AFB">
        <w:rPr>
          <w:rtl/>
        </w:rPr>
        <w:t xml:space="preserve"> ד.   וכעת מסתבר לומר שהרא"ש והר"ן לשיטתייהו אזלינן כאן בשיטת רש"י. </w:t>
      </w:r>
    </w:p>
    <w:p w:rsidR="00BC3AFB" w:rsidRPr="00BC3AFB" w:rsidRDefault="00BC3AFB" w:rsidP="00F146A6">
      <w:pPr>
        <w:pStyle w:val="a3"/>
      </w:pPr>
      <w:r w:rsidRPr="00BC3AFB">
        <w:rPr>
          <w:rtl/>
        </w:rPr>
        <w:t>דאם יסוד של ההיתר של נ"ט בנ"ט הוא משום חסרון מציאותי, שאין ביכלתו לעשות מציאות ושם חדשה של האיסור, א"כ מסתבר לומר דכשיש הדין של איסור בנ"ט בנ"ט הוא (מטעם -ההפוך -) משום שיש עדיין במציאותו טעמו של איסור. ולכן מסתבר שהחסרון אצל בישול (דלא אמרינן נט"בנ"ט להיתר,) הוא דיש עדיין ממשו של איסור במציאות - שיש ביכלתו לאסור, ולעשות שם ואיסור חדש.</w:t>
      </w:r>
    </w:p>
    <w:p w:rsidR="00BC3AFB" w:rsidRPr="00BC3AFB" w:rsidRDefault="00BC3AFB" w:rsidP="00F146A6">
      <w:pPr>
        <w:pStyle w:val="a3"/>
      </w:pPr>
      <w:r w:rsidRPr="00BC3AFB">
        <w:rPr>
          <w:rtl/>
        </w:rPr>
        <w:t>וזאת יאמר לשיטת הר"ן. אבל לשיטת הרא"ש שסבר שהחסרון אצל בישול הוא רק מה שגזרו רבנן לאסר, הוה משום דלשיטתו אזלי דיסוד של נ"ט בנ"ט הוא שאין לו דין איסור, ובאמת גם ע"י בשול הוה זה בדין היתר של נ"ט בנ"ט, משום שסו"ס אין זה טעם הבאה מן הממש. ואה"נ מדאורייתא גם ע"י בישול הוה טעם שני המותר מן הדין דנ"ט בנ"ט, רק עשו רבנן גזירה משום הרבוי טעם (טעם שני) שבלע ע"י האש. ולמה ליה ליחדש שיש כאן ממשו של איסור הנפלט ע"י בישול וכו'.</w:t>
      </w:r>
    </w:p>
    <w:p w:rsidR="00BC3AFB" w:rsidRPr="00BC3AFB" w:rsidRDefault="00BC3AFB" w:rsidP="00F146A6">
      <w:pPr>
        <w:pStyle w:val="a3"/>
      </w:pPr>
      <w:r w:rsidRPr="00BC3AFB">
        <w:t xml:space="preserve">  </w:t>
      </w:r>
      <w:r w:rsidRPr="00BC3AFB">
        <w:rPr>
          <w:rtl/>
        </w:rPr>
        <w:t>ה</w:t>
      </w:r>
      <w:r w:rsidRPr="00BC3AFB">
        <w:t>.</w:t>
      </w:r>
      <w:r w:rsidRPr="00BC3AFB">
        <w:rPr>
          <w:rtl/>
        </w:rPr>
        <w:t xml:space="preserve">   וע"פ דברי הרא"ש יש לתרץ קושית הר"ן (ושאר ראשונים) על רש"י -דמשום מה הצריכו גרידה בקישות- הנ"ל, דלפי הרא"ש כל איסורו דצנון הוא משום דגזרו אטו פליטה מרובה הנפלט ונבלע אגב חורפי דצנון, וכן הוא לגבי קישות (דאף שאין בו חריפות כמו בצנון, עדיין בעי גרידה-) דגזרו רבנן ג"כ משום פליטתו הנפלט ע"י דוחקא דסכינא, רק משום דאינם חריפים כ"כ ליבלע טפי כצנון גזרו לאסר רק כדי </w:t>
      </w:r>
      <w:r w:rsidRPr="00BC3AFB">
        <w:rPr>
          <w:rtl/>
        </w:rPr>
        <w:lastRenderedPageBreak/>
        <w:t>גרידה</w:t>
      </w:r>
      <w:r w:rsidRPr="00BC3AFB">
        <w:t>.</w:t>
      </w:r>
      <w:r w:rsidRPr="00BC3AFB">
        <w:rPr>
          <w:vertAlign w:val="superscript"/>
        </w:rPr>
        <w:footnoteReference w:id="165"/>
      </w:r>
      <w:r w:rsidRPr="00BC3AFB">
        <w:t xml:space="preserve"> </w:t>
      </w:r>
    </w:p>
    <w:p w:rsidR="00BC3AFB" w:rsidRPr="00BC3AFB" w:rsidRDefault="00BC3AFB" w:rsidP="00F146A6">
      <w:pPr>
        <w:pStyle w:val="a3"/>
      </w:pPr>
      <w:r>
        <w:rPr>
          <w:rtl/>
        </w:rPr>
        <w:t>וכן משמע בדברי רש"י שם וז"ל "</w:t>
      </w:r>
      <w:r w:rsidRPr="00BC3AFB">
        <w:rPr>
          <w:rtl/>
        </w:rPr>
        <w:t>דמשום דחורפיה</w:t>
      </w:r>
      <w:r w:rsidRPr="00BC3AFB">
        <w:t xml:space="preserve"> </w:t>
      </w:r>
      <w:r w:rsidRPr="00BC3AFB">
        <w:rPr>
          <w:rtl/>
        </w:rPr>
        <w:t>בלע</w:t>
      </w:r>
      <w:r w:rsidRPr="00BC3AFB">
        <w:t xml:space="preserve"> </w:t>
      </w:r>
      <w:r w:rsidRPr="00BC3AFB">
        <w:rPr>
          <w:rtl/>
        </w:rPr>
        <w:t xml:space="preserve">טפי מדגים ברותחים, ואגב דוחקא דסכינא פליט סכינא ובלע צנון". שכל האיסור בצנון הוא משום חריפותו בוליע יותר כמות (ולכן גזרו לאסור), ולא הזכיר אף מילא משום שע"י חריפותו יש ממשו של איסור! וגם משמע דע"י "דוחקא דסכינא" פועל הן פליטת הסכין ובליעת הצנון, רק דבוליע יותר ע"י חריפותו אזי הצנון אסור. אבל גם בקישות פלט ובלע ע"י הסכין, רק לא כ"כ כמו שע"י חריפות הצנון. </w:t>
      </w:r>
    </w:p>
    <w:p w:rsidR="00BC3AFB" w:rsidRPr="00BC3AFB" w:rsidRDefault="00BC3AFB" w:rsidP="00F146A6">
      <w:pPr>
        <w:pStyle w:val="a3"/>
      </w:pPr>
      <w:r w:rsidRPr="00BC3AFB">
        <w:rPr>
          <w:rtl/>
        </w:rPr>
        <w:t>וכל קושיתם היתה רק לשיטתם (הר"ן), דאיסורו בבשול/צנון הוא משום ממשו של איסור הנפלט ע"י חמימות האש/חריפות הצנון, ולכן בקישות דאינם חריפים קשה ליה למה לבעי גרידה, הרי אין כאן ממשו של איסור?</w:t>
      </w:r>
    </w:p>
    <w:p w:rsidR="00BC3AFB" w:rsidRPr="00BC3AFB" w:rsidRDefault="00BC3AFB" w:rsidP="00F146A6">
      <w:pPr>
        <w:pStyle w:val="a3"/>
      </w:pPr>
      <w:r w:rsidRPr="00BC3AFB">
        <w:rPr>
          <w:rtl/>
        </w:rPr>
        <w:t xml:space="preserve">וגם אתי שפיר לפי"ז קושית השני הנ"ל (שהרי גם בלא על האש מבשל כדי קליפה), דע"פ יסוד הנ"ל דכל איסורו של בישול הוה משום טעם שני וכו', רק כשנתבשל ע"י האש נפלט יותר הטעם ולכן גזרו בבישול דוקא. משא"כ בלא אש אה"נ שנתבשל כדי קליפה, אבל אינו נכנס ע"י זה הרבה מן הטעם ואין לגזור בה.   </w:t>
      </w:r>
    </w:p>
    <w:p w:rsidR="00BC3AFB" w:rsidRPr="00BC3AFB" w:rsidRDefault="00BC3AFB" w:rsidP="00F146A6">
      <w:pPr>
        <w:pStyle w:val="a3"/>
      </w:pPr>
      <w:r w:rsidRPr="00BC3AFB">
        <w:rPr>
          <w:rtl/>
        </w:rPr>
        <w:t>ו.   והנה בנוגע סתירא בדברי רש"י עצמו, אולי יש לתרץ שיש איך שלמד רש''י פשט הסוגיא, ויש איך שפסק להלכה (מסברא דנפשי').</w:t>
      </w:r>
    </w:p>
    <w:p w:rsidR="00BC3AFB" w:rsidRPr="00BC3AFB" w:rsidRDefault="00BC3AFB" w:rsidP="00F146A6">
      <w:pPr>
        <w:pStyle w:val="a3"/>
      </w:pPr>
      <w:r w:rsidRPr="00BC3AFB">
        <w:rPr>
          <w:rtl/>
        </w:rPr>
        <w:t>דהיינו עיקר פירושו של רש"י הוא ללמד הפשט הסוגיא כמו שהוא מובן מהסוגיא במקומו</w:t>
      </w:r>
      <w:r w:rsidRPr="00BC3AFB">
        <w:footnoteReference w:id="166"/>
      </w:r>
      <w:r w:rsidRPr="00BC3AFB">
        <w:rPr>
          <w:rtl/>
        </w:rPr>
        <w:t>, ולא לתווך ולפלפל עם מקומות שונות בש"ס, ולא לפסוק הלכה ממנו</w:t>
      </w:r>
      <w:r w:rsidRPr="00BC3AFB">
        <w:rPr>
          <w:vertAlign w:val="superscript"/>
        </w:rPr>
        <w:footnoteReference w:id="167"/>
      </w:r>
      <w:r>
        <w:rPr>
          <w:rFonts w:hint="cs"/>
          <w:rtl/>
        </w:rPr>
        <w:t>.</w:t>
      </w:r>
    </w:p>
    <w:p w:rsidR="00BC3AFB" w:rsidRDefault="00BC3AFB" w:rsidP="00F146A6">
      <w:pPr>
        <w:pStyle w:val="a3"/>
        <w:rPr>
          <w:rtl/>
        </w:rPr>
      </w:pPr>
      <w:r w:rsidRPr="00BC3AFB">
        <w:rPr>
          <w:rtl/>
        </w:rPr>
        <w:t xml:space="preserve">ולכן בלימוד הפשט אינו מוכרח שהעלו דוקא ולא בנתבשלו (-דמשל בעלמא נקט), ולכן מבאר רש"י פשטות הגמ' עם נתבשלו בכדי לתאר בפשטות דיון של הגמ'. אבל לבסוף מביא סברא (דנפשי') דצנון אגב חורפי בלע טפי מדגים רותחים, ולפי זה </w:t>
      </w:r>
      <w:r w:rsidRPr="00BC3AFB">
        <w:rPr>
          <w:rtl/>
        </w:rPr>
        <w:lastRenderedPageBreak/>
        <w:t>כ"ש בבישול ממש דאסור. ולפי סברא זו העיד הריב"ן שכן נהג רש"י להל</w:t>
      </w:r>
      <w:r w:rsidR="004820B2">
        <w:rPr>
          <w:rtl/>
        </w:rPr>
        <w:t>כה לאסר נ"ט בנ"ט בבישול. ועצ"ע.</w:t>
      </w:r>
    </w:p>
    <w:p w:rsidR="004820B2" w:rsidRDefault="004820B2" w:rsidP="004820B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1B37D0" w:rsidRPr="00FA46F9" w:rsidRDefault="001B37D0" w:rsidP="001B37D0">
      <w:pPr>
        <w:pStyle w:val="a0"/>
        <w:bidi w:val="0"/>
        <w:rPr>
          <w:rtl/>
        </w:rPr>
      </w:pPr>
      <w:bookmarkStart w:id="146" w:name="_Toc26492280"/>
      <w:bookmarkStart w:id="147" w:name="_Toc43963114"/>
      <w:r w:rsidRPr="00FA46F9">
        <w:rPr>
          <w:rFonts w:hint="eastAsia"/>
          <w:rtl/>
        </w:rPr>
        <w:t>הערה</w:t>
      </w:r>
      <w:r w:rsidRPr="00FA46F9">
        <w:rPr>
          <w:rtl/>
        </w:rPr>
        <w:t xml:space="preserve"> </w:t>
      </w:r>
      <w:r w:rsidRPr="00FA46F9">
        <w:rPr>
          <w:rFonts w:hint="eastAsia"/>
          <w:rtl/>
        </w:rPr>
        <w:t>בעניין</w:t>
      </w:r>
      <w:r w:rsidRPr="00FA46F9">
        <w:rPr>
          <w:rtl/>
        </w:rPr>
        <w:t xml:space="preserve"> </w:t>
      </w:r>
      <w:r w:rsidRPr="00FA46F9">
        <w:rPr>
          <w:rFonts w:hint="eastAsia"/>
          <w:rtl/>
        </w:rPr>
        <w:t>הגדר</w:t>
      </w:r>
      <w:r w:rsidRPr="00FA46F9">
        <w:rPr>
          <w:rtl/>
        </w:rPr>
        <w:t xml:space="preserve"> </w:t>
      </w:r>
      <w:r w:rsidRPr="00FA46F9">
        <w:rPr>
          <w:rFonts w:hint="eastAsia"/>
          <w:rtl/>
        </w:rPr>
        <w:t>דחיוב</w:t>
      </w:r>
      <w:r w:rsidRPr="00FA46F9">
        <w:rPr>
          <w:rtl/>
        </w:rPr>
        <w:t xml:space="preserve"> </w:t>
      </w:r>
      <w:r w:rsidRPr="00FA46F9">
        <w:rPr>
          <w:rFonts w:hint="eastAsia"/>
          <w:rtl/>
        </w:rPr>
        <w:t>שמירת</w:t>
      </w:r>
      <w:r w:rsidRPr="00FA46F9">
        <w:rPr>
          <w:rtl/>
        </w:rPr>
        <w:t xml:space="preserve"> </w:t>
      </w:r>
      <w:r w:rsidRPr="00FA46F9">
        <w:rPr>
          <w:rFonts w:hint="eastAsia"/>
          <w:rtl/>
        </w:rPr>
        <w:t>גוף</w:t>
      </w:r>
      <w:r w:rsidRPr="00FA46F9">
        <w:rPr>
          <w:rtl/>
        </w:rPr>
        <w:t xml:space="preserve"> </w:t>
      </w:r>
      <w:r w:rsidRPr="00FA46F9">
        <w:rPr>
          <w:rFonts w:hint="eastAsia"/>
          <w:rtl/>
        </w:rPr>
        <w:t>ונפש</w:t>
      </w:r>
      <w:bookmarkEnd w:id="147"/>
    </w:p>
    <w:p w:rsidR="001B37D0" w:rsidRPr="00E853FE" w:rsidRDefault="001B37D0" w:rsidP="001B37D0">
      <w:pPr>
        <w:spacing w:beforeLines="1" w:before="2" w:afterLines="1" w:after="2"/>
        <w:jc w:val="center"/>
        <w:rPr>
          <w:rFonts w:ascii="SR_FontbitDavid" w:hAnsi="SR_FontbitDavid" w:cs="SR_FontbitDavid"/>
          <w:b/>
          <w:bCs/>
          <w:rtl/>
        </w:rPr>
      </w:pPr>
    </w:p>
    <w:p w:rsidR="001B37D0" w:rsidRDefault="001B37D0" w:rsidP="00F146A6">
      <w:pPr>
        <w:pStyle w:val="a"/>
        <w:rPr>
          <w:rtl/>
        </w:rPr>
      </w:pPr>
      <w:bookmarkStart w:id="148" w:name="_Toc43963115"/>
      <w:r w:rsidRPr="00E853FE">
        <w:rPr>
          <w:rFonts w:hint="eastAsia"/>
          <w:rtl/>
        </w:rPr>
        <w:t>הת</w:t>
      </w:r>
      <w:r w:rsidRPr="00E853FE">
        <w:rPr>
          <w:rtl/>
        </w:rPr>
        <w:t xml:space="preserve">' </w:t>
      </w:r>
      <w:r w:rsidRPr="00E853FE">
        <w:rPr>
          <w:rFonts w:hint="eastAsia"/>
          <w:rtl/>
        </w:rPr>
        <w:t>מנחם</w:t>
      </w:r>
      <w:r w:rsidRPr="00E853FE">
        <w:rPr>
          <w:rtl/>
        </w:rPr>
        <w:t xml:space="preserve"> </w:t>
      </w:r>
      <w:r w:rsidRPr="00E853FE">
        <w:rPr>
          <w:rFonts w:hint="eastAsia"/>
          <w:rtl/>
        </w:rPr>
        <w:t>מענדל</w:t>
      </w:r>
      <w:r w:rsidRPr="00E853FE">
        <w:rPr>
          <w:rtl/>
        </w:rPr>
        <w:t xml:space="preserve"> </w:t>
      </w:r>
      <w:r w:rsidRPr="00E853FE">
        <w:rPr>
          <w:rFonts w:hint="eastAsia"/>
          <w:rtl/>
        </w:rPr>
        <w:t>מינצברג</w:t>
      </w:r>
      <w:bookmarkEnd w:id="148"/>
    </w:p>
    <w:p w:rsidR="001B37D0" w:rsidRPr="00C60FEE" w:rsidRDefault="001B37D0" w:rsidP="001B37D0">
      <w:pPr>
        <w:pStyle w:val="a1"/>
        <w:rPr>
          <w:rtl/>
        </w:rPr>
      </w:pPr>
      <w:r>
        <w:rPr>
          <w:rFonts w:hint="cs"/>
          <w:rtl/>
        </w:rPr>
        <w:t xml:space="preserve">ישיבת </w:t>
      </w:r>
      <w:r w:rsidRPr="00C60FEE">
        <w:rPr>
          <w:rFonts w:hint="eastAsia"/>
          <w:rtl/>
        </w:rPr>
        <w:t>תות</w:t>
      </w:r>
      <w:r w:rsidRPr="00C60FEE">
        <w:rPr>
          <w:rtl/>
        </w:rPr>
        <w:t>"</w:t>
      </w:r>
      <w:r w:rsidRPr="00C60FEE">
        <w:rPr>
          <w:rFonts w:hint="eastAsia"/>
          <w:rtl/>
        </w:rPr>
        <w:t>ל</w:t>
      </w:r>
      <w:r>
        <w:rPr>
          <w:rFonts w:hint="cs"/>
          <w:rtl/>
        </w:rPr>
        <w:t xml:space="preserve"> המרכזית -</w:t>
      </w:r>
      <w:r w:rsidRPr="00C60FEE">
        <w:rPr>
          <w:rtl/>
        </w:rPr>
        <w:t xml:space="preserve"> 770</w:t>
      </w:r>
    </w:p>
    <w:p w:rsidR="001B37D0" w:rsidRPr="00E853FE" w:rsidRDefault="001B37D0" w:rsidP="00F146A6">
      <w:pPr>
        <w:pStyle w:val="a3"/>
        <w:rPr>
          <w:rtl/>
        </w:rPr>
      </w:pPr>
      <w:r w:rsidRPr="00E853FE">
        <w:rPr>
          <w:rFonts w:hint="eastAsia"/>
          <w:rtl/>
        </w:rPr>
        <w:t>בכינוס</w:t>
      </w:r>
      <w:r w:rsidRPr="00E853FE">
        <w:rPr>
          <w:rtl/>
        </w:rPr>
        <w:t xml:space="preserve"> </w:t>
      </w:r>
      <w:r w:rsidRPr="00E853FE">
        <w:rPr>
          <w:rFonts w:hint="eastAsia"/>
          <w:rtl/>
        </w:rPr>
        <w:t>תורה</w:t>
      </w:r>
      <w:r w:rsidRPr="00E853FE">
        <w:rPr>
          <w:rtl/>
        </w:rPr>
        <w:t xml:space="preserve"> </w:t>
      </w:r>
      <w:r w:rsidRPr="00E853FE">
        <w:rPr>
          <w:rFonts w:hint="eastAsia"/>
          <w:rtl/>
        </w:rPr>
        <w:t>העולמי</w:t>
      </w:r>
      <w:r w:rsidRPr="00E853FE">
        <w:rPr>
          <w:rtl/>
        </w:rPr>
        <w:t xml:space="preserve"> </w:t>
      </w:r>
      <w:r w:rsidRPr="00E853FE">
        <w:rPr>
          <w:rFonts w:hint="eastAsia"/>
          <w:rtl/>
        </w:rPr>
        <w:t>לתה</w:t>
      </w:r>
      <w:r w:rsidRPr="00E853FE">
        <w:rPr>
          <w:rtl/>
        </w:rPr>
        <w:t>"</w:t>
      </w:r>
      <w:r w:rsidRPr="00E853FE">
        <w:rPr>
          <w:rFonts w:hint="eastAsia"/>
          <w:rtl/>
        </w:rPr>
        <w:t>ת</w:t>
      </w:r>
      <w:r w:rsidRPr="00E853FE">
        <w:rPr>
          <w:rtl/>
        </w:rPr>
        <w:t xml:space="preserve"> </w:t>
      </w:r>
      <w:r w:rsidRPr="00E853FE">
        <w:rPr>
          <w:rFonts w:hint="eastAsia"/>
          <w:rtl/>
        </w:rPr>
        <w:t>שנערך</w:t>
      </w:r>
      <w:r w:rsidRPr="00E853FE">
        <w:rPr>
          <w:rtl/>
        </w:rPr>
        <w:t xml:space="preserve"> </w:t>
      </w:r>
      <w:r w:rsidRPr="00E853FE">
        <w:rPr>
          <w:rFonts w:hint="eastAsia"/>
          <w:rtl/>
        </w:rPr>
        <w:t>באסרו</w:t>
      </w:r>
      <w:r w:rsidRPr="00E853FE">
        <w:rPr>
          <w:rtl/>
        </w:rPr>
        <w:t xml:space="preserve"> </w:t>
      </w:r>
      <w:r w:rsidRPr="00E853FE">
        <w:rPr>
          <w:rFonts w:hint="eastAsia"/>
          <w:rtl/>
        </w:rPr>
        <w:t>חג</w:t>
      </w:r>
      <w:r w:rsidRPr="00E853FE">
        <w:rPr>
          <w:rtl/>
        </w:rPr>
        <w:t xml:space="preserve"> </w:t>
      </w:r>
      <w:r w:rsidRPr="00E853FE">
        <w:rPr>
          <w:rFonts w:hint="eastAsia"/>
          <w:rtl/>
        </w:rPr>
        <w:t>השבועות</w:t>
      </w:r>
      <w:r w:rsidRPr="00E853FE">
        <w:rPr>
          <w:rtl/>
        </w:rPr>
        <w:t xml:space="preserve">, </w:t>
      </w:r>
      <w:r w:rsidRPr="00E853FE">
        <w:rPr>
          <w:rFonts w:hint="eastAsia"/>
          <w:rtl/>
        </w:rPr>
        <w:t>נשא</w:t>
      </w:r>
      <w:r w:rsidRPr="00E853FE">
        <w:rPr>
          <w:rtl/>
        </w:rPr>
        <w:t xml:space="preserve"> </w:t>
      </w:r>
      <w:r w:rsidRPr="00E853FE">
        <w:rPr>
          <w:rFonts w:hint="eastAsia"/>
          <w:rtl/>
        </w:rPr>
        <w:t>דברים</w:t>
      </w:r>
      <w:r w:rsidRPr="00E853FE">
        <w:rPr>
          <w:rtl/>
        </w:rPr>
        <w:t xml:space="preserve"> </w:t>
      </w:r>
      <w:r w:rsidRPr="00E853FE">
        <w:rPr>
          <w:rFonts w:hint="eastAsia"/>
          <w:rtl/>
        </w:rPr>
        <w:t>הגה</w:t>
      </w:r>
      <w:r w:rsidRPr="00E853FE">
        <w:rPr>
          <w:rtl/>
        </w:rPr>
        <w:t>"</w:t>
      </w:r>
      <w:r w:rsidRPr="00E853FE">
        <w:rPr>
          <w:rFonts w:hint="eastAsia"/>
          <w:rtl/>
        </w:rPr>
        <w:t>ח</w:t>
      </w:r>
      <w:r w:rsidRPr="00E853FE">
        <w:rPr>
          <w:rtl/>
        </w:rPr>
        <w:t xml:space="preserve"> </w:t>
      </w:r>
      <w:r w:rsidRPr="00E853FE">
        <w:rPr>
          <w:rFonts w:hint="eastAsia"/>
          <w:rtl/>
        </w:rPr>
        <w:t>ר</w:t>
      </w:r>
      <w:r w:rsidRPr="00E853FE">
        <w:rPr>
          <w:rtl/>
        </w:rPr>
        <w:t xml:space="preserve">' </w:t>
      </w:r>
      <w:r w:rsidRPr="00E853FE">
        <w:rPr>
          <w:rFonts w:hint="eastAsia"/>
          <w:rtl/>
        </w:rPr>
        <w:t>יחיאל</w:t>
      </w:r>
      <w:r w:rsidRPr="00E853FE">
        <w:rPr>
          <w:rtl/>
        </w:rPr>
        <w:t xml:space="preserve"> </w:t>
      </w:r>
      <w:r w:rsidRPr="00E853FE">
        <w:rPr>
          <w:rFonts w:hint="eastAsia"/>
          <w:rtl/>
        </w:rPr>
        <w:t>מנחם</w:t>
      </w:r>
      <w:r w:rsidRPr="00E853FE">
        <w:rPr>
          <w:rtl/>
        </w:rPr>
        <w:t xml:space="preserve"> </w:t>
      </w:r>
      <w:r w:rsidRPr="00E853FE">
        <w:rPr>
          <w:rFonts w:hint="eastAsia"/>
          <w:rtl/>
        </w:rPr>
        <w:t>מענדל</w:t>
      </w:r>
      <w:r w:rsidRPr="00E853FE">
        <w:rPr>
          <w:rtl/>
        </w:rPr>
        <w:t xml:space="preserve"> </w:t>
      </w:r>
      <w:r w:rsidRPr="00E853FE">
        <w:rPr>
          <w:rFonts w:hint="eastAsia"/>
          <w:rtl/>
        </w:rPr>
        <w:t>קלמנסון</w:t>
      </w:r>
      <w:r w:rsidRPr="00E853FE">
        <w:rPr>
          <w:rtl/>
        </w:rPr>
        <w:t xml:space="preserve"> </w:t>
      </w:r>
      <w:r w:rsidRPr="00E853FE">
        <w:rPr>
          <w:rFonts w:hint="eastAsia"/>
          <w:rtl/>
        </w:rPr>
        <w:t>שליט</w:t>
      </w:r>
      <w:r w:rsidRPr="00E853FE">
        <w:rPr>
          <w:rtl/>
        </w:rPr>
        <w:t>"</w:t>
      </w:r>
      <w:r w:rsidRPr="00E853FE">
        <w:rPr>
          <w:rFonts w:hint="eastAsia"/>
          <w:rtl/>
        </w:rPr>
        <w:t>א</w:t>
      </w:r>
      <w:r w:rsidRPr="00E853FE">
        <w:rPr>
          <w:rtl/>
        </w:rPr>
        <w:t xml:space="preserve"> (</w:t>
      </w:r>
      <w:r w:rsidRPr="00E853FE">
        <w:rPr>
          <w:rFonts w:hint="eastAsia"/>
          <w:rtl/>
        </w:rPr>
        <w:t>ר</w:t>
      </w:r>
      <w:r w:rsidRPr="00E853FE">
        <w:rPr>
          <w:rtl/>
        </w:rPr>
        <w:t>"</w:t>
      </w:r>
      <w:r w:rsidRPr="00E853FE">
        <w:rPr>
          <w:rFonts w:hint="eastAsia"/>
          <w:rtl/>
        </w:rPr>
        <w:t>י</w:t>
      </w:r>
      <w:r w:rsidRPr="00E853FE">
        <w:rPr>
          <w:rtl/>
        </w:rPr>
        <w:t xml:space="preserve"> </w:t>
      </w:r>
      <w:r w:rsidRPr="00E853FE">
        <w:rPr>
          <w:rFonts w:hint="eastAsia"/>
          <w:rtl/>
        </w:rPr>
        <w:t>תות</w:t>
      </w:r>
      <w:r w:rsidRPr="00E853FE">
        <w:rPr>
          <w:rtl/>
        </w:rPr>
        <w:t>"</w:t>
      </w:r>
      <w:r w:rsidRPr="00E853FE">
        <w:rPr>
          <w:rFonts w:hint="eastAsia"/>
          <w:rtl/>
        </w:rPr>
        <w:t>ל</w:t>
      </w:r>
      <w:r w:rsidRPr="00E853FE">
        <w:rPr>
          <w:rtl/>
        </w:rPr>
        <w:t xml:space="preserve"> </w:t>
      </w:r>
      <w:r w:rsidRPr="00E853FE">
        <w:rPr>
          <w:rFonts w:hint="eastAsia"/>
          <w:rtl/>
        </w:rPr>
        <w:t>ברינווא</w:t>
      </w:r>
      <w:r w:rsidRPr="00E853FE">
        <w:rPr>
          <w:rtl/>
        </w:rPr>
        <w:t xml:space="preserve">). </w:t>
      </w:r>
      <w:r w:rsidRPr="00E853FE">
        <w:rPr>
          <w:rFonts w:hint="eastAsia"/>
          <w:rtl/>
        </w:rPr>
        <w:t>בדבריו</w:t>
      </w:r>
      <w:r w:rsidRPr="00E853FE">
        <w:rPr>
          <w:rtl/>
        </w:rPr>
        <w:t xml:space="preserve"> </w:t>
      </w:r>
      <w:r w:rsidRPr="00E853FE">
        <w:rPr>
          <w:rFonts w:hint="eastAsia"/>
          <w:rtl/>
        </w:rPr>
        <w:t>עמד</w:t>
      </w:r>
      <w:r w:rsidRPr="00E853FE">
        <w:rPr>
          <w:rtl/>
        </w:rPr>
        <w:t xml:space="preserve"> </w:t>
      </w:r>
      <w:r w:rsidRPr="00E853FE">
        <w:rPr>
          <w:rFonts w:hint="eastAsia"/>
          <w:rtl/>
        </w:rPr>
        <w:t>הרב</w:t>
      </w:r>
      <w:r w:rsidRPr="00E853FE">
        <w:rPr>
          <w:rtl/>
        </w:rPr>
        <w:t xml:space="preserve"> </w:t>
      </w:r>
      <w:r w:rsidRPr="00E853FE">
        <w:rPr>
          <w:rFonts w:hint="eastAsia"/>
          <w:rtl/>
        </w:rPr>
        <w:t>קלמנסון</w:t>
      </w:r>
      <w:r w:rsidRPr="00E853FE">
        <w:rPr>
          <w:rtl/>
        </w:rPr>
        <w:t xml:space="preserve"> (</w:t>
      </w:r>
      <w:r w:rsidRPr="00E853FE">
        <w:rPr>
          <w:rFonts w:hint="eastAsia"/>
          <w:rtl/>
        </w:rPr>
        <w:t>בין</w:t>
      </w:r>
      <w:r w:rsidRPr="00E853FE">
        <w:rPr>
          <w:rtl/>
        </w:rPr>
        <w:t xml:space="preserve"> </w:t>
      </w:r>
      <w:r w:rsidRPr="00E853FE">
        <w:rPr>
          <w:rFonts w:hint="eastAsia"/>
          <w:rtl/>
        </w:rPr>
        <w:t>השאר</w:t>
      </w:r>
      <w:r w:rsidRPr="00E853FE">
        <w:rPr>
          <w:rtl/>
        </w:rPr>
        <w:t xml:space="preserve">) </w:t>
      </w:r>
      <w:r w:rsidRPr="00E853FE">
        <w:rPr>
          <w:rFonts w:hint="eastAsia"/>
          <w:rtl/>
        </w:rPr>
        <w:t>על</w:t>
      </w:r>
      <w:r w:rsidRPr="00E853FE">
        <w:rPr>
          <w:rtl/>
        </w:rPr>
        <w:t xml:space="preserve"> </w:t>
      </w:r>
      <w:r w:rsidRPr="00E853FE">
        <w:rPr>
          <w:rFonts w:hint="eastAsia"/>
          <w:rtl/>
        </w:rPr>
        <w:t>השינוי</w:t>
      </w:r>
      <w:r w:rsidRPr="00E853FE">
        <w:rPr>
          <w:rtl/>
        </w:rPr>
        <w:t xml:space="preserve"> </w:t>
      </w:r>
      <w:r w:rsidRPr="00E853FE">
        <w:rPr>
          <w:rFonts w:hint="eastAsia"/>
          <w:rtl/>
        </w:rPr>
        <w:t>בהכותרת</w:t>
      </w:r>
      <w:r w:rsidRPr="00E853FE">
        <w:rPr>
          <w:rtl/>
        </w:rPr>
        <w:t xml:space="preserve"> </w:t>
      </w:r>
      <w:r w:rsidRPr="00E853FE">
        <w:rPr>
          <w:rFonts w:hint="eastAsia"/>
          <w:rtl/>
        </w:rPr>
        <w:t>להלכות</w:t>
      </w:r>
      <w:r w:rsidRPr="00E853FE">
        <w:rPr>
          <w:rtl/>
        </w:rPr>
        <w:t xml:space="preserve"> </w:t>
      </w:r>
      <w:r w:rsidRPr="00E853FE">
        <w:rPr>
          <w:rFonts w:hint="eastAsia"/>
          <w:rtl/>
        </w:rPr>
        <w:t>שמירת</w:t>
      </w:r>
      <w:r w:rsidRPr="00E853FE">
        <w:rPr>
          <w:rtl/>
        </w:rPr>
        <w:t xml:space="preserve"> </w:t>
      </w:r>
      <w:r w:rsidRPr="00E853FE">
        <w:rPr>
          <w:rFonts w:hint="eastAsia"/>
          <w:rtl/>
        </w:rPr>
        <w:t>הנפש</w:t>
      </w:r>
      <w:r w:rsidRPr="00E853FE">
        <w:rPr>
          <w:rtl/>
        </w:rPr>
        <w:t xml:space="preserve"> </w:t>
      </w:r>
      <w:r w:rsidRPr="00E853FE">
        <w:rPr>
          <w:rFonts w:hint="eastAsia"/>
          <w:rtl/>
        </w:rPr>
        <w:t>בין</w:t>
      </w:r>
      <w:r w:rsidRPr="00E853FE">
        <w:rPr>
          <w:rtl/>
        </w:rPr>
        <w:t xml:space="preserve"> </w:t>
      </w:r>
      <w:r w:rsidRPr="00E853FE">
        <w:rPr>
          <w:rFonts w:hint="eastAsia"/>
          <w:rtl/>
        </w:rPr>
        <w:t>לשונו</w:t>
      </w:r>
      <w:r w:rsidRPr="00E853FE">
        <w:rPr>
          <w:rtl/>
        </w:rPr>
        <w:t xml:space="preserve"> </w:t>
      </w:r>
      <w:r w:rsidRPr="00E853FE">
        <w:rPr>
          <w:rFonts w:hint="eastAsia"/>
          <w:rtl/>
        </w:rPr>
        <w:t>של</w:t>
      </w:r>
      <w:r w:rsidRPr="00E853FE">
        <w:rPr>
          <w:rtl/>
        </w:rPr>
        <w:t xml:space="preserve"> </w:t>
      </w:r>
      <w:r w:rsidRPr="00E853FE">
        <w:rPr>
          <w:rFonts w:hint="eastAsia"/>
          <w:rtl/>
        </w:rPr>
        <w:t>הרמב</w:t>
      </w:r>
      <w:r w:rsidRPr="00E853FE">
        <w:rPr>
          <w:rtl/>
        </w:rPr>
        <w:t>"</w:t>
      </w:r>
      <w:r w:rsidRPr="00E853FE">
        <w:rPr>
          <w:rFonts w:hint="eastAsia"/>
          <w:rtl/>
        </w:rPr>
        <w:t>ם</w:t>
      </w:r>
      <w:r w:rsidRPr="00E853FE">
        <w:rPr>
          <w:rtl/>
        </w:rPr>
        <w:t xml:space="preserve"> </w:t>
      </w:r>
      <w:r w:rsidRPr="00E853FE">
        <w:rPr>
          <w:rFonts w:hint="eastAsia"/>
          <w:rtl/>
        </w:rPr>
        <w:t>במשנה</w:t>
      </w:r>
      <w:r w:rsidRPr="00E853FE">
        <w:rPr>
          <w:rtl/>
        </w:rPr>
        <w:t xml:space="preserve"> </w:t>
      </w:r>
      <w:r w:rsidRPr="00E853FE">
        <w:rPr>
          <w:rFonts w:hint="eastAsia"/>
          <w:rtl/>
        </w:rPr>
        <w:t>תורה</w:t>
      </w:r>
      <w:r w:rsidRPr="00E853FE">
        <w:rPr>
          <w:rtl/>
        </w:rPr>
        <w:t xml:space="preserve"> (</w:t>
      </w:r>
      <w:r w:rsidRPr="00E853FE">
        <w:rPr>
          <w:rFonts w:hint="eastAsia"/>
          <w:rtl/>
        </w:rPr>
        <w:t>נוסח</w:t>
      </w:r>
      <w:r w:rsidRPr="00E853FE">
        <w:rPr>
          <w:rtl/>
        </w:rPr>
        <w:t xml:space="preserve"> </w:t>
      </w:r>
      <w:r w:rsidRPr="00E853FE">
        <w:rPr>
          <w:rFonts w:hint="eastAsia"/>
          <w:rtl/>
        </w:rPr>
        <w:t>אשר</w:t>
      </w:r>
      <w:r w:rsidRPr="00E853FE">
        <w:rPr>
          <w:rtl/>
        </w:rPr>
        <w:t xml:space="preserve"> </w:t>
      </w:r>
      <w:r w:rsidRPr="00E853FE">
        <w:rPr>
          <w:rFonts w:hint="eastAsia"/>
          <w:rtl/>
        </w:rPr>
        <w:t>הובא</w:t>
      </w:r>
      <w:r w:rsidRPr="00E853FE">
        <w:rPr>
          <w:rtl/>
        </w:rPr>
        <w:t xml:space="preserve"> </w:t>
      </w:r>
      <w:r w:rsidRPr="00E853FE">
        <w:rPr>
          <w:rFonts w:hint="eastAsia"/>
          <w:rtl/>
        </w:rPr>
        <w:t>אף</w:t>
      </w:r>
      <w:r w:rsidRPr="00E853FE">
        <w:rPr>
          <w:rtl/>
        </w:rPr>
        <w:t xml:space="preserve"> </w:t>
      </w:r>
      <w:r w:rsidRPr="00E853FE">
        <w:rPr>
          <w:rFonts w:hint="eastAsia"/>
          <w:rtl/>
        </w:rPr>
        <w:t>בשו</w:t>
      </w:r>
      <w:r w:rsidRPr="00E853FE">
        <w:rPr>
          <w:rtl/>
        </w:rPr>
        <w:t>"</w:t>
      </w:r>
      <w:r w:rsidRPr="00E853FE">
        <w:rPr>
          <w:rFonts w:hint="eastAsia"/>
          <w:rtl/>
        </w:rPr>
        <w:t>ע</w:t>
      </w:r>
      <w:r w:rsidRPr="00E853FE">
        <w:rPr>
          <w:rtl/>
        </w:rPr>
        <w:t xml:space="preserve">), </w:t>
      </w:r>
      <w:r w:rsidRPr="00E853FE">
        <w:rPr>
          <w:rFonts w:hint="eastAsia"/>
          <w:rtl/>
        </w:rPr>
        <w:t>לבין</w:t>
      </w:r>
      <w:r w:rsidRPr="00E853FE">
        <w:rPr>
          <w:rtl/>
        </w:rPr>
        <w:t xml:space="preserve"> </w:t>
      </w:r>
      <w:r w:rsidRPr="00E853FE">
        <w:rPr>
          <w:rFonts w:hint="eastAsia"/>
          <w:rtl/>
        </w:rPr>
        <w:t>לשון</w:t>
      </w:r>
      <w:r w:rsidRPr="00E853FE">
        <w:rPr>
          <w:rtl/>
        </w:rPr>
        <w:t xml:space="preserve"> </w:t>
      </w:r>
      <w:r w:rsidRPr="00E853FE">
        <w:rPr>
          <w:rFonts w:hint="eastAsia"/>
          <w:rtl/>
        </w:rPr>
        <w:t>אדה</w:t>
      </w:r>
      <w:r w:rsidRPr="00E853FE">
        <w:rPr>
          <w:rtl/>
        </w:rPr>
        <w:t>"</w:t>
      </w:r>
      <w:r w:rsidRPr="00E853FE">
        <w:rPr>
          <w:rFonts w:hint="eastAsia"/>
          <w:rtl/>
        </w:rPr>
        <w:t>ז</w:t>
      </w:r>
      <w:r w:rsidRPr="00E853FE">
        <w:rPr>
          <w:rtl/>
        </w:rPr>
        <w:t xml:space="preserve"> </w:t>
      </w:r>
      <w:r w:rsidRPr="00E853FE">
        <w:rPr>
          <w:rFonts w:hint="eastAsia"/>
          <w:rtl/>
        </w:rPr>
        <w:t>בשו</w:t>
      </w:r>
      <w:r w:rsidRPr="00E853FE">
        <w:rPr>
          <w:rtl/>
        </w:rPr>
        <w:t>"</w:t>
      </w:r>
      <w:r w:rsidRPr="00E853FE">
        <w:rPr>
          <w:rFonts w:hint="eastAsia"/>
          <w:rtl/>
        </w:rPr>
        <w:t>ע</w:t>
      </w:r>
      <w:r w:rsidRPr="00E853FE">
        <w:rPr>
          <w:rtl/>
        </w:rPr>
        <w:t xml:space="preserve"> </w:t>
      </w:r>
      <w:r w:rsidRPr="00E853FE">
        <w:rPr>
          <w:rFonts w:hint="eastAsia"/>
          <w:rtl/>
        </w:rPr>
        <w:t>שלו</w:t>
      </w:r>
      <w:r w:rsidRPr="00E853FE">
        <w:rPr>
          <w:rtl/>
        </w:rPr>
        <w:t xml:space="preserve">. </w:t>
      </w:r>
      <w:r w:rsidRPr="00E853FE">
        <w:rPr>
          <w:rFonts w:hint="eastAsia"/>
          <w:rtl/>
        </w:rPr>
        <w:t>דהרמב</w:t>
      </w:r>
      <w:r w:rsidRPr="00E853FE">
        <w:rPr>
          <w:rtl/>
        </w:rPr>
        <w:t>"</w:t>
      </w:r>
      <w:r w:rsidRPr="00E853FE">
        <w:rPr>
          <w:rFonts w:hint="eastAsia"/>
          <w:rtl/>
        </w:rPr>
        <w:t>ם</w:t>
      </w:r>
      <w:r w:rsidRPr="00E853FE">
        <w:rPr>
          <w:rtl/>
        </w:rPr>
        <w:t xml:space="preserve"> </w:t>
      </w:r>
      <w:r w:rsidRPr="00E853FE">
        <w:rPr>
          <w:rFonts w:hint="eastAsia"/>
          <w:rtl/>
        </w:rPr>
        <w:t>כתב</w:t>
      </w:r>
      <w:r w:rsidRPr="00E853FE">
        <w:rPr>
          <w:rtl/>
        </w:rPr>
        <w:t xml:space="preserve"> "</w:t>
      </w:r>
      <w:r w:rsidRPr="00E853FE">
        <w:rPr>
          <w:rFonts w:hint="eastAsia"/>
          <w:rtl/>
        </w:rPr>
        <w:t>הלכות</w:t>
      </w:r>
      <w:r w:rsidRPr="00E853FE">
        <w:rPr>
          <w:rtl/>
        </w:rPr>
        <w:t xml:space="preserve"> (</w:t>
      </w:r>
      <w:r w:rsidRPr="00E853FE">
        <w:rPr>
          <w:rFonts w:hint="eastAsia"/>
          <w:rtl/>
        </w:rPr>
        <w:t>רוצח</w:t>
      </w:r>
      <w:r w:rsidRPr="00E853FE">
        <w:rPr>
          <w:rtl/>
        </w:rPr>
        <w:t xml:space="preserve"> </w:t>
      </w:r>
      <w:r w:rsidRPr="00E853FE">
        <w:rPr>
          <w:rFonts w:hint="eastAsia"/>
          <w:rtl/>
        </w:rPr>
        <w:t>ו</w:t>
      </w:r>
      <w:r w:rsidRPr="00E853FE">
        <w:rPr>
          <w:rtl/>
        </w:rPr>
        <w:t>)</w:t>
      </w:r>
      <w:r w:rsidRPr="00E853FE">
        <w:rPr>
          <w:rFonts w:hint="eastAsia"/>
          <w:rtl/>
        </w:rPr>
        <w:t>שמירת</w:t>
      </w:r>
      <w:r w:rsidRPr="00E853FE">
        <w:rPr>
          <w:rtl/>
        </w:rPr>
        <w:t xml:space="preserve"> </w:t>
      </w:r>
      <w:r w:rsidRPr="00BE716B">
        <w:rPr>
          <w:rFonts w:hint="eastAsia"/>
          <w:b/>
          <w:bCs/>
          <w:rtl/>
        </w:rPr>
        <w:t>נפש</w:t>
      </w:r>
      <w:r w:rsidRPr="00E853FE">
        <w:rPr>
          <w:rtl/>
        </w:rPr>
        <w:t xml:space="preserve">", </w:t>
      </w:r>
      <w:r w:rsidRPr="00E853FE">
        <w:rPr>
          <w:rFonts w:hint="eastAsia"/>
          <w:rtl/>
        </w:rPr>
        <w:t>והאדה</w:t>
      </w:r>
      <w:r w:rsidRPr="00E853FE">
        <w:rPr>
          <w:rtl/>
        </w:rPr>
        <w:t>"</w:t>
      </w:r>
      <w:r w:rsidRPr="00E853FE">
        <w:rPr>
          <w:rFonts w:hint="eastAsia"/>
          <w:rtl/>
        </w:rPr>
        <w:t>ז</w:t>
      </w:r>
      <w:r w:rsidRPr="00E853FE">
        <w:rPr>
          <w:rtl/>
        </w:rPr>
        <w:t xml:space="preserve"> </w:t>
      </w:r>
      <w:r w:rsidRPr="00E853FE">
        <w:rPr>
          <w:rFonts w:hint="eastAsia"/>
          <w:rtl/>
        </w:rPr>
        <w:t>שינה</w:t>
      </w:r>
      <w:r w:rsidRPr="00E853FE">
        <w:rPr>
          <w:rtl/>
        </w:rPr>
        <w:t xml:space="preserve"> </w:t>
      </w:r>
      <w:r w:rsidRPr="00BE716B">
        <w:rPr>
          <w:rFonts w:hint="eastAsia"/>
          <w:b/>
          <w:bCs/>
          <w:rtl/>
        </w:rPr>
        <w:t>והוסיף</w:t>
      </w:r>
      <w:r w:rsidRPr="00E853FE">
        <w:rPr>
          <w:rtl/>
        </w:rPr>
        <w:t xml:space="preserve"> "</w:t>
      </w:r>
      <w:r w:rsidRPr="00E853FE">
        <w:rPr>
          <w:rFonts w:hint="eastAsia"/>
          <w:rtl/>
        </w:rPr>
        <w:t>הלכות</w:t>
      </w:r>
      <w:r w:rsidRPr="00E853FE">
        <w:rPr>
          <w:rtl/>
        </w:rPr>
        <w:t xml:space="preserve"> </w:t>
      </w:r>
      <w:r w:rsidRPr="00E853FE">
        <w:rPr>
          <w:rFonts w:hint="eastAsia"/>
          <w:rtl/>
        </w:rPr>
        <w:t>שמירת</w:t>
      </w:r>
      <w:r w:rsidRPr="00E853FE">
        <w:rPr>
          <w:rtl/>
        </w:rPr>
        <w:t xml:space="preserve"> </w:t>
      </w:r>
      <w:r w:rsidRPr="00E853FE">
        <w:rPr>
          <w:rFonts w:hint="eastAsia"/>
          <w:b/>
          <w:bCs/>
          <w:rtl/>
        </w:rPr>
        <w:t>גוף</w:t>
      </w:r>
      <w:r w:rsidRPr="00E853FE">
        <w:rPr>
          <w:rtl/>
        </w:rPr>
        <w:t xml:space="preserve"> </w:t>
      </w:r>
      <w:r w:rsidRPr="00E853FE">
        <w:rPr>
          <w:rFonts w:hint="eastAsia"/>
          <w:rtl/>
        </w:rPr>
        <w:t>ונפש</w:t>
      </w:r>
      <w:r w:rsidRPr="00E853FE">
        <w:rPr>
          <w:rtl/>
        </w:rPr>
        <w:t>".</w:t>
      </w:r>
    </w:p>
    <w:p w:rsidR="001B37D0" w:rsidRPr="00E853FE" w:rsidRDefault="001B37D0" w:rsidP="00F146A6">
      <w:pPr>
        <w:pStyle w:val="a3"/>
        <w:rPr>
          <w:rtl/>
        </w:rPr>
      </w:pPr>
      <w:r w:rsidRPr="00E853FE">
        <w:rPr>
          <w:rFonts w:hint="eastAsia"/>
          <w:rtl/>
        </w:rPr>
        <w:t>ובביאור</w:t>
      </w:r>
      <w:r w:rsidRPr="00E853FE">
        <w:rPr>
          <w:rtl/>
        </w:rPr>
        <w:t xml:space="preserve"> </w:t>
      </w:r>
      <w:r w:rsidRPr="00E853FE">
        <w:rPr>
          <w:rFonts w:hint="eastAsia"/>
          <w:rtl/>
        </w:rPr>
        <w:t>העניין</w:t>
      </w:r>
      <w:r w:rsidRPr="00E853FE">
        <w:rPr>
          <w:rtl/>
        </w:rPr>
        <w:t xml:space="preserve"> </w:t>
      </w:r>
      <w:r w:rsidRPr="00E853FE">
        <w:rPr>
          <w:rFonts w:hint="eastAsia"/>
          <w:rtl/>
        </w:rPr>
        <w:t>ייסד</w:t>
      </w:r>
      <w:r w:rsidRPr="00E853FE">
        <w:rPr>
          <w:rtl/>
        </w:rPr>
        <w:t xml:space="preserve"> </w:t>
      </w:r>
      <w:r w:rsidRPr="00E853FE">
        <w:rPr>
          <w:rFonts w:hint="eastAsia"/>
          <w:rtl/>
        </w:rPr>
        <w:t>הרב</w:t>
      </w:r>
      <w:r w:rsidRPr="00E853FE">
        <w:rPr>
          <w:rtl/>
        </w:rPr>
        <w:t xml:space="preserve"> </w:t>
      </w:r>
      <w:r w:rsidRPr="00E853FE">
        <w:rPr>
          <w:rFonts w:hint="eastAsia"/>
          <w:rtl/>
        </w:rPr>
        <w:t>קלמנסון</w:t>
      </w:r>
      <w:r w:rsidRPr="00E853FE">
        <w:rPr>
          <w:rtl/>
        </w:rPr>
        <w:t xml:space="preserve"> </w:t>
      </w:r>
      <w:r w:rsidRPr="00E853FE">
        <w:rPr>
          <w:rFonts w:hint="eastAsia"/>
          <w:rtl/>
        </w:rPr>
        <w:t>דנחלקו</w:t>
      </w:r>
      <w:r w:rsidRPr="00E853FE">
        <w:rPr>
          <w:rtl/>
        </w:rPr>
        <w:t xml:space="preserve"> </w:t>
      </w:r>
      <w:r w:rsidRPr="00E853FE">
        <w:rPr>
          <w:rFonts w:hint="eastAsia"/>
          <w:rtl/>
        </w:rPr>
        <w:t>הרמב</w:t>
      </w:r>
      <w:r w:rsidRPr="00E853FE">
        <w:rPr>
          <w:rtl/>
        </w:rPr>
        <w:t>"</w:t>
      </w:r>
      <w:r w:rsidRPr="00E853FE">
        <w:rPr>
          <w:rFonts w:hint="eastAsia"/>
          <w:rtl/>
        </w:rPr>
        <w:t>ם</w:t>
      </w:r>
      <w:r w:rsidRPr="00E853FE">
        <w:rPr>
          <w:rtl/>
        </w:rPr>
        <w:t xml:space="preserve"> </w:t>
      </w:r>
      <w:r w:rsidRPr="00E853FE">
        <w:rPr>
          <w:rFonts w:hint="eastAsia"/>
          <w:rtl/>
        </w:rPr>
        <w:t>והאדה</w:t>
      </w:r>
      <w:r w:rsidRPr="00E853FE">
        <w:rPr>
          <w:rtl/>
        </w:rPr>
        <w:t>"</w:t>
      </w:r>
      <w:r w:rsidRPr="00E853FE">
        <w:rPr>
          <w:rFonts w:hint="eastAsia"/>
          <w:rtl/>
        </w:rPr>
        <w:t>ז</w:t>
      </w:r>
      <w:r w:rsidRPr="00E853FE">
        <w:rPr>
          <w:rtl/>
        </w:rPr>
        <w:t xml:space="preserve"> </w:t>
      </w:r>
      <w:r w:rsidRPr="00E853FE">
        <w:rPr>
          <w:rFonts w:hint="eastAsia"/>
          <w:rtl/>
        </w:rPr>
        <w:t>האם</w:t>
      </w:r>
      <w:r w:rsidRPr="00E853FE">
        <w:rPr>
          <w:rtl/>
        </w:rPr>
        <w:t xml:space="preserve"> </w:t>
      </w:r>
      <w:r w:rsidRPr="00E853FE">
        <w:rPr>
          <w:rFonts w:hint="eastAsia"/>
          <w:rtl/>
        </w:rPr>
        <w:t>החיוב</w:t>
      </w:r>
      <w:r w:rsidRPr="00E853FE">
        <w:rPr>
          <w:rtl/>
        </w:rPr>
        <w:t xml:space="preserve"> </w:t>
      </w:r>
      <w:r w:rsidRPr="00E853FE">
        <w:rPr>
          <w:rFonts w:hint="eastAsia"/>
          <w:rtl/>
        </w:rPr>
        <w:t>לשמור</w:t>
      </w:r>
      <w:r w:rsidRPr="00E853FE">
        <w:rPr>
          <w:rtl/>
        </w:rPr>
        <w:t xml:space="preserve"> </w:t>
      </w:r>
      <w:r w:rsidRPr="00E853FE">
        <w:rPr>
          <w:rFonts w:hint="eastAsia"/>
          <w:rtl/>
        </w:rPr>
        <w:t>על</w:t>
      </w:r>
      <w:r w:rsidRPr="00E853FE">
        <w:rPr>
          <w:rtl/>
        </w:rPr>
        <w:t xml:space="preserve"> </w:t>
      </w:r>
      <w:r w:rsidRPr="00E853FE">
        <w:rPr>
          <w:rFonts w:hint="eastAsia"/>
          <w:rtl/>
        </w:rPr>
        <w:t>הגוף</w:t>
      </w:r>
      <w:r w:rsidRPr="00E853FE">
        <w:rPr>
          <w:rtl/>
        </w:rPr>
        <w:t xml:space="preserve"> </w:t>
      </w:r>
      <w:r w:rsidRPr="00E853FE">
        <w:rPr>
          <w:rFonts w:hint="eastAsia"/>
          <w:rtl/>
        </w:rPr>
        <w:t>הוא</w:t>
      </w:r>
      <w:r w:rsidRPr="00E853FE">
        <w:rPr>
          <w:rtl/>
        </w:rPr>
        <w:t xml:space="preserve"> </w:t>
      </w:r>
      <w:r w:rsidRPr="00E853FE">
        <w:rPr>
          <w:rFonts w:hint="eastAsia"/>
          <w:rtl/>
        </w:rPr>
        <w:t>מצד</w:t>
      </w:r>
      <w:r w:rsidRPr="00E853FE">
        <w:rPr>
          <w:rtl/>
        </w:rPr>
        <w:t xml:space="preserve"> </w:t>
      </w:r>
      <w:r w:rsidRPr="00E853FE">
        <w:rPr>
          <w:rFonts w:hint="eastAsia"/>
          <w:rtl/>
        </w:rPr>
        <w:t>החפצא</w:t>
      </w:r>
      <w:r w:rsidRPr="00E853FE">
        <w:rPr>
          <w:rtl/>
        </w:rPr>
        <w:t xml:space="preserve"> </w:t>
      </w:r>
      <w:r w:rsidRPr="00E853FE">
        <w:rPr>
          <w:rFonts w:hint="eastAsia"/>
          <w:rtl/>
        </w:rPr>
        <w:t>דהגוף</w:t>
      </w:r>
      <w:r w:rsidRPr="00E853FE">
        <w:rPr>
          <w:rtl/>
        </w:rPr>
        <w:t xml:space="preserve"> </w:t>
      </w:r>
      <w:r w:rsidRPr="00E853FE">
        <w:rPr>
          <w:rFonts w:hint="eastAsia"/>
          <w:rtl/>
        </w:rPr>
        <w:t>עצמו</w:t>
      </w:r>
      <w:r w:rsidRPr="00E853FE">
        <w:rPr>
          <w:rtl/>
        </w:rPr>
        <w:t xml:space="preserve"> </w:t>
      </w:r>
      <w:r w:rsidRPr="00E853FE">
        <w:rPr>
          <w:rFonts w:hint="eastAsia"/>
          <w:rtl/>
        </w:rPr>
        <w:t>או</w:t>
      </w:r>
      <w:r w:rsidRPr="00E853FE">
        <w:rPr>
          <w:rtl/>
        </w:rPr>
        <w:t xml:space="preserve"> </w:t>
      </w:r>
      <w:r w:rsidRPr="00E853FE">
        <w:rPr>
          <w:rFonts w:hint="eastAsia"/>
          <w:rtl/>
        </w:rPr>
        <w:t>דלמא</w:t>
      </w:r>
      <w:r w:rsidRPr="00E853FE">
        <w:rPr>
          <w:rtl/>
        </w:rPr>
        <w:t xml:space="preserve"> </w:t>
      </w:r>
      <w:r w:rsidRPr="00E853FE">
        <w:rPr>
          <w:rFonts w:hint="eastAsia"/>
          <w:rtl/>
        </w:rPr>
        <w:t>החיוב</w:t>
      </w:r>
      <w:r w:rsidRPr="00E853FE">
        <w:rPr>
          <w:rtl/>
        </w:rPr>
        <w:t xml:space="preserve"> </w:t>
      </w:r>
      <w:r w:rsidRPr="00E853FE">
        <w:rPr>
          <w:rFonts w:hint="eastAsia"/>
          <w:rtl/>
        </w:rPr>
        <w:t>הוא</w:t>
      </w:r>
      <w:r w:rsidRPr="00E853FE">
        <w:rPr>
          <w:rtl/>
        </w:rPr>
        <w:t xml:space="preserve"> </w:t>
      </w:r>
      <w:r w:rsidRPr="00E853FE">
        <w:rPr>
          <w:rFonts w:hint="eastAsia"/>
          <w:rtl/>
        </w:rPr>
        <w:t>לשמור</w:t>
      </w:r>
      <w:r w:rsidRPr="00E853FE">
        <w:rPr>
          <w:rtl/>
        </w:rPr>
        <w:t xml:space="preserve"> </w:t>
      </w:r>
      <w:r w:rsidRPr="00E853FE">
        <w:rPr>
          <w:rFonts w:hint="eastAsia"/>
          <w:rtl/>
        </w:rPr>
        <w:t>על</w:t>
      </w:r>
      <w:r w:rsidRPr="00E853FE">
        <w:rPr>
          <w:rtl/>
        </w:rPr>
        <w:t xml:space="preserve"> </w:t>
      </w:r>
      <w:r w:rsidRPr="00E853FE">
        <w:rPr>
          <w:rFonts w:hint="eastAsia"/>
          <w:rtl/>
        </w:rPr>
        <w:t>הנפש</w:t>
      </w:r>
      <w:r w:rsidRPr="00E853FE">
        <w:rPr>
          <w:rtl/>
        </w:rPr>
        <w:t xml:space="preserve"> </w:t>
      </w:r>
      <w:r w:rsidRPr="00E853FE">
        <w:rPr>
          <w:rFonts w:hint="eastAsia"/>
          <w:rtl/>
        </w:rPr>
        <w:t>ומזה</w:t>
      </w:r>
      <w:r w:rsidRPr="00E853FE">
        <w:rPr>
          <w:rtl/>
        </w:rPr>
        <w:t xml:space="preserve"> </w:t>
      </w:r>
      <w:r w:rsidRPr="00E853FE">
        <w:rPr>
          <w:rFonts w:hint="eastAsia"/>
          <w:rtl/>
        </w:rPr>
        <w:t>משתלשל</w:t>
      </w:r>
      <w:r w:rsidRPr="00E853FE">
        <w:rPr>
          <w:rtl/>
        </w:rPr>
        <w:t xml:space="preserve"> </w:t>
      </w:r>
      <w:r w:rsidRPr="00E853FE">
        <w:rPr>
          <w:rFonts w:hint="eastAsia"/>
          <w:rtl/>
        </w:rPr>
        <w:t>חיוב</w:t>
      </w:r>
      <w:r w:rsidRPr="00E853FE">
        <w:rPr>
          <w:rtl/>
        </w:rPr>
        <w:t xml:space="preserve"> </w:t>
      </w:r>
      <w:r w:rsidRPr="00E853FE">
        <w:rPr>
          <w:rFonts w:hint="eastAsia"/>
          <w:rtl/>
        </w:rPr>
        <w:t>שמירה</w:t>
      </w:r>
      <w:r w:rsidRPr="00E853FE">
        <w:rPr>
          <w:rtl/>
        </w:rPr>
        <w:t xml:space="preserve"> </w:t>
      </w:r>
      <w:r w:rsidRPr="00E853FE">
        <w:rPr>
          <w:rFonts w:hint="eastAsia"/>
          <w:rtl/>
        </w:rPr>
        <w:t>על</w:t>
      </w:r>
      <w:r w:rsidRPr="00E853FE">
        <w:rPr>
          <w:rtl/>
        </w:rPr>
        <w:t xml:space="preserve"> </w:t>
      </w:r>
      <w:r w:rsidRPr="00E853FE">
        <w:rPr>
          <w:rFonts w:hint="eastAsia"/>
          <w:rtl/>
        </w:rPr>
        <w:t>הגוף</w:t>
      </w:r>
      <w:r w:rsidRPr="00E853FE">
        <w:rPr>
          <w:rtl/>
        </w:rPr>
        <w:t xml:space="preserve"> </w:t>
      </w:r>
      <w:r w:rsidRPr="00E853FE">
        <w:rPr>
          <w:rFonts w:hint="eastAsia"/>
          <w:rtl/>
        </w:rPr>
        <w:t>דזהו</w:t>
      </w:r>
      <w:r w:rsidRPr="00E853FE">
        <w:rPr>
          <w:rtl/>
        </w:rPr>
        <w:t xml:space="preserve"> </w:t>
      </w:r>
      <w:r w:rsidRPr="00E853FE">
        <w:rPr>
          <w:rFonts w:hint="eastAsia"/>
          <w:rtl/>
        </w:rPr>
        <w:t>ההיכי</w:t>
      </w:r>
      <w:r w:rsidRPr="00E853FE">
        <w:rPr>
          <w:rtl/>
        </w:rPr>
        <w:t xml:space="preserve"> </w:t>
      </w:r>
      <w:r w:rsidRPr="00E853FE">
        <w:rPr>
          <w:rFonts w:hint="eastAsia"/>
          <w:rtl/>
        </w:rPr>
        <w:t>תמצי</w:t>
      </w:r>
      <w:r w:rsidRPr="00E853FE">
        <w:rPr>
          <w:rtl/>
        </w:rPr>
        <w:t xml:space="preserve"> </w:t>
      </w:r>
      <w:r w:rsidRPr="00E853FE">
        <w:rPr>
          <w:rFonts w:hint="eastAsia"/>
          <w:rtl/>
        </w:rPr>
        <w:t>לשמירת</w:t>
      </w:r>
      <w:r w:rsidRPr="00E853FE">
        <w:rPr>
          <w:rtl/>
        </w:rPr>
        <w:t xml:space="preserve"> </w:t>
      </w:r>
      <w:r w:rsidRPr="00E853FE">
        <w:rPr>
          <w:rFonts w:hint="eastAsia"/>
          <w:rtl/>
        </w:rPr>
        <w:t>הנפש</w:t>
      </w:r>
      <w:r w:rsidRPr="00E853FE">
        <w:rPr>
          <w:rtl/>
        </w:rPr>
        <w:t xml:space="preserve"> (</w:t>
      </w:r>
      <w:r w:rsidRPr="00E853FE">
        <w:rPr>
          <w:rFonts w:hint="eastAsia"/>
          <w:rtl/>
        </w:rPr>
        <w:t>היינו</w:t>
      </w:r>
      <w:r w:rsidRPr="00E853FE">
        <w:rPr>
          <w:rtl/>
        </w:rPr>
        <w:t xml:space="preserve"> </w:t>
      </w:r>
      <w:r w:rsidRPr="00E853FE">
        <w:rPr>
          <w:rFonts w:hint="eastAsia"/>
          <w:rtl/>
        </w:rPr>
        <w:t>בשביל</w:t>
      </w:r>
      <w:r w:rsidRPr="00E853FE">
        <w:rPr>
          <w:rtl/>
        </w:rPr>
        <w:t xml:space="preserve"> </w:t>
      </w:r>
      <w:r w:rsidRPr="00E853FE">
        <w:rPr>
          <w:rFonts w:hint="eastAsia"/>
          <w:rtl/>
        </w:rPr>
        <w:t>שהנפש</w:t>
      </w:r>
      <w:r w:rsidRPr="00E853FE">
        <w:rPr>
          <w:rtl/>
        </w:rPr>
        <w:t xml:space="preserve"> </w:t>
      </w:r>
      <w:r w:rsidRPr="00E853FE">
        <w:rPr>
          <w:rFonts w:hint="eastAsia"/>
          <w:rtl/>
        </w:rPr>
        <w:t>תמשיך</w:t>
      </w:r>
      <w:r w:rsidRPr="00E853FE">
        <w:rPr>
          <w:rtl/>
        </w:rPr>
        <w:t xml:space="preserve"> </w:t>
      </w:r>
      <w:r w:rsidRPr="00E853FE">
        <w:rPr>
          <w:rFonts w:hint="eastAsia"/>
          <w:rtl/>
        </w:rPr>
        <w:t>להתקשר</w:t>
      </w:r>
      <w:r w:rsidRPr="00E853FE">
        <w:rPr>
          <w:rtl/>
        </w:rPr>
        <w:t xml:space="preserve"> </w:t>
      </w:r>
      <w:r w:rsidRPr="00E853FE">
        <w:rPr>
          <w:rFonts w:hint="eastAsia"/>
          <w:rtl/>
        </w:rPr>
        <w:t>ולהיות</w:t>
      </w:r>
      <w:r w:rsidRPr="00E853FE">
        <w:rPr>
          <w:rtl/>
        </w:rPr>
        <w:t xml:space="preserve"> </w:t>
      </w:r>
      <w:r w:rsidRPr="00E853FE">
        <w:rPr>
          <w:rFonts w:hint="eastAsia"/>
          <w:rtl/>
        </w:rPr>
        <w:t>מלובשת</w:t>
      </w:r>
      <w:r w:rsidRPr="00E853FE">
        <w:rPr>
          <w:rtl/>
        </w:rPr>
        <w:t xml:space="preserve"> </w:t>
      </w:r>
      <w:r w:rsidRPr="00E853FE">
        <w:rPr>
          <w:rFonts w:hint="eastAsia"/>
          <w:rtl/>
        </w:rPr>
        <w:t>ונוכחת</w:t>
      </w:r>
      <w:r w:rsidRPr="00E853FE">
        <w:rPr>
          <w:rtl/>
        </w:rPr>
        <w:t xml:space="preserve"> </w:t>
      </w:r>
      <w:r w:rsidRPr="00E853FE">
        <w:rPr>
          <w:rFonts w:hint="eastAsia"/>
          <w:rtl/>
        </w:rPr>
        <w:t>בגוף</w:t>
      </w:r>
      <w:r w:rsidRPr="00E853FE">
        <w:rPr>
          <w:rtl/>
        </w:rPr>
        <w:t xml:space="preserve">) </w:t>
      </w:r>
      <w:r w:rsidRPr="00E853FE">
        <w:rPr>
          <w:rFonts w:hint="eastAsia"/>
          <w:rtl/>
        </w:rPr>
        <w:t>דהרי</w:t>
      </w:r>
      <w:r w:rsidRPr="00E853FE">
        <w:rPr>
          <w:rtl/>
        </w:rPr>
        <w:t xml:space="preserve"> </w:t>
      </w:r>
      <w:r w:rsidRPr="00E853FE">
        <w:rPr>
          <w:rFonts w:hint="eastAsia"/>
          <w:rtl/>
        </w:rPr>
        <w:t>הגוף</w:t>
      </w:r>
      <w:r w:rsidRPr="00E853FE">
        <w:rPr>
          <w:rtl/>
        </w:rPr>
        <w:t xml:space="preserve"> </w:t>
      </w:r>
      <w:r w:rsidRPr="00E853FE">
        <w:rPr>
          <w:rFonts w:hint="eastAsia"/>
          <w:rtl/>
        </w:rPr>
        <w:t>הוא</w:t>
      </w:r>
      <w:r w:rsidRPr="00E853FE">
        <w:rPr>
          <w:rtl/>
        </w:rPr>
        <w:t xml:space="preserve"> </w:t>
      </w:r>
      <w:r w:rsidRPr="00E853FE">
        <w:rPr>
          <w:rFonts w:hint="eastAsia"/>
          <w:rtl/>
        </w:rPr>
        <w:t>הכלי</w:t>
      </w:r>
      <w:r w:rsidRPr="00E853FE">
        <w:rPr>
          <w:rtl/>
        </w:rPr>
        <w:t xml:space="preserve"> </w:t>
      </w:r>
      <w:r w:rsidRPr="00E853FE">
        <w:rPr>
          <w:rFonts w:hint="eastAsia"/>
          <w:rtl/>
        </w:rPr>
        <w:t>להנפש</w:t>
      </w:r>
      <w:r w:rsidRPr="00E853FE">
        <w:rPr>
          <w:rtl/>
        </w:rPr>
        <w:t xml:space="preserve"> </w:t>
      </w:r>
      <w:r w:rsidRPr="00E853FE">
        <w:rPr>
          <w:rFonts w:hint="eastAsia"/>
          <w:rtl/>
        </w:rPr>
        <w:t>ובשביל</w:t>
      </w:r>
      <w:r w:rsidRPr="00E853FE">
        <w:rPr>
          <w:rtl/>
        </w:rPr>
        <w:t xml:space="preserve"> </w:t>
      </w:r>
      <w:r w:rsidRPr="00E853FE">
        <w:rPr>
          <w:rFonts w:hint="eastAsia"/>
          <w:rtl/>
        </w:rPr>
        <w:t>שהנפש</w:t>
      </w:r>
      <w:r w:rsidRPr="00E853FE">
        <w:rPr>
          <w:rtl/>
        </w:rPr>
        <w:t xml:space="preserve"> </w:t>
      </w:r>
      <w:r w:rsidRPr="00E853FE">
        <w:rPr>
          <w:rFonts w:hint="eastAsia"/>
          <w:rtl/>
        </w:rPr>
        <w:t>תוכל</w:t>
      </w:r>
      <w:r w:rsidRPr="00E853FE">
        <w:rPr>
          <w:rtl/>
        </w:rPr>
        <w:t xml:space="preserve"> </w:t>
      </w:r>
      <w:r w:rsidRPr="00E853FE">
        <w:rPr>
          <w:rFonts w:hint="eastAsia"/>
          <w:rtl/>
        </w:rPr>
        <w:t>להימשך</w:t>
      </w:r>
      <w:r w:rsidRPr="00E853FE">
        <w:rPr>
          <w:rtl/>
        </w:rPr>
        <w:t xml:space="preserve"> </w:t>
      </w:r>
      <w:r w:rsidRPr="00E853FE">
        <w:rPr>
          <w:rFonts w:hint="eastAsia"/>
          <w:rtl/>
        </w:rPr>
        <w:t>ולהתקיים</w:t>
      </w:r>
      <w:r w:rsidRPr="00E853FE">
        <w:rPr>
          <w:rtl/>
        </w:rPr>
        <w:t xml:space="preserve"> </w:t>
      </w:r>
      <w:r w:rsidRPr="00E853FE">
        <w:rPr>
          <w:rFonts w:hint="eastAsia"/>
          <w:rtl/>
        </w:rPr>
        <w:t>בו</w:t>
      </w:r>
      <w:r w:rsidRPr="00E853FE">
        <w:rPr>
          <w:rtl/>
        </w:rPr>
        <w:t xml:space="preserve"> </w:t>
      </w:r>
      <w:r w:rsidRPr="00E853FE">
        <w:rPr>
          <w:rFonts w:hint="eastAsia"/>
          <w:rtl/>
        </w:rPr>
        <w:t>צריך</w:t>
      </w:r>
      <w:r w:rsidRPr="00E853FE">
        <w:rPr>
          <w:rtl/>
        </w:rPr>
        <w:t xml:space="preserve"> </w:t>
      </w:r>
      <w:r w:rsidRPr="00E853FE">
        <w:rPr>
          <w:rFonts w:hint="eastAsia"/>
          <w:rtl/>
        </w:rPr>
        <w:t>הגוף</w:t>
      </w:r>
      <w:r w:rsidRPr="00E853FE">
        <w:rPr>
          <w:rtl/>
        </w:rPr>
        <w:t xml:space="preserve"> </w:t>
      </w:r>
      <w:r w:rsidRPr="00E853FE">
        <w:rPr>
          <w:rFonts w:hint="eastAsia"/>
          <w:rtl/>
        </w:rPr>
        <w:t>להיות</w:t>
      </w:r>
      <w:r w:rsidRPr="00E853FE">
        <w:rPr>
          <w:rtl/>
        </w:rPr>
        <w:t xml:space="preserve"> </w:t>
      </w:r>
      <w:r w:rsidRPr="00E853FE">
        <w:rPr>
          <w:rFonts w:hint="eastAsia"/>
          <w:rtl/>
        </w:rPr>
        <w:t>בריא</w:t>
      </w:r>
      <w:r w:rsidRPr="00E853FE">
        <w:rPr>
          <w:rtl/>
        </w:rPr>
        <w:t xml:space="preserve"> </w:t>
      </w:r>
      <w:r w:rsidRPr="00E853FE">
        <w:rPr>
          <w:rFonts w:hint="eastAsia"/>
          <w:rtl/>
        </w:rPr>
        <w:t>ושלם</w:t>
      </w:r>
      <w:r w:rsidRPr="00E853FE">
        <w:rPr>
          <w:rtl/>
        </w:rPr>
        <w:t>.</w:t>
      </w:r>
    </w:p>
    <w:p w:rsidR="001B37D0" w:rsidRPr="00E853FE" w:rsidRDefault="001B37D0" w:rsidP="00F146A6">
      <w:pPr>
        <w:pStyle w:val="a3"/>
        <w:rPr>
          <w:rtl/>
        </w:rPr>
      </w:pPr>
      <w:r w:rsidRPr="00E853FE">
        <w:rPr>
          <w:rFonts w:hint="eastAsia"/>
          <w:rtl/>
        </w:rPr>
        <w:t>וזהו</w:t>
      </w:r>
      <w:r w:rsidRPr="00E853FE">
        <w:rPr>
          <w:rtl/>
        </w:rPr>
        <w:t xml:space="preserve"> </w:t>
      </w:r>
      <w:r w:rsidRPr="00E853FE">
        <w:rPr>
          <w:rFonts w:hint="eastAsia"/>
          <w:rtl/>
        </w:rPr>
        <w:t>טעם</w:t>
      </w:r>
      <w:r w:rsidRPr="00E853FE">
        <w:rPr>
          <w:rtl/>
        </w:rPr>
        <w:t xml:space="preserve"> </w:t>
      </w:r>
      <w:r w:rsidRPr="00E853FE">
        <w:rPr>
          <w:rFonts w:hint="eastAsia"/>
          <w:rtl/>
        </w:rPr>
        <w:t>השינוי</w:t>
      </w:r>
      <w:r w:rsidRPr="00E853FE">
        <w:rPr>
          <w:rtl/>
        </w:rPr>
        <w:t xml:space="preserve"> </w:t>
      </w:r>
      <w:r w:rsidRPr="00E853FE">
        <w:rPr>
          <w:rFonts w:hint="eastAsia"/>
          <w:rtl/>
        </w:rPr>
        <w:t>בהנוסח</w:t>
      </w:r>
      <w:r w:rsidRPr="00E853FE">
        <w:rPr>
          <w:rtl/>
        </w:rPr>
        <w:t xml:space="preserve"> </w:t>
      </w:r>
      <w:r w:rsidRPr="00E853FE">
        <w:rPr>
          <w:rFonts w:hint="eastAsia"/>
          <w:rtl/>
        </w:rPr>
        <w:t>בין</w:t>
      </w:r>
      <w:r w:rsidRPr="00E853FE">
        <w:rPr>
          <w:rtl/>
        </w:rPr>
        <w:t xml:space="preserve"> </w:t>
      </w:r>
      <w:r w:rsidRPr="00E853FE">
        <w:rPr>
          <w:rFonts w:hint="eastAsia"/>
          <w:rtl/>
        </w:rPr>
        <w:t>הרמב</w:t>
      </w:r>
      <w:r w:rsidRPr="00E853FE">
        <w:rPr>
          <w:rtl/>
        </w:rPr>
        <w:t>"</w:t>
      </w:r>
      <w:r w:rsidRPr="00E853FE">
        <w:rPr>
          <w:rFonts w:hint="eastAsia"/>
          <w:rtl/>
        </w:rPr>
        <w:t>ם</w:t>
      </w:r>
      <w:r w:rsidRPr="00E853FE">
        <w:rPr>
          <w:rtl/>
        </w:rPr>
        <w:t xml:space="preserve"> </w:t>
      </w:r>
      <w:r w:rsidRPr="00E853FE">
        <w:rPr>
          <w:rFonts w:hint="eastAsia"/>
          <w:rtl/>
        </w:rPr>
        <w:t>שכתב</w:t>
      </w:r>
      <w:r w:rsidRPr="00E853FE">
        <w:rPr>
          <w:rtl/>
        </w:rPr>
        <w:t xml:space="preserve"> "</w:t>
      </w:r>
      <w:r w:rsidRPr="00E853FE">
        <w:rPr>
          <w:rFonts w:hint="eastAsia"/>
          <w:rtl/>
        </w:rPr>
        <w:t>הלכות</w:t>
      </w:r>
      <w:r w:rsidRPr="00E853FE">
        <w:rPr>
          <w:rtl/>
        </w:rPr>
        <w:t xml:space="preserve"> (</w:t>
      </w:r>
      <w:r w:rsidRPr="00E853FE">
        <w:rPr>
          <w:rFonts w:hint="eastAsia"/>
          <w:rtl/>
        </w:rPr>
        <w:t>רוצח</w:t>
      </w:r>
      <w:r w:rsidRPr="00E853FE">
        <w:rPr>
          <w:rtl/>
        </w:rPr>
        <w:t xml:space="preserve"> </w:t>
      </w:r>
      <w:r w:rsidRPr="00E853FE">
        <w:rPr>
          <w:rFonts w:hint="eastAsia"/>
          <w:rtl/>
        </w:rPr>
        <w:t>ו</w:t>
      </w:r>
      <w:r w:rsidRPr="00E853FE">
        <w:rPr>
          <w:rtl/>
        </w:rPr>
        <w:t>)</w:t>
      </w:r>
      <w:r w:rsidRPr="00E853FE">
        <w:rPr>
          <w:rFonts w:hint="eastAsia"/>
          <w:rtl/>
        </w:rPr>
        <w:t>שמירת</w:t>
      </w:r>
      <w:r w:rsidRPr="00E853FE">
        <w:rPr>
          <w:rtl/>
        </w:rPr>
        <w:t xml:space="preserve"> </w:t>
      </w:r>
      <w:r w:rsidRPr="00E853FE">
        <w:rPr>
          <w:rFonts w:hint="eastAsia"/>
          <w:rtl/>
        </w:rPr>
        <w:t>נפש</w:t>
      </w:r>
      <w:r w:rsidRPr="00E853FE">
        <w:rPr>
          <w:rtl/>
        </w:rPr>
        <w:t xml:space="preserve">" </w:t>
      </w:r>
      <w:r w:rsidRPr="00E853FE">
        <w:rPr>
          <w:rFonts w:hint="eastAsia"/>
          <w:rtl/>
        </w:rPr>
        <w:t>לבין</w:t>
      </w:r>
      <w:r w:rsidRPr="00E853FE">
        <w:rPr>
          <w:rtl/>
        </w:rPr>
        <w:t xml:space="preserve"> </w:t>
      </w:r>
      <w:r w:rsidRPr="00E853FE">
        <w:rPr>
          <w:rFonts w:hint="eastAsia"/>
          <w:rtl/>
        </w:rPr>
        <w:t>האדה</w:t>
      </w:r>
      <w:r w:rsidRPr="00E853FE">
        <w:rPr>
          <w:rtl/>
        </w:rPr>
        <w:t>"</w:t>
      </w:r>
      <w:r w:rsidRPr="00E853FE">
        <w:rPr>
          <w:rFonts w:hint="eastAsia"/>
          <w:rtl/>
        </w:rPr>
        <w:t>ז</w:t>
      </w:r>
      <w:r w:rsidRPr="00E853FE">
        <w:rPr>
          <w:rtl/>
        </w:rPr>
        <w:t xml:space="preserve"> </w:t>
      </w:r>
      <w:r w:rsidRPr="00E853FE">
        <w:rPr>
          <w:rFonts w:hint="eastAsia"/>
          <w:rtl/>
        </w:rPr>
        <w:t>שהוסיף</w:t>
      </w:r>
      <w:r w:rsidRPr="00E853FE">
        <w:rPr>
          <w:rtl/>
        </w:rPr>
        <w:t xml:space="preserve"> "</w:t>
      </w:r>
      <w:r w:rsidRPr="00E853FE">
        <w:rPr>
          <w:rFonts w:hint="eastAsia"/>
          <w:rtl/>
        </w:rPr>
        <w:t>שמירת</w:t>
      </w:r>
      <w:r w:rsidRPr="00E853FE">
        <w:rPr>
          <w:rtl/>
        </w:rPr>
        <w:t xml:space="preserve"> </w:t>
      </w:r>
      <w:r w:rsidRPr="00E853FE">
        <w:rPr>
          <w:rFonts w:hint="eastAsia"/>
          <w:rtl/>
        </w:rPr>
        <w:t>גוף</w:t>
      </w:r>
      <w:r w:rsidRPr="00E853FE">
        <w:rPr>
          <w:rtl/>
        </w:rPr>
        <w:t xml:space="preserve"> </w:t>
      </w:r>
      <w:r w:rsidRPr="00E853FE">
        <w:rPr>
          <w:rFonts w:hint="eastAsia"/>
          <w:rtl/>
        </w:rPr>
        <w:t>ונפש</w:t>
      </w:r>
      <w:r w:rsidRPr="00E853FE">
        <w:rPr>
          <w:rtl/>
        </w:rPr>
        <w:t xml:space="preserve">", </w:t>
      </w:r>
      <w:r w:rsidRPr="00E853FE">
        <w:rPr>
          <w:rFonts w:hint="eastAsia"/>
          <w:rtl/>
        </w:rPr>
        <w:t>דלהרמב</w:t>
      </w:r>
      <w:r w:rsidRPr="00E853FE">
        <w:rPr>
          <w:rtl/>
        </w:rPr>
        <w:t>"</w:t>
      </w:r>
      <w:r w:rsidRPr="00E853FE">
        <w:rPr>
          <w:rFonts w:hint="eastAsia"/>
          <w:rtl/>
        </w:rPr>
        <w:t>ם</w:t>
      </w:r>
      <w:r w:rsidRPr="00E853FE">
        <w:rPr>
          <w:rtl/>
        </w:rPr>
        <w:t xml:space="preserve"> </w:t>
      </w:r>
      <w:r w:rsidRPr="00E853FE">
        <w:rPr>
          <w:rFonts w:hint="eastAsia"/>
          <w:rtl/>
        </w:rPr>
        <w:t>ישנו</w:t>
      </w:r>
      <w:r w:rsidRPr="00E853FE">
        <w:rPr>
          <w:rtl/>
        </w:rPr>
        <w:t xml:space="preserve"> </w:t>
      </w:r>
      <w:r w:rsidRPr="00E853FE">
        <w:rPr>
          <w:rFonts w:hint="eastAsia"/>
          <w:rtl/>
        </w:rPr>
        <w:t>חיוב</w:t>
      </w:r>
      <w:r w:rsidRPr="00E853FE">
        <w:rPr>
          <w:rtl/>
        </w:rPr>
        <w:t xml:space="preserve"> </w:t>
      </w:r>
      <w:r w:rsidRPr="00E853FE">
        <w:rPr>
          <w:rFonts w:hint="eastAsia"/>
          <w:rtl/>
        </w:rPr>
        <w:t>שמירה</w:t>
      </w:r>
      <w:r w:rsidRPr="00E853FE">
        <w:rPr>
          <w:rtl/>
        </w:rPr>
        <w:t xml:space="preserve"> </w:t>
      </w:r>
      <w:r w:rsidRPr="00E853FE">
        <w:rPr>
          <w:rFonts w:hint="eastAsia"/>
          <w:rtl/>
        </w:rPr>
        <w:t>רק</w:t>
      </w:r>
      <w:r w:rsidRPr="00E853FE">
        <w:rPr>
          <w:rtl/>
        </w:rPr>
        <w:t xml:space="preserve"> </w:t>
      </w:r>
      <w:r w:rsidRPr="00E853FE">
        <w:rPr>
          <w:rFonts w:hint="eastAsia"/>
          <w:rtl/>
        </w:rPr>
        <w:t>על</w:t>
      </w:r>
      <w:r w:rsidRPr="00E853FE">
        <w:rPr>
          <w:rtl/>
        </w:rPr>
        <w:t xml:space="preserve"> </w:t>
      </w:r>
      <w:r w:rsidRPr="00E853FE">
        <w:rPr>
          <w:rFonts w:hint="eastAsia"/>
          <w:rtl/>
        </w:rPr>
        <w:t>הנפש</w:t>
      </w:r>
      <w:r w:rsidRPr="00E853FE">
        <w:rPr>
          <w:rtl/>
        </w:rPr>
        <w:t xml:space="preserve">, </w:t>
      </w:r>
      <w:r w:rsidRPr="00E853FE">
        <w:rPr>
          <w:rFonts w:hint="eastAsia"/>
          <w:rtl/>
        </w:rPr>
        <w:t>ומזה</w:t>
      </w:r>
      <w:r w:rsidRPr="00E853FE">
        <w:rPr>
          <w:rtl/>
        </w:rPr>
        <w:t xml:space="preserve"> </w:t>
      </w:r>
      <w:r w:rsidRPr="00E853FE">
        <w:rPr>
          <w:rFonts w:hint="eastAsia"/>
          <w:rtl/>
        </w:rPr>
        <w:t>משתלשל</w:t>
      </w:r>
      <w:r w:rsidRPr="00E853FE">
        <w:rPr>
          <w:rtl/>
        </w:rPr>
        <w:t xml:space="preserve"> </w:t>
      </w:r>
      <w:r w:rsidRPr="00E853FE">
        <w:rPr>
          <w:rFonts w:hint="eastAsia"/>
          <w:rtl/>
        </w:rPr>
        <w:t>החיוב</w:t>
      </w:r>
      <w:r w:rsidRPr="00E853FE">
        <w:rPr>
          <w:rtl/>
        </w:rPr>
        <w:t xml:space="preserve"> </w:t>
      </w:r>
      <w:r w:rsidRPr="00E853FE">
        <w:rPr>
          <w:rFonts w:hint="eastAsia"/>
          <w:rtl/>
        </w:rPr>
        <w:t>לשמור</w:t>
      </w:r>
      <w:r w:rsidRPr="00E853FE">
        <w:rPr>
          <w:rtl/>
        </w:rPr>
        <w:t xml:space="preserve"> </w:t>
      </w:r>
      <w:r w:rsidRPr="00E853FE">
        <w:rPr>
          <w:rFonts w:hint="eastAsia"/>
          <w:rtl/>
        </w:rPr>
        <w:t>אף</w:t>
      </w:r>
      <w:r w:rsidRPr="00E853FE">
        <w:rPr>
          <w:rtl/>
        </w:rPr>
        <w:t xml:space="preserve"> </w:t>
      </w:r>
      <w:r w:rsidRPr="00E853FE">
        <w:rPr>
          <w:rFonts w:hint="eastAsia"/>
          <w:rtl/>
        </w:rPr>
        <w:t>על</w:t>
      </w:r>
      <w:r w:rsidRPr="00E853FE">
        <w:rPr>
          <w:rtl/>
        </w:rPr>
        <w:t xml:space="preserve"> </w:t>
      </w:r>
      <w:r w:rsidRPr="00E853FE">
        <w:rPr>
          <w:rFonts w:hint="eastAsia"/>
          <w:rtl/>
        </w:rPr>
        <w:t>גופו</w:t>
      </w:r>
      <w:r w:rsidRPr="00E853FE">
        <w:rPr>
          <w:rtl/>
        </w:rPr>
        <w:t xml:space="preserve"> </w:t>
      </w:r>
      <w:r w:rsidRPr="00E853FE">
        <w:rPr>
          <w:rFonts w:hint="eastAsia"/>
          <w:rtl/>
        </w:rPr>
        <w:t>דזהו</w:t>
      </w:r>
      <w:r w:rsidRPr="00E853FE">
        <w:rPr>
          <w:rtl/>
        </w:rPr>
        <w:t xml:space="preserve"> </w:t>
      </w:r>
      <w:r w:rsidRPr="00E853FE">
        <w:rPr>
          <w:rFonts w:hint="eastAsia"/>
          <w:rtl/>
        </w:rPr>
        <w:t>ההיכי</w:t>
      </w:r>
      <w:r w:rsidRPr="00E853FE">
        <w:rPr>
          <w:rtl/>
        </w:rPr>
        <w:t xml:space="preserve"> </w:t>
      </w:r>
      <w:r w:rsidRPr="00E853FE">
        <w:rPr>
          <w:rFonts w:hint="eastAsia"/>
          <w:rtl/>
        </w:rPr>
        <w:t>תמצי</w:t>
      </w:r>
      <w:r w:rsidRPr="00E853FE">
        <w:rPr>
          <w:rtl/>
        </w:rPr>
        <w:t xml:space="preserve"> </w:t>
      </w:r>
      <w:r w:rsidRPr="00E853FE">
        <w:rPr>
          <w:rFonts w:hint="eastAsia"/>
          <w:rtl/>
        </w:rPr>
        <w:t>וההכשר</w:t>
      </w:r>
      <w:r w:rsidRPr="00E853FE">
        <w:rPr>
          <w:rtl/>
        </w:rPr>
        <w:t xml:space="preserve"> </w:t>
      </w:r>
      <w:r w:rsidRPr="00E853FE">
        <w:rPr>
          <w:rFonts w:hint="eastAsia"/>
          <w:rtl/>
        </w:rPr>
        <w:t>לשמור</w:t>
      </w:r>
      <w:r w:rsidRPr="00E853FE">
        <w:rPr>
          <w:rtl/>
        </w:rPr>
        <w:t xml:space="preserve"> </w:t>
      </w:r>
      <w:r w:rsidRPr="00E853FE">
        <w:rPr>
          <w:rFonts w:hint="eastAsia"/>
          <w:rtl/>
        </w:rPr>
        <w:t>את</w:t>
      </w:r>
      <w:r w:rsidRPr="00E853FE">
        <w:rPr>
          <w:rtl/>
        </w:rPr>
        <w:t xml:space="preserve"> </w:t>
      </w:r>
      <w:r w:rsidRPr="00E853FE">
        <w:rPr>
          <w:rFonts w:hint="eastAsia"/>
          <w:rtl/>
        </w:rPr>
        <w:t>נפשו</w:t>
      </w:r>
      <w:r w:rsidRPr="00E853FE">
        <w:rPr>
          <w:rtl/>
        </w:rPr>
        <w:t xml:space="preserve"> </w:t>
      </w:r>
      <w:r w:rsidRPr="00E853FE">
        <w:rPr>
          <w:rFonts w:hint="eastAsia"/>
          <w:rtl/>
        </w:rPr>
        <w:t>שתלויה</w:t>
      </w:r>
      <w:r w:rsidRPr="00E853FE">
        <w:rPr>
          <w:rtl/>
        </w:rPr>
        <w:t xml:space="preserve"> </w:t>
      </w:r>
      <w:r w:rsidRPr="00E853FE">
        <w:rPr>
          <w:rFonts w:hint="eastAsia"/>
          <w:rtl/>
        </w:rPr>
        <w:t>בתוקף</w:t>
      </w:r>
      <w:r w:rsidRPr="00E853FE">
        <w:rPr>
          <w:rtl/>
        </w:rPr>
        <w:t xml:space="preserve"> </w:t>
      </w:r>
      <w:r w:rsidRPr="00E853FE">
        <w:rPr>
          <w:rFonts w:hint="eastAsia"/>
          <w:rtl/>
        </w:rPr>
        <w:t>בריאות</w:t>
      </w:r>
      <w:r w:rsidRPr="00E853FE">
        <w:rPr>
          <w:rtl/>
        </w:rPr>
        <w:t xml:space="preserve"> </w:t>
      </w:r>
      <w:r w:rsidRPr="00E853FE">
        <w:rPr>
          <w:rFonts w:hint="eastAsia"/>
          <w:rtl/>
        </w:rPr>
        <w:t>הגוף</w:t>
      </w:r>
      <w:r w:rsidRPr="00E853FE">
        <w:rPr>
          <w:rtl/>
        </w:rPr>
        <w:t xml:space="preserve">, </w:t>
      </w:r>
      <w:r w:rsidRPr="00E853FE">
        <w:rPr>
          <w:rFonts w:hint="eastAsia"/>
          <w:rtl/>
        </w:rPr>
        <w:t>אבל</w:t>
      </w:r>
      <w:r w:rsidRPr="00E853FE">
        <w:rPr>
          <w:rtl/>
        </w:rPr>
        <w:t xml:space="preserve"> </w:t>
      </w:r>
      <w:r w:rsidRPr="00E853FE">
        <w:rPr>
          <w:rFonts w:hint="eastAsia"/>
          <w:rtl/>
        </w:rPr>
        <w:t>אין</w:t>
      </w:r>
      <w:r w:rsidRPr="00E853FE">
        <w:rPr>
          <w:rtl/>
        </w:rPr>
        <w:t xml:space="preserve"> </w:t>
      </w:r>
      <w:r w:rsidRPr="00E853FE">
        <w:rPr>
          <w:rFonts w:hint="eastAsia"/>
          <w:rtl/>
        </w:rPr>
        <w:t>חיוב</w:t>
      </w:r>
      <w:r w:rsidRPr="00E853FE">
        <w:rPr>
          <w:rtl/>
        </w:rPr>
        <w:t xml:space="preserve"> </w:t>
      </w:r>
      <w:r w:rsidRPr="00E853FE">
        <w:rPr>
          <w:rFonts w:hint="eastAsia"/>
          <w:rtl/>
        </w:rPr>
        <w:t>לשמור</w:t>
      </w:r>
      <w:r w:rsidRPr="00E853FE">
        <w:rPr>
          <w:rtl/>
        </w:rPr>
        <w:t xml:space="preserve"> </w:t>
      </w:r>
      <w:r w:rsidRPr="00E853FE">
        <w:rPr>
          <w:rFonts w:hint="eastAsia"/>
          <w:rtl/>
        </w:rPr>
        <w:t>על</w:t>
      </w:r>
      <w:r w:rsidRPr="00E853FE">
        <w:rPr>
          <w:rtl/>
        </w:rPr>
        <w:t xml:space="preserve"> </w:t>
      </w:r>
      <w:r w:rsidRPr="00E853FE">
        <w:rPr>
          <w:rFonts w:hint="eastAsia"/>
          <w:rtl/>
        </w:rPr>
        <w:t>הגוף</w:t>
      </w:r>
      <w:r w:rsidRPr="00E853FE">
        <w:rPr>
          <w:rtl/>
        </w:rPr>
        <w:t xml:space="preserve"> </w:t>
      </w:r>
      <w:r w:rsidRPr="00E853FE">
        <w:rPr>
          <w:rFonts w:hint="eastAsia"/>
          <w:rtl/>
        </w:rPr>
        <w:t>מצ</w:t>
      </w:r>
      <w:r w:rsidRPr="00E853FE">
        <w:rPr>
          <w:rtl/>
        </w:rPr>
        <w:t>"</w:t>
      </w:r>
      <w:r w:rsidRPr="00E853FE">
        <w:rPr>
          <w:rFonts w:hint="eastAsia"/>
          <w:rtl/>
        </w:rPr>
        <w:t>ע</w:t>
      </w:r>
      <w:r w:rsidRPr="00E853FE">
        <w:rPr>
          <w:rtl/>
        </w:rPr>
        <w:t xml:space="preserve">, </w:t>
      </w:r>
      <w:r w:rsidRPr="00E853FE">
        <w:rPr>
          <w:rFonts w:hint="eastAsia"/>
          <w:rtl/>
        </w:rPr>
        <w:t>משא</w:t>
      </w:r>
      <w:r w:rsidRPr="00E853FE">
        <w:rPr>
          <w:rtl/>
        </w:rPr>
        <w:t>"</w:t>
      </w:r>
      <w:r w:rsidRPr="00E853FE">
        <w:rPr>
          <w:rFonts w:hint="eastAsia"/>
          <w:rtl/>
        </w:rPr>
        <w:t>כ</w:t>
      </w:r>
      <w:r w:rsidRPr="00E853FE">
        <w:rPr>
          <w:rtl/>
        </w:rPr>
        <w:t xml:space="preserve"> </w:t>
      </w:r>
      <w:r w:rsidRPr="00E853FE">
        <w:rPr>
          <w:rFonts w:hint="eastAsia"/>
          <w:rtl/>
        </w:rPr>
        <w:t>האדה</w:t>
      </w:r>
      <w:r w:rsidRPr="00E853FE">
        <w:rPr>
          <w:rtl/>
        </w:rPr>
        <w:t>"</w:t>
      </w:r>
      <w:r w:rsidRPr="00E853FE">
        <w:rPr>
          <w:rFonts w:hint="eastAsia"/>
          <w:rtl/>
        </w:rPr>
        <w:t>ז</w:t>
      </w:r>
      <w:r w:rsidRPr="00E853FE">
        <w:rPr>
          <w:rtl/>
        </w:rPr>
        <w:t xml:space="preserve"> </w:t>
      </w:r>
      <w:r w:rsidRPr="00E853FE">
        <w:rPr>
          <w:rFonts w:hint="eastAsia"/>
          <w:rtl/>
        </w:rPr>
        <w:t>ס</w:t>
      </w:r>
      <w:r w:rsidRPr="00E853FE">
        <w:rPr>
          <w:rtl/>
        </w:rPr>
        <w:t>"</w:t>
      </w:r>
      <w:r w:rsidRPr="00E853FE">
        <w:rPr>
          <w:rFonts w:hint="eastAsia"/>
          <w:rtl/>
        </w:rPr>
        <w:t>ל</w:t>
      </w:r>
      <w:r w:rsidRPr="00E853FE">
        <w:rPr>
          <w:rtl/>
        </w:rPr>
        <w:t xml:space="preserve"> </w:t>
      </w:r>
      <w:r w:rsidRPr="00E853FE">
        <w:rPr>
          <w:rFonts w:hint="eastAsia"/>
          <w:rtl/>
        </w:rPr>
        <w:t>דבנוסף</w:t>
      </w:r>
      <w:r w:rsidRPr="00E853FE">
        <w:rPr>
          <w:rtl/>
        </w:rPr>
        <w:t xml:space="preserve"> </w:t>
      </w:r>
      <w:r w:rsidRPr="00E853FE">
        <w:rPr>
          <w:rFonts w:hint="eastAsia"/>
          <w:rtl/>
        </w:rPr>
        <w:t>לחיוב</w:t>
      </w:r>
      <w:r w:rsidRPr="00E853FE">
        <w:rPr>
          <w:rtl/>
        </w:rPr>
        <w:t xml:space="preserve"> </w:t>
      </w:r>
      <w:r w:rsidRPr="00E853FE">
        <w:rPr>
          <w:rFonts w:hint="eastAsia"/>
          <w:rtl/>
        </w:rPr>
        <w:t>שמירה</w:t>
      </w:r>
      <w:r w:rsidRPr="00E853FE">
        <w:rPr>
          <w:rtl/>
        </w:rPr>
        <w:t xml:space="preserve"> </w:t>
      </w:r>
      <w:r w:rsidRPr="00E853FE">
        <w:rPr>
          <w:rFonts w:hint="eastAsia"/>
          <w:rtl/>
        </w:rPr>
        <w:t>על</w:t>
      </w:r>
      <w:r w:rsidRPr="00E853FE">
        <w:rPr>
          <w:rtl/>
        </w:rPr>
        <w:t xml:space="preserve"> </w:t>
      </w:r>
      <w:r w:rsidRPr="00E853FE">
        <w:rPr>
          <w:rFonts w:hint="eastAsia"/>
          <w:rtl/>
        </w:rPr>
        <w:t>הנפש</w:t>
      </w:r>
      <w:r w:rsidRPr="00E853FE">
        <w:rPr>
          <w:rtl/>
        </w:rPr>
        <w:t xml:space="preserve"> </w:t>
      </w:r>
      <w:r w:rsidRPr="00E853FE">
        <w:rPr>
          <w:rFonts w:hint="eastAsia"/>
          <w:rtl/>
        </w:rPr>
        <w:t>ישנו</w:t>
      </w:r>
      <w:r w:rsidRPr="00E853FE">
        <w:rPr>
          <w:rtl/>
        </w:rPr>
        <w:t xml:space="preserve"> </w:t>
      </w:r>
      <w:r w:rsidRPr="00E853FE">
        <w:rPr>
          <w:rFonts w:hint="eastAsia"/>
          <w:rtl/>
        </w:rPr>
        <w:t>חיוב</w:t>
      </w:r>
      <w:r w:rsidRPr="00E853FE">
        <w:rPr>
          <w:rtl/>
        </w:rPr>
        <w:t xml:space="preserve"> </w:t>
      </w:r>
      <w:r w:rsidRPr="00E853FE">
        <w:rPr>
          <w:rFonts w:hint="eastAsia"/>
          <w:rtl/>
        </w:rPr>
        <w:t>שמירה</w:t>
      </w:r>
      <w:r w:rsidRPr="00E853FE">
        <w:rPr>
          <w:rtl/>
        </w:rPr>
        <w:t xml:space="preserve"> </w:t>
      </w:r>
      <w:r w:rsidRPr="00E853FE">
        <w:rPr>
          <w:rFonts w:hint="eastAsia"/>
          <w:rtl/>
        </w:rPr>
        <w:t>על</w:t>
      </w:r>
      <w:r w:rsidRPr="00E853FE">
        <w:rPr>
          <w:rtl/>
        </w:rPr>
        <w:t xml:space="preserve"> </w:t>
      </w:r>
      <w:r w:rsidRPr="00E853FE">
        <w:rPr>
          <w:rFonts w:hint="eastAsia"/>
          <w:rtl/>
        </w:rPr>
        <w:t>הגוף</w:t>
      </w:r>
      <w:r w:rsidRPr="00E853FE">
        <w:rPr>
          <w:rtl/>
        </w:rPr>
        <w:t xml:space="preserve"> </w:t>
      </w:r>
      <w:r w:rsidRPr="00E853FE">
        <w:rPr>
          <w:rFonts w:hint="eastAsia"/>
          <w:rtl/>
        </w:rPr>
        <w:t>מצד</w:t>
      </w:r>
      <w:r w:rsidRPr="00E853FE">
        <w:rPr>
          <w:rtl/>
        </w:rPr>
        <w:t xml:space="preserve"> </w:t>
      </w:r>
      <w:r w:rsidRPr="00E853FE">
        <w:rPr>
          <w:rFonts w:hint="eastAsia"/>
          <w:rtl/>
        </w:rPr>
        <w:t>הגוף</w:t>
      </w:r>
      <w:r w:rsidRPr="00E853FE">
        <w:rPr>
          <w:rtl/>
        </w:rPr>
        <w:t>.</w:t>
      </w:r>
    </w:p>
    <w:p w:rsidR="001B37D0" w:rsidRPr="00E853FE" w:rsidRDefault="001B37D0" w:rsidP="00F146A6">
      <w:pPr>
        <w:pStyle w:val="a3"/>
        <w:rPr>
          <w:rtl/>
        </w:rPr>
      </w:pPr>
      <w:r w:rsidRPr="00E853FE">
        <w:rPr>
          <w:rFonts w:hint="eastAsia"/>
          <w:rtl/>
        </w:rPr>
        <w:t>ובביאור</w:t>
      </w:r>
      <w:r w:rsidRPr="00E853FE">
        <w:rPr>
          <w:rtl/>
        </w:rPr>
        <w:t xml:space="preserve"> </w:t>
      </w:r>
      <w:r w:rsidRPr="00BE716B">
        <w:rPr>
          <w:rFonts w:hint="eastAsia"/>
          <w:b/>
          <w:bCs/>
          <w:rtl/>
        </w:rPr>
        <w:t>טעם</w:t>
      </w:r>
      <w:r w:rsidRPr="00BE716B">
        <w:rPr>
          <w:b/>
          <w:bCs/>
          <w:rtl/>
        </w:rPr>
        <w:t xml:space="preserve"> </w:t>
      </w:r>
      <w:r w:rsidRPr="00BE716B">
        <w:rPr>
          <w:rFonts w:hint="eastAsia"/>
          <w:b/>
          <w:bCs/>
          <w:rtl/>
        </w:rPr>
        <w:t>ויסוד</w:t>
      </w:r>
      <w:r w:rsidRPr="00BE716B">
        <w:rPr>
          <w:b/>
          <w:bCs/>
          <w:rtl/>
        </w:rPr>
        <w:t xml:space="preserve"> </w:t>
      </w:r>
      <w:r w:rsidRPr="00BE716B">
        <w:rPr>
          <w:rFonts w:hint="eastAsia"/>
          <w:b/>
          <w:bCs/>
          <w:rtl/>
        </w:rPr>
        <w:t>מחלוקתם</w:t>
      </w:r>
      <w:r w:rsidRPr="00E853FE">
        <w:rPr>
          <w:rtl/>
        </w:rPr>
        <w:t xml:space="preserve"> </w:t>
      </w:r>
      <w:r w:rsidRPr="00E853FE">
        <w:rPr>
          <w:rFonts w:hint="eastAsia"/>
          <w:rtl/>
        </w:rPr>
        <w:t>ביאר</w:t>
      </w:r>
      <w:r w:rsidRPr="00E853FE">
        <w:rPr>
          <w:rtl/>
        </w:rPr>
        <w:t xml:space="preserve"> </w:t>
      </w:r>
      <w:r w:rsidRPr="00E853FE">
        <w:rPr>
          <w:rFonts w:hint="eastAsia"/>
          <w:rtl/>
        </w:rPr>
        <w:t>הרב</w:t>
      </w:r>
      <w:r w:rsidRPr="00E853FE">
        <w:rPr>
          <w:rtl/>
        </w:rPr>
        <w:t xml:space="preserve"> </w:t>
      </w:r>
      <w:r w:rsidRPr="00E853FE">
        <w:rPr>
          <w:rFonts w:hint="eastAsia"/>
          <w:rtl/>
        </w:rPr>
        <w:t>קלמנסון</w:t>
      </w:r>
      <w:r w:rsidRPr="00E853FE">
        <w:rPr>
          <w:rtl/>
        </w:rPr>
        <w:t xml:space="preserve"> </w:t>
      </w:r>
      <w:r w:rsidRPr="00E853FE">
        <w:rPr>
          <w:rFonts w:hint="eastAsia"/>
          <w:rtl/>
        </w:rPr>
        <w:t>דנחלקו</w:t>
      </w:r>
      <w:r w:rsidRPr="00E853FE">
        <w:rPr>
          <w:rtl/>
        </w:rPr>
        <w:t xml:space="preserve"> </w:t>
      </w:r>
      <w:r w:rsidRPr="00E853FE">
        <w:rPr>
          <w:rFonts w:hint="eastAsia"/>
          <w:rtl/>
        </w:rPr>
        <w:t>האם</w:t>
      </w:r>
      <w:r w:rsidRPr="00E853FE">
        <w:rPr>
          <w:rtl/>
        </w:rPr>
        <w:t xml:space="preserve"> </w:t>
      </w:r>
      <w:r w:rsidRPr="00E853FE">
        <w:rPr>
          <w:rFonts w:hint="eastAsia"/>
          <w:rtl/>
        </w:rPr>
        <w:t>יש</w:t>
      </w:r>
      <w:r w:rsidRPr="00E853FE">
        <w:rPr>
          <w:rtl/>
        </w:rPr>
        <w:t xml:space="preserve"> </w:t>
      </w:r>
      <w:r w:rsidRPr="00E853FE">
        <w:rPr>
          <w:rFonts w:hint="eastAsia"/>
          <w:rtl/>
        </w:rPr>
        <w:t>מעלה</w:t>
      </w:r>
      <w:r w:rsidRPr="00E853FE">
        <w:rPr>
          <w:rtl/>
        </w:rPr>
        <w:t xml:space="preserve">, </w:t>
      </w:r>
      <w:r w:rsidRPr="00E853FE">
        <w:rPr>
          <w:rFonts w:hint="eastAsia"/>
          <w:rtl/>
        </w:rPr>
        <w:t>קדושה</w:t>
      </w:r>
      <w:r w:rsidRPr="00E853FE">
        <w:rPr>
          <w:rtl/>
        </w:rPr>
        <w:t xml:space="preserve"> </w:t>
      </w:r>
      <w:r w:rsidRPr="00E853FE">
        <w:rPr>
          <w:rFonts w:hint="eastAsia"/>
          <w:rtl/>
        </w:rPr>
        <w:t>וחשיבות</w:t>
      </w:r>
      <w:r w:rsidRPr="00E853FE">
        <w:rPr>
          <w:rtl/>
        </w:rPr>
        <w:t xml:space="preserve"> </w:t>
      </w:r>
      <w:r w:rsidRPr="00E853FE">
        <w:rPr>
          <w:rFonts w:hint="eastAsia"/>
          <w:rtl/>
        </w:rPr>
        <w:t>לגוף</w:t>
      </w:r>
      <w:r w:rsidRPr="00E853FE">
        <w:rPr>
          <w:rtl/>
        </w:rPr>
        <w:t xml:space="preserve"> </w:t>
      </w:r>
      <w:r w:rsidRPr="00E853FE">
        <w:rPr>
          <w:rFonts w:hint="eastAsia"/>
          <w:rtl/>
        </w:rPr>
        <w:t>מצ</w:t>
      </w:r>
      <w:r w:rsidRPr="00E853FE">
        <w:rPr>
          <w:rtl/>
        </w:rPr>
        <w:t>"</w:t>
      </w:r>
      <w:r w:rsidRPr="00E853FE">
        <w:rPr>
          <w:rFonts w:hint="eastAsia"/>
          <w:rtl/>
        </w:rPr>
        <w:t>ע</w:t>
      </w:r>
      <w:r w:rsidRPr="00E853FE">
        <w:rPr>
          <w:rtl/>
        </w:rPr>
        <w:t xml:space="preserve"> </w:t>
      </w:r>
      <w:r w:rsidRPr="00E853FE">
        <w:rPr>
          <w:rFonts w:hint="eastAsia"/>
          <w:rtl/>
        </w:rPr>
        <w:t>או</w:t>
      </w:r>
      <w:r w:rsidRPr="00E853FE">
        <w:rPr>
          <w:rtl/>
        </w:rPr>
        <w:t xml:space="preserve"> </w:t>
      </w:r>
      <w:r w:rsidRPr="00E853FE">
        <w:rPr>
          <w:rFonts w:hint="eastAsia"/>
          <w:rtl/>
        </w:rPr>
        <w:t>דלמא</w:t>
      </w:r>
      <w:r w:rsidRPr="00E853FE">
        <w:rPr>
          <w:rtl/>
        </w:rPr>
        <w:t xml:space="preserve"> </w:t>
      </w:r>
      <w:r w:rsidRPr="00E853FE">
        <w:rPr>
          <w:rFonts w:hint="eastAsia"/>
          <w:rtl/>
        </w:rPr>
        <w:t>לא</w:t>
      </w:r>
      <w:r w:rsidRPr="00E853FE">
        <w:rPr>
          <w:rtl/>
        </w:rPr>
        <w:t xml:space="preserve">, </w:t>
      </w:r>
      <w:r w:rsidRPr="00E853FE">
        <w:rPr>
          <w:rFonts w:hint="eastAsia"/>
          <w:rtl/>
        </w:rPr>
        <w:t>דהחשיבות</w:t>
      </w:r>
      <w:r w:rsidRPr="00E853FE">
        <w:rPr>
          <w:rtl/>
        </w:rPr>
        <w:t xml:space="preserve"> </w:t>
      </w:r>
      <w:r w:rsidRPr="00E853FE">
        <w:rPr>
          <w:rFonts w:hint="eastAsia"/>
          <w:rtl/>
        </w:rPr>
        <w:t>היא</w:t>
      </w:r>
      <w:r w:rsidRPr="00E853FE">
        <w:rPr>
          <w:rtl/>
        </w:rPr>
        <w:t xml:space="preserve"> </w:t>
      </w:r>
      <w:r w:rsidRPr="00E853FE">
        <w:rPr>
          <w:rFonts w:hint="eastAsia"/>
          <w:rtl/>
        </w:rPr>
        <w:t>רק</w:t>
      </w:r>
      <w:r w:rsidRPr="00E853FE">
        <w:rPr>
          <w:rtl/>
        </w:rPr>
        <w:t xml:space="preserve"> </w:t>
      </w:r>
      <w:r w:rsidRPr="00E853FE">
        <w:rPr>
          <w:rFonts w:hint="eastAsia"/>
          <w:rtl/>
        </w:rPr>
        <w:t>להנפש</w:t>
      </w:r>
      <w:r w:rsidRPr="00E853FE">
        <w:rPr>
          <w:rtl/>
        </w:rPr>
        <w:t xml:space="preserve"> (</w:t>
      </w:r>
      <w:r w:rsidRPr="00E853FE">
        <w:rPr>
          <w:rFonts w:hint="eastAsia"/>
          <w:rtl/>
        </w:rPr>
        <w:t>הנשמה</w:t>
      </w:r>
      <w:r w:rsidRPr="00E853FE">
        <w:rPr>
          <w:rtl/>
        </w:rPr>
        <w:t>, "</w:t>
      </w:r>
      <w:r w:rsidRPr="00E853FE">
        <w:rPr>
          <w:rFonts w:hint="eastAsia"/>
          <w:rtl/>
        </w:rPr>
        <w:t>נשמה</w:t>
      </w:r>
      <w:r w:rsidRPr="00E853FE">
        <w:rPr>
          <w:rtl/>
        </w:rPr>
        <w:t xml:space="preserve"> </w:t>
      </w:r>
      <w:r w:rsidRPr="00E853FE">
        <w:rPr>
          <w:rFonts w:hint="eastAsia"/>
          <w:rtl/>
        </w:rPr>
        <w:t>שנתת</w:t>
      </w:r>
      <w:r w:rsidRPr="00E853FE">
        <w:rPr>
          <w:rtl/>
        </w:rPr>
        <w:t xml:space="preserve"> </w:t>
      </w:r>
      <w:r w:rsidRPr="00E853FE">
        <w:rPr>
          <w:rFonts w:hint="eastAsia"/>
          <w:rtl/>
        </w:rPr>
        <w:t>בי</w:t>
      </w:r>
      <w:r w:rsidRPr="00E853FE">
        <w:rPr>
          <w:rtl/>
        </w:rPr>
        <w:t xml:space="preserve"> </w:t>
      </w:r>
      <w:r w:rsidRPr="00BE716B">
        <w:rPr>
          <w:rFonts w:hint="eastAsia"/>
          <w:b/>
          <w:bCs/>
          <w:rtl/>
        </w:rPr>
        <w:t>טהורה</w:t>
      </w:r>
      <w:r w:rsidRPr="00E853FE">
        <w:rPr>
          <w:rtl/>
        </w:rPr>
        <w:t xml:space="preserve"> </w:t>
      </w:r>
      <w:r w:rsidRPr="00E853FE">
        <w:rPr>
          <w:rFonts w:hint="eastAsia"/>
          <w:rtl/>
        </w:rPr>
        <w:t>וכו</w:t>
      </w:r>
      <w:r w:rsidRPr="00E853FE">
        <w:rPr>
          <w:rtl/>
        </w:rPr>
        <w:t xml:space="preserve">'") </w:t>
      </w:r>
      <w:r w:rsidRPr="00E853FE">
        <w:rPr>
          <w:rFonts w:hint="eastAsia"/>
          <w:rtl/>
        </w:rPr>
        <w:t>ולא</w:t>
      </w:r>
      <w:r w:rsidRPr="00E853FE">
        <w:rPr>
          <w:rtl/>
        </w:rPr>
        <w:t xml:space="preserve"> </w:t>
      </w:r>
      <w:r w:rsidRPr="00E853FE">
        <w:rPr>
          <w:rFonts w:hint="eastAsia"/>
          <w:rtl/>
        </w:rPr>
        <w:t>להגוף</w:t>
      </w:r>
      <w:r w:rsidRPr="00E853FE">
        <w:rPr>
          <w:rtl/>
        </w:rPr>
        <w:t xml:space="preserve"> </w:t>
      </w:r>
      <w:r w:rsidRPr="00E853FE">
        <w:rPr>
          <w:rFonts w:hint="eastAsia"/>
          <w:rtl/>
        </w:rPr>
        <w:t>מצ</w:t>
      </w:r>
      <w:r w:rsidRPr="00E853FE">
        <w:rPr>
          <w:rtl/>
        </w:rPr>
        <w:t>"</w:t>
      </w:r>
      <w:r w:rsidRPr="00E853FE">
        <w:rPr>
          <w:rFonts w:hint="eastAsia"/>
          <w:rtl/>
        </w:rPr>
        <w:t>ע</w:t>
      </w:r>
      <w:r w:rsidRPr="00E853FE">
        <w:rPr>
          <w:rtl/>
        </w:rPr>
        <w:t xml:space="preserve"> (</w:t>
      </w:r>
      <w:r w:rsidRPr="00E853FE">
        <w:rPr>
          <w:rFonts w:hint="eastAsia"/>
          <w:rtl/>
        </w:rPr>
        <w:t>ובסגנון</w:t>
      </w:r>
      <w:r w:rsidRPr="00E853FE">
        <w:rPr>
          <w:rtl/>
        </w:rPr>
        <w:t xml:space="preserve"> </w:t>
      </w:r>
      <w:r w:rsidRPr="00E853FE">
        <w:rPr>
          <w:rFonts w:hint="eastAsia"/>
          <w:rtl/>
        </w:rPr>
        <w:t>אחר</w:t>
      </w:r>
      <w:r w:rsidRPr="00E853FE">
        <w:rPr>
          <w:rtl/>
        </w:rPr>
        <w:t xml:space="preserve">: </w:t>
      </w:r>
      <w:r w:rsidRPr="00E853FE">
        <w:rPr>
          <w:rFonts w:hint="eastAsia"/>
          <w:rtl/>
        </w:rPr>
        <w:t>האם</w:t>
      </w:r>
      <w:r w:rsidRPr="00E853FE">
        <w:rPr>
          <w:rtl/>
        </w:rPr>
        <w:t xml:space="preserve"> </w:t>
      </w:r>
      <w:r w:rsidRPr="00E853FE">
        <w:rPr>
          <w:rFonts w:hint="eastAsia"/>
          <w:rtl/>
        </w:rPr>
        <w:t>הנפש</w:t>
      </w:r>
      <w:r w:rsidRPr="00E853FE">
        <w:rPr>
          <w:rtl/>
        </w:rPr>
        <w:t xml:space="preserve"> </w:t>
      </w:r>
      <w:r w:rsidRPr="00E853FE">
        <w:rPr>
          <w:rFonts w:hint="eastAsia"/>
          <w:rtl/>
        </w:rPr>
        <w:t>היא</w:t>
      </w:r>
      <w:r w:rsidRPr="00E853FE">
        <w:rPr>
          <w:rtl/>
        </w:rPr>
        <w:t xml:space="preserve"> </w:t>
      </w:r>
      <w:r w:rsidRPr="00E853FE">
        <w:rPr>
          <w:rFonts w:hint="eastAsia"/>
          <w:rtl/>
        </w:rPr>
        <w:t>העיקר</w:t>
      </w:r>
      <w:r w:rsidRPr="00E853FE">
        <w:rPr>
          <w:rtl/>
        </w:rPr>
        <w:t xml:space="preserve"> </w:t>
      </w:r>
      <w:r w:rsidRPr="00E853FE">
        <w:rPr>
          <w:rFonts w:hint="eastAsia"/>
          <w:rtl/>
        </w:rPr>
        <w:t>והגוף</w:t>
      </w:r>
      <w:r w:rsidRPr="00E853FE">
        <w:rPr>
          <w:rtl/>
        </w:rPr>
        <w:t xml:space="preserve"> </w:t>
      </w:r>
      <w:r w:rsidRPr="00E853FE">
        <w:rPr>
          <w:rFonts w:hint="eastAsia"/>
          <w:rtl/>
        </w:rPr>
        <w:t>אינו</w:t>
      </w:r>
      <w:r w:rsidRPr="00E853FE">
        <w:rPr>
          <w:rtl/>
        </w:rPr>
        <w:t xml:space="preserve"> </w:t>
      </w:r>
      <w:r w:rsidRPr="00E853FE">
        <w:rPr>
          <w:rFonts w:hint="eastAsia"/>
          <w:rtl/>
        </w:rPr>
        <w:t>אלא</w:t>
      </w:r>
      <w:r w:rsidRPr="00E853FE">
        <w:rPr>
          <w:rtl/>
        </w:rPr>
        <w:t xml:space="preserve"> </w:t>
      </w:r>
      <w:r w:rsidRPr="00E853FE">
        <w:rPr>
          <w:rFonts w:hint="eastAsia"/>
          <w:rtl/>
        </w:rPr>
        <w:t>טפל</w:t>
      </w:r>
      <w:r w:rsidRPr="00E853FE">
        <w:rPr>
          <w:rtl/>
        </w:rPr>
        <w:t xml:space="preserve"> </w:t>
      </w:r>
      <w:r w:rsidRPr="00E853FE">
        <w:rPr>
          <w:rFonts w:hint="eastAsia"/>
          <w:rtl/>
        </w:rPr>
        <w:t>אליה</w:t>
      </w:r>
      <w:r w:rsidRPr="00E853FE">
        <w:rPr>
          <w:rtl/>
        </w:rPr>
        <w:t xml:space="preserve">, </w:t>
      </w:r>
      <w:r w:rsidRPr="00E853FE">
        <w:rPr>
          <w:rFonts w:hint="eastAsia"/>
          <w:rtl/>
        </w:rPr>
        <w:t>או</w:t>
      </w:r>
      <w:r w:rsidRPr="00E853FE">
        <w:rPr>
          <w:rtl/>
        </w:rPr>
        <w:t xml:space="preserve"> </w:t>
      </w:r>
      <w:r w:rsidRPr="00E853FE">
        <w:rPr>
          <w:rFonts w:hint="eastAsia"/>
          <w:rtl/>
        </w:rPr>
        <w:t>דלמא</w:t>
      </w:r>
      <w:r w:rsidRPr="00E853FE">
        <w:rPr>
          <w:rtl/>
        </w:rPr>
        <w:t xml:space="preserve"> </w:t>
      </w:r>
      <w:r w:rsidRPr="00E853FE">
        <w:rPr>
          <w:rFonts w:hint="eastAsia"/>
          <w:rtl/>
        </w:rPr>
        <w:t>אף</w:t>
      </w:r>
      <w:r w:rsidRPr="00E853FE">
        <w:rPr>
          <w:rtl/>
        </w:rPr>
        <w:t xml:space="preserve"> </w:t>
      </w:r>
      <w:r w:rsidRPr="00E853FE">
        <w:rPr>
          <w:rFonts w:hint="eastAsia"/>
          <w:rtl/>
        </w:rPr>
        <w:t>הגוף</w:t>
      </w:r>
      <w:r w:rsidRPr="00E853FE">
        <w:rPr>
          <w:rtl/>
        </w:rPr>
        <w:t xml:space="preserve"> </w:t>
      </w:r>
      <w:r w:rsidRPr="00E853FE">
        <w:rPr>
          <w:rFonts w:hint="eastAsia"/>
          <w:rtl/>
        </w:rPr>
        <w:t>הינו</w:t>
      </w:r>
      <w:r w:rsidRPr="00E853FE">
        <w:rPr>
          <w:rtl/>
        </w:rPr>
        <w:t xml:space="preserve"> </w:t>
      </w:r>
      <w:r w:rsidRPr="00E853FE">
        <w:rPr>
          <w:rFonts w:hint="eastAsia"/>
          <w:rtl/>
        </w:rPr>
        <w:t>עיקר</w:t>
      </w:r>
      <w:r w:rsidRPr="00E853FE">
        <w:rPr>
          <w:rtl/>
        </w:rPr>
        <w:t xml:space="preserve"> </w:t>
      </w:r>
      <w:r w:rsidRPr="00E853FE">
        <w:rPr>
          <w:rFonts w:hint="eastAsia"/>
          <w:rtl/>
        </w:rPr>
        <w:t>לעצמו</w:t>
      </w:r>
      <w:r w:rsidRPr="00E853FE">
        <w:rPr>
          <w:rtl/>
        </w:rPr>
        <w:t>).</w:t>
      </w:r>
    </w:p>
    <w:p w:rsidR="001B37D0" w:rsidRPr="00E853FE" w:rsidRDefault="001B37D0" w:rsidP="00F146A6">
      <w:pPr>
        <w:pStyle w:val="a3"/>
        <w:rPr>
          <w:rtl/>
        </w:rPr>
      </w:pPr>
      <w:r w:rsidRPr="00E853FE">
        <w:rPr>
          <w:rFonts w:hint="eastAsia"/>
          <w:rtl/>
        </w:rPr>
        <w:t>ובמילא</w:t>
      </w:r>
      <w:r w:rsidRPr="00E853FE">
        <w:rPr>
          <w:rtl/>
        </w:rPr>
        <w:t xml:space="preserve"> </w:t>
      </w:r>
      <w:r w:rsidRPr="00E853FE">
        <w:rPr>
          <w:rFonts w:hint="eastAsia"/>
          <w:rtl/>
        </w:rPr>
        <w:t>הרמבם</w:t>
      </w:r>
      <w:r w:rsidRPr="00E853FE">
        <w:rPr>
          <w:rtl/>
        </w:rPr>
        <w:t xml:space="preserve"> </w:t>
      </w:r>
      <w:r w:rsidRPr="00E853FE">
        <w:rPr>
          <w:rFonts w:hint="eastAsia"/>
          <w:rtl/>
        </w:rPr>
        <w:t>שלמד</w:t>
      </w:r>
      <w:r w:rsidRPr="00E853FE">
        <w:rPr>
          <w:rtl/>
        </w:rPr>
        <w:t xml:space="preserve"> </w:t>
      </w:r>
      <w:r w:rsidRPr="00E853FE">
        <w:rPr>
          <w:rFonts w:hint="eastAsia"/>
          <w:rtl/>
        </w:rPr>
        <w:t>דאין</w:t>
      </w:r>
      <w:r w:rsidRPr="00E853FE">
        <w:rPr>
          <w:rtl/>
        </w:rPr>
        <w:t xml:space="preserve"> </w:t>
      </w:r>
      <w:r w:rsidRPr="00E853FE">
        <w:rPr>
          <w:rFonts w:hint="eastAsia"/>
          <w:rtl/>
        </w:rPr>
        <w:t>חשיבות</w:t>
      </w:r>
      <w:r w:rsidRPr="00E853FE">
        <w:rPr>
          <w:rtl/>
        </w:rPr>
        <w:t xml:space="preserve"> </w:t>
      </w:r>
      <w:r w:rsidRPr="00E853FE">
        <w:rPr>
          <w:rFonts w:hint="eastAsia"/>
          <w:rtl/>
        </w:rPr>
        <w:t>לגוף</w:t>
      </w:r>
      <w:r w:rsidRPr="00E853FE">
        <w:rPr>
          <w:rtl/>
        </w:rPr>
        <w:t xml:space="preserve"> - </w:t>
      </w:r>
      <w:r w:rsidRPr="00E853FE">
        <w:rPr>
          <w:rFonts w:hint="eastAsia"/>
          <w:rtl/>
        </w:rPr>
        <w:t>מפני</w:t>
      </w:r>
      <w:r w:rsidRPr="00E853FE">
        <w:rPr>
          <w:rtl/>
        </w:rPr>
        <w:t xml:space="preserve"> </w:t>
      </w:r>
      <w:r w:rsidRPr="00E853FE">
        <w:rPr>
          <w:rFonts w:hint="eastAsia"/>
          <w:rtl/>
        </w:rPr>
        <w:t>זה</w:t>
      </w:r>
      <w:r w:rsidRPr="00E853FE">
        <w:rPr>
          <w:rtl/>
        </w:rPr>
        <w:t xml:space="preserve"> </w:t>
      </w:r>
      <w:r w:rsidRPr="00E853FE">
        <w:rPr>
          <w:rFonts w:hint="eastAsia"/>
          <w:rtl/>
        </w:rPr>
        <w:t>ס</w:t>
      </w:r>
      <w:r w:rsidRPr="00E853FE">
        <w:rPr>
          <w:rtl/>
        </w:rPr>
        <w:t>"</w:t>
      </w:r>
      <w:r w:rsidRPr="00E853FE">
        <w:rPr>
          <w:rFonts w:hint="eastAsia"/>
          <w:rtl/>
        </w:rPr>
        <w:t>ל</w:t>
      </w:r>
      <w:r w:rsidRPr="00E853FE">
        <w:rPr>
          <w:rtl/>
        </w:rPr>
        <w:t xml:space="preserve"> </w:t>
      </w:r>
      <w:r w:rsidRPr="00E853FE">
        <w:rPr>
          <w:rFonts w:hint="eastAsia"/>
          <w:rtl/>
        </w:rPr>
        <w:t>דאין</w:t>
      </w:r>
      <w:r w:rsidRPr="00E853FE">
        <w:rPr>
          <w:rtl/>
        </w:rPr>
        <w:t xml:space="preserve"> </w:t>
      </w:r>
      <w:r w:rsidRPr="00E853FE">
        <w:rPr>
          <w:rFonts w:hint="eastAsia"/>
          <w:rtl/>
        </w:rPr>
        <w:t>האיסור</w:t>
      </w:r>
      <w:r w:rsidRPr="00E853FE">
        <w:rPr>
          <w:rtl/>
        </w:rPr>
        <w:t xml:space="preserve"> </w:t>
      </w:r>
      <w:r w:rsidRPr="00E853FE">
        <w:rPr>
          <w:rFonts w:hint="eastAsia"/>
          <w:rtl/>
        </w:rPr>
        <w:t>לגרום</w:t>
      </w:r>
      <w:r w:rsidRPr="00E853FE">
        <w:rPr>
          <w:rtl/>
        </w:rPr>
        <w:t xml:space="preserve"> </w:t>
      </w:r>
      <w:r w:rsidRPr="00E853FE">
        <w:rPr>
          <w:rFonts w:hint="eastAsia"/>
          <w:rtl/>
        </w:rPr>
        <w:t>לעצמו</w:t>
      </w:r>
      <w:r w:rsidRPr="00E853FE">
        <w:rPr>
          <w:rtl/>
        </w:rPr>
        <w:t xml:space="preserve"> </w:t>
      </w:r>
      <w:r w:rsidRPr="00E853FE">
        <w:rPr>
          <w:rFonts w:hint="eastAsia"/>
          <w:rtl/>
        </w:rPr>
        <w:t>היזק</w:t>
      </w:r>
      <w:r w:rsidRPr="00E853FE">
        <w:rPr>
          <w:rtl/>
        </w:rPr>
        <w:t xml:space="preserve"> </w:t>
      </w:r>
      <w:r w:rsidRPr="00E853FE">
        <w:rPr>
          <w:rFonts w:hint="eastAsia"/>
          <w:rtl/>
        </w:rPr>
        <w:t>נמשך</w:t>
      </w:r>
      <w:r w:rsidRPr="00E853FE">
        <w:rPr>
          <w:rtl/>
        </w:rPr>
        <w:t xml:space="preserve"> </w:t>
      </w:r>
      <w:r w:rsidRPr="00E853FE">
        <w:rPr>
          <w:rFonts w:hint="eastAsia"/>
          <w:rtl/>
        </w:rPr>
        <w:t>מצד</w:t>
      </w:r>
      <w:r w:rsidRPr="00E853FE">
        <w:rPr>
          <w:rtl/>
        </w:rPr>
        <w:t xml:space="preserve"> </w:t>
      </w:r>
      <w:r w:rsidRPr="00E853FE">
        <w:rPr>
          <w:rFonts w:hint="eastAsia"/>
          <w:rtl/>
        </w:rPr>
        <w:t>הצורך</w:t>
      </w:r>
      <w:r w:rsidRPr="00E853FE">
        <w:rPr>
          <w:rtl/>
        </w:rPr>
        <w:t xml:space="preserve"> </w:t>
      </w:r>
      <w:r w:rsidRPr="00E853FE">
        <w:rPr>
          <w:rFonts w:hint="eastAsia"/>
          <w:rtl/>
        </w:rPr>
        <w:t>לשמור</w:t>
      </w:r>
      <w:r w:rsidRPr="00E853FE">
        <w:rPr>
          <w:rtl/>
        </w:rPr>
        <w:t xml:space="preserve"> </w:t>
      </w:r>
      <w:r w:rsidRPr="00E853FE">
        <w:rPr>
          <w:rFonts w:hint="eastAsia"/>
          <w:rtl/>
        </w:rPr>
        <w:t>על</w:t>
      </w:r>
      <w:r w:rsidRPr="00E853FE">
        <w:rPr>
          <w:rtl/>
        </w:rPr>
        <w:t xml:space="preserve"> </w:t>
      </w:r>
      <w:r w:rsidRPr="00E853FE">
        <w:rPr>
          <w:rFonts w:hint="eastAsia"/>
          <w:rtl/>
        </w:rPr>
        <w:t>הגוף</w:t>
      </w:r>
      <w:r w:rsidRPr="00E853FE">
        <w:rPr>
          <w:rtl/>
        </w:rPr>
        <w:t xml:space="preserve"> </w:t>
      </w:r>
      <w:r w:rsidRPr="00E853FE">
        <w:rPr>
          <w:rFonts w:hint="eastAsia"/>
          <w:rtl/>
        </w:rPr>
        <w:t>מצ</w:t>
      </w:r>
      <w:r w:rsidRPr="00E853FE">
        <w:rPr>
          <w:rtl/>
        </w:rPr>
        <w:t>"</w:t>
      </w:r>
      <w:r w:rsidRPr="00E853FE">
        <w:rPr>
          <w:rFonts w:hint="eastAsia"/>
          <w:rtl/>
        </w:rPr>
        <w:t>ע</w:t>
      </w:r>
      <w:r w:rsidRPr="00E853FE">
        <w:rPr>
          <w:rtl/>
        </w:rPr>
        <w:t xml:space="preserve"> </w:t>
      </w:r>
      <w:r w:rsidRPr="00E853FE">
        <w:rPr>
          <w:rFonts w:hint="eastAsia"/>
          <w:rtl/>
        </w:rPr>
        <w:t>דמדוע</w:t>
      </w:r>
      <w:r w:rsidRPr="00E853FE">
        <w:rPr>
          <w:rtl/>
        </w:rPr>
        <w:t xml:space="preserve"> </w:t>
      </w:r>
      <w:r w:rsidRPr="00E853FE">
        <w:rPr>
          <w:rFonts w:hint="eastAsia"/>
          <w:rtl/>
        </w:rPr>
        <w:t>שנגזור</w:t>
      </w:r>
      <w:r w:rsidRPr="00E853FE">
        <w:rPr>
          <w:rtl/>
        </w:rPr>
        <w:t xml:space="preserve"> </w:t>
      </w:r>
      <w:r w:rsidRPr="00E853FE">
        <w:rPr>
          <w:rFonts w:hint="eastAsia"/>
          <w:rtl/>
        </w:rPr>
        <w:t>ונאסור</w:t>
      </w:r>
      <w:r w:rsidRPr="00E853FE">
        <w:rPr>
          <w:rtl/>
        </w:rPr>
        <w:t xml:space="preserve"> </w:t>
      </w:r>
      <w:r w:rsidRPr="00E853FE">
        <w:rPr>
          <w:rFonts w:hint="eastAsia"/>
          <w:rtl/>
        </w:rPr>
        <w:t>איסור</w:t>
      </w:r>
      <w:r w:rsidRPr="00E853FE">
        <w:rPr>
          <w:rtl/>
        </w:rPr>
        <w:t xml:space="preserve"> </w:t>
      </w:r>
      <w:r w:rsidRPr="00E853FE">
        <w:rPr>
          <w:rFonts w:hint="eastAsia"/>
          <w:rtl/>
        </w:rPr>
        <w:t>וחיוב</w:t>
      </w:r>
      <w:r w:rsidRPr="00E853FE">
        <w:rPr>
          <w:rtl/>
        </w:rPr>
        <w:t xml:space="preserve"> </w:t>
      </w:r>
      <w:r w:rsidRPr="00E853FE">
        <w:rPr>
          <w:rFonts w:hint="eastAsia"/>
          <w:rtl/>
        </w:rPr>
        <w:t>דשמירת</w:t>
      </w:r>
      <w:r w:rsidRPr="00E853FE">
        <w:rPr>
          <w:rtl/>
        </w:rPr>
        <w:t xml:space="preserve"> </w:t>
      </w:r>
      <w:r w:rsidRPr="00E853FE">
        <w:rPr>
          <w:rFonts w:hint="eastAsia"/>
          <w:rtl/>
        </w:rPr>
        <w:t>הגוף</w:t>
      </w:r>
      <w:r w:rsidRPr="00E853FE">
        <w:rPr>
          <w:rtl/>
        </w:rPr>
        <w:t xml:space="preserve"> </w:t>
      </w:r>
      <w:r w:rsidRPr="00E853FE">
        <w:rPr>
          <w:rFonts w:hint="eastAsia"/>
          <w:rtl/>
        </w:rPr>
        <w:t>על</w:t>
      </w:r>
      <w:r w:rsidRPr="00E853FE">
        <w:rPr>
          <w:rtl/>
        </w:rPr>
        <w:t xml:space="preserve"> </w:t>
      </w:r>
      <w:r w:rsidRPr="00E853FE">
        <w:rPr>
          <w:rFonts w:hint="eastAsia"/>
          <w:rtl/>
        </w:rPr>
        <w:t>חפצא</w:t>
      </w:r>
      <w:r w:rsidRPr="00E853FE">
        <w:rPr>
          <w:rtl/>
        </w:rPr>
        <w:t xml:space="preserve"> </w:t>
      </w:r>
      <w:r w:rsidRPr="00E853FE">
        <w:rPr>
          <w:rFonts w:hint="eastAsia"/>
          <w:rtl/>
        </w:rPr>
        <w:t>כמין</w:t>
      </w:r>
      <w:r w:rsidRPr="00E853FE">
        <w:rPr>
          <w:rtl/>
        </w:rPr>
        <w:t xml:space="preserve"> </w:t>
      </w:r>
      <w:r w:rsidRPr="00E853FE">
        <w:rPr>
          <w:rFonts w:hint="eastAsia"/>
          <w:rtl/>
        </w:rPr>
        <w:t>זו</w:t>
      </w:r>
      <w:r w:rsidRPr="00E853FE">
        <w:rPr>
          <w:rtl/>
        </w:rPr>
        <w:t xml:space="preserve"> </w:t>
      </w:r>
      <w:r w:rsidRPr="00E853FE">
        <w:rPr>
          <w:rFonts w:hint="eastAsia"/>
          <w:rtl/>
        </w:rPr>
        <w:t>שנטול</w:t>
      </w:r>
      <w:r w:rsidRPr="00E853FE">
        <w:rPr>
          <w:rtl/>
        </w:rPr>
        <w:t xml:space="preserve"> </w:t>
      </w:r>
      <w:r w:rsidRPr="00E853FE">
        <w:rPr>
          <w:rFonts w:hint="eastAsia"/>
          <w:rtl/>
        </w:rPr>
        <w:t>כל</w:t>
      </w:r>
      <w:r w:rsidRPr="00E853FE">
        <w:rPr>
          <w:rtl/>
        </w:rPr>
        <w:t xml:space="preserve"> </w:t>
      </w:r>
      <w:r w:rsidRPr="00E853FE">
        <w:rPr>
          <w:rFonts w:hint="eastAsia"/>
          <w:rtl/>
        </w:rPr>
        <w:t>מעלה</w:t>
      </w:r>
      <w:r w:rsidRPr="00E853FE">
        <w:rPr>
          <w:rtl/>
        </w:rPr>
        <w:t xml:space="preserve">, </w:t>
      </w:r>
      <w:r w:rsidRPr="00E853FE">
        <w:rPr>
          <w:rFonts w:hint="eastAsia"/>
          <w:rtl/>
        </w:rPr>
        <w:t>אלא</w:t>
      </w:r>
      <w:r w:rsidRPr="00E853FE">
        <w:rPr>
          <w:rtl/>
        </w:rPr>
        <w:t xml:space="preserve"> </w:t>
      </w:r>
      <w:r w:rsidRPr="00E853FE">
        <w:rPr>
          <w:rFonts w:hint="eastAsia"/>
          <w:rtl/>
        </w:rPr>
        <w:t>ע</w:t>
      </w:r>
      <w:r w:rsidRPr="00E853FE">
        <w:rPr>
          <w:rtl/>
        </w:rPr>
        <w:t>"</w:t>
      </w:r>
      <w:r w:rsidRPr="00E853FE">
        <w:rPr>
          <w:rFonts w:hint="eastAsia"/>
          <w:rtl/>
        </w:rPr>
        <w:t>כ</w:t>
      </w:r>
      <w:r w:rsidRPr="00E853FE">
        <w:rPr>
          <w:rtl/>
        </w:rPr>
        <w:t xml:space="preserve"> </w:t>
      </w:r>
      <w:r w:rsidRPr="00E853FE">
        <w:rPr>
          <w:rFonts w:hint="eastAsia"/>
          <w:rtl/>
        </w:rPr>
        <w:t>האיסור</w:t>
      </w:r>
      <w:r w:rsidRPr="00E853FE">
        <w:rPr>
          <w:rtl/>
        </w:rPr>
        <w:t xml:space="preserve"> </w:t>
      </w:r>
      <w:r w:rsidRPr="00E853FE">
        <w:rPr>
          <w:rFonts w:hint="eastAsia"/>
          <w:rtl/>
        </w:rPr>
        <w:t>הוא</w:t>
      </w:r>
      <w:r w:rsidRPr="00E853FE">
        <w:rPr>
          <w:rtl/>
        </w:rPr>
        <w:t xml:space="preserve"> </w:t>
      </w:r>
      <w:r w:rsidRPr="00E853FE">
        <w:rPr>
          <w:rFonts w:hint="eastAsia"/>
          <w:rtl/>
        </w:rPr>
        <w:t>מצד</w:t>
      </w:r>
      <w:r w:rsidRPr="00E853FE">
        <w:rPr>
          <w:rtl/>
        </w:rPr>
        <w:t xml:space="preserve"> </w:t>
      </w:r>
      <w:r w:rsidRPr="00E853FE">
        <w:rPr>
          <w:rFonts w:hint="eastAsia"/>
          <w:rtl/>
        </w:rPr>
        <w:t>הצורך</w:t>
      </w:r>
      <w:r w:rsidRPr="00E853FE">
        <w:rPr>
          <w:rtl/>
        </w:rPr>
        <w:t xml:space="preserve"> </w:t>
      </w:r>
      <w:r w:rsidRPr="00E853FE">
        <w:rPr>
          <w:rFonts w:hint="eastAsia"/>
          <w:rtl/>
        </w:rPr>
        <w:t>לשמור</w:t>
      </w:r>
      <w:r w:rsidRPr="00E853FE">
        <w:rPr>
          <w:rtl/>
        </w:rPr>
        <w:t xml:space="preserve"> </w:t>
      </w:r>
      <w:r w:rsidRPr="00E853FE">
        <w:rPr>
          <w:rFonts w:hint="eastAsia"/>
          <w:rtl/>
        </w:rPr>
        <w:t>על</w:t>
      </w:r>
      <w:r w:rsidRPr="00E853FE">
        <w:rPr>
          <w:rtl/>
        </w:rPr>
        <w:t xml:space="preserve"> </w:t>
      </w:r>
      <w:r w:rsidRPr="00E853FE">
        <w:rPr>
          <w:rFonts w:hint="eastAsia"/>
          <w:rtl/>
        </w:rPr>
        <w:t>הנפש</w:t>
      </w:r>
      <w:r w:rsidRPr="00E853FE">
        <w:rPr>
          <w:rtl/>
        </w:rPr>
        <w:t xml:space="preserve">, </w:t>
      </w:r>
      <w:r w:rsidRPr="00E853FE">
        <w:rPr>
          <w:rFonts w:hint="eastAsia"/>
          <w:rtl/>
        </w:rPr>
        <w:t>אמנם</w:t>
      </w:r>
      <w:r w:rsidRPr="00E853FE">
        <w:rPr>
          <w:rtl/>
        </w:rPr>
        <w:t xml:space="preserve"> </w:t>
      </w:r>
      <w:r w:rsidRPr="00E853FE">
        <w:rPr>
          <w:rFonts w:hint="eastAsia"/>
          <w:rtl/>
        </w:rPr>
        <w:t>האדהז</w:t>
      </w:r>
      <w:r w:rsidRPr="00E853FE">
        <w:rPr>
          <w:rtl/>
        </w:rPr>
        <w:t xml:space="preserve"> </w:t>
      </w:r>
      <w:r w:rsidRPr="00E853FE">
        <w:rPr>
          <w:rFonts w:hint="eastAsia"/>
          <w:rtl/>
        </w:rPr>
        <w:t>סובר</w:t>
      </w:r>
      <w:r w:rsidRPr="00E853FE">
        <w:rPr>
          <w:rtl/>
        </w:rPr>
        <w:t xml:space="preserve"> </w:t>
      </w:r>
      <w:r w:rsidRPr="00E853FE">
        <w:rPr>
          <w:rFonts w:hint="eastAsia"/>
          <w:rtl/>
        </w:rPr>
        <w:t>דיש</w:t>
      </w:r>
      <w:r w:rsidRPr="00E853FE">
        <w:rPr>
          <w:rtl/>
        </w:rPr>
        <w:t xml:space="preserve"> </w:t>
      </w:r>
      <w:r w:rsidRPr="00E853FE">
        <w:rPr>
          <w:rFonts w:hint="eastAsia"/>
          <w:rtl/>
        </w:rPr>
        <w:t>מעלה</w:t>
      </w:r>
      <w:r w:rsidRPr="00E853FE">
        <w:rPr>
          <w:rtl/>
        </w:rPr>
        <w:t xml:space="preserve"> </w:t>
      </w:r>
      <w:r w:rsidRPr="00E853FE">
        <w:rPr>
          <w:rFonts w:hint="eastAsia"/>
          <w:rtl/>
        </w:rPr>
        <w:t>להגוף</w:t>
      </w:r>
      <w:r w:rsidRPr="00E853FE">
        <w:rPr>
          <w:rtl/>
        </w:rPr>
        <w:t xml:space="preserve"> </w:t>
      </w:r>
      <w:r w:rsidRPr="00E853FE">
        <w:rPr>
          <w:rFonts w:hint="eastAsia"/>
          <w:rtl/>
        </w:rPr>
        <w:t>ג</w:t>
      </w:r>
      <w:r w:rsidRPr="00E853FE">
        <w:rPr>
          <w:rtl/>
        </w:rPr>
        <w:t>"</w:t>
      </w:r>
      <w:r w:rsidRPr="00E853FE">
        <w:rPr>
          <w:rFonts w:hint="eastAsia"/>
          <w:rtl/>
        </w:rPr>
        <w:t>כ</w:t>
      </w:r>
      <w:r w:rsidRPr="00E853FE">
        <w:rPr>
          <w:rtl/>
        </w:rPr>
        <w:t xml:space="preserve"> </w:t>
      </w:r>
      <w:r w:rsidRPr="00E853FE">
        <w:rPr>
          <w:rFonts w:hint="eastAsia"/>
          <w:rtl/>
        </w:rPr>
        <w:t>דהוא</w:t>
      </w:r>
      <w:r w:rsidRPr="00E853FE">
        <w:rPr>
          <w:rtl/>
        </w:rPr>
        <w:t xml:space="preserve"> </w:t>
      </w:r>
      <w:r w:rsidRPr="00E853FE">
        <w:rPr>
          <w:rFonts w:hint="eastAsia"/>
          <w:rtl/>
        </w:rPr>
        <w:t>עצמו</w:t>
      </w:r>
      <w:r w:rsidRPr="00E853FE">
        <w:rPr>
          <w:rtl/>
        </w:rPr>
        <w:t xml:space="preserve"> </w:t>
      </w:r>
      <w:r w:rsidRPr="00E853FE">
        <w:rPr>
          <w:rFonts w:hint="eastAsia"/>
          <w:rtl/>
        </w:rPr>
        <w:t>נעלה</w:t>
      </w:r>
      <w:r w:rsidRPr="00E853FE">
        <w:rPr>
          <w:rtl/>
        </w:rPr>
        <w:t xml:space="preserve"> </w:t>
      </w:r>
      <w:r w:rsidRPr="00E853FE">
        <w:rPr>
          <w:rFonts w:hint="eastAsia"/>
          <w:rtl/>
        </w:rPr>
        <w:lastRenderedPageBreak/>
        <w:t>וחשוב</w:t>
      </w:r>
      <w:r w:rsidRPr="00E853FE">
        <w:rPr>
          <w:rtl/>
        </w:rPr>
        <w:t xml:space="preserve"> </w:t>
      </w:r>
      <w:r w:rsidRPr="00E853FE">
        <w:rPr>
          <w:rFonts w:hint="eastAsia"/>
          <w:rtl/>
        </w:rPr>
        <w:t>ויש</w:t>
      </w:r>
      <w:r w:rsidRPr="00E853FE">
        <w:rPr>
          <w:rtl/>
        </w:rPr>
        <w:t xml:space="preserve"> </w:t>
      </w:r>
      <w:r w:rsidRPr="00E853FE">
        <w:rPr>
          <w:rFonts w:hint="eastAsia"/>
          <w:rtl/>
        </w:rPr>
        <w:t>בו</w:t>
      </w:r>
      <w:r w:rsidRPr="00E853FE">
        <w:rPr>
          <w:rtl/>
        </w:rPr>
        <w:t xml:space="preserve"> </w:t>
      </w:r>
      <w:r w:rsidRPr="00E853FE">
        <w:rPr>
          <w:rFonts w:hint="eastAsia"/>
          <w:rtl/>
        </w:rPr>
        <w:t>קדושה</w:t>
      </w:r>
      <w:r w:rsidRPr="00E853FE">
        <w:rPr>
          <w:rtl/>
        </w:rPr>
        <w:t xml:space="preserve"> </w:t>
      </w:r>
      <w:r w:rsidRPr="00E853FE">
        <w:rPr>
          <w:rFonts w:hint="eastAsia"/>
          <w:rtl/>
        </w:rPr>
        <w:t>מיוחדת</w:t>
      </w:r>
      <w:r w:rsidRPr="00E853FE">
        <w:rPr>
          <w:rtl/>
        </w:rPr>
        <w:t xml:space="preserve"> </w:t>
      </w:r>
      <w:r w:rsidRPr="00E853FE">
        <w:rPr>
          <w:rFonts w:hint="eastAsia"/>
          <w:rtl/>
        </w:rPr>
        <w:t>ותכלית</w:t>
      </w:r>
      <w:r w:rsidRPr="00E853FE">
        <w:rPr>
          <w:rtl/>
        </w:rPr>
        <w:t xml:space="preserve"> </w:t>
      </w:r>
      <w:r w:rsidRPr="00E853FE">
        <w:rPr>
          <w:rFonts w:hint="eastAsia"/>
          <w:rtl/>
        </w:rPr>
        <w:t>כו</w:t>
      </w:r>
      <w:r w:rsidRPr="00E853FE">
        <w:rPr>
          <w:rtl/>
        </w:rPr>
        <w:t xml:space="preserve">'. </w:t>
      </w:r>
      <w:r w:rsidRPr="00E853FE">
        <w:rPr>
          <w:rFonts w:hint="eastAsia"/>
          <w:rtl/>
        </w:rPr>
        <w:t>עכ</w:t>
      </w:r>
      <w:r w:rsidRPr="00E853FE">
        <w:rPr>
          <w:rtl/>
        </w:rPr>
        <w:t>"</w:t>
      </w:r>
      <w:r w:rsidRPr="00E853FE">
        <w:rPr>
          <w:rFonts w:hint="eastAsia"/>
          <w:rtl/>
        </w:rPr>
        <w:t>ד</w:t>
      </w:r>
      <w:r w:rsidRPr="00E853FE">
        <w:rPr>
          <w:rtl/>
        </w:rPr>
        <w:t>.</w:t>
      </w:r>
    </w:p>
    <w:p w:rsidR="001B37D0" w:rsidRPr="00E853FE" w:rsidRDefault="001B37D0" w:rsidP="00F146A6">
      <w:pPr>
        <w:pStyle w:val="a3"/>
        <w:rPr>
          <w:rtl/>
        </w:rPr>
      </w:pPr>
      <w:r w:rsidRPr="00E853FE">
        <w:rPr>
          <w:rFonts w:hint="eastAsia"/>
          <w:rtl/>
        </w:rPr>
        <w:t>ולפענ</w:t>
      </w:r>
      <w:r w:rsidRPr="00E853FE">
        <w:rPr>
          <w:rtl/>
        </w:rPr>
        <w:t>"</w:t>
      </w:r>
      <w:r w:rsidRPr="00E853FE">
        <w:rPr>
          <w:rFonts w:hint="eastAsia"/>
          <w:rtl/>
        </w:rPr>
        <w:t>ד</w:t>
      </w:r>
      <w:r w:rsidRPr="00E853FE">
        <w:rPr>
          <w:rtl/>
        </w:rPr>
        <w:t xml:space="preserve"> </w:t>
      </w:r>
      <w:r w:rsidRPr="00E853FE">
        <w:rPr>
          <w:rFonts w:hint="eastAsia"/>
          <w:rtl/>
        </w:rPr>
        <w:t>נראה</w:t>
      </w:r>
      <w:r w:rsidRPr="00E853FE">
        <w:rPr>
          <w:rtl/>
        </w:rPr>
        <w:t xml:space="preserve"> </w:t>
      </w:r>
      <w:r w:rsidRPr="00E853FE">
        <w:rPr>
          <w:rFonts w:hint="eastAsia"/>
          <w:rtl/>
        </w:rPr>
        <w:t>לבאר</w:t>
      </w:r>
      <w:r w:rsidRPr="00E853FE">
        <w:rPr>
          <w:rtl/>
        </w:rPr>
        <w:t xml:space="preserve"> </w:t>
      </w:r>
      <w:r w:rsidRPr="00BE716B">
        <w:rPr>
          <w:rFonts w:hint="eastAsia"/>
          <w:b/>
          <w:bCs/>
          <w:rtl/>
        </w:rPr>
        <w:t>טעמו</w:t>
      </w:r>
      <w:r w:rsidRPr="00E853FE">
        <w:rPr>
          <w:rtl/>
        </w:rPr>
        <w:t xml:space="preserve"> </w:t>
      </w:r>
      <w:r w:rsidRPr="00E853FE">
        <w:rPr>
          <w:rFonts w:hint="eastAsia"/>
          <w:rtl/>
        </w:rPr>
        <w:t>של</w:t>
      </w:r>
      <w:r w:rsidRPr="00E853FE">
        <w:rPr>
          <w:rtl/>
        </w:rPr>
        <w:t xml:space="preserve"> </w:t>
      </w:r>
      <w:r w:rsidRPr="00E853FE">
        <w:rPr>
          <w:rFonts w:hint="eastAsia"/>
          <w:rtl/>
        </w:rPr>
        <w:t>אדה</w:t>
      </w:r>
      <w:r w:rsidRPr="00E853FE">
        <w:rPr>
          <w:rtl/>
        </w:rPr>
        <w:t>"</w:t>
      </w:r>
      <w:r w:rsidRPr="00E853FE">
        <w:rPr>
          <w:rFonts w:hint="eastAsia"/>
          <w:rtl/>
        </w:rPr>
        <w:t>ז</w:t>
      </w:r>
      <w:r w:rsidRPr="00E853FE">
        <w:rPr>
          <w:rtl/>
        </w:rPr>
        <w:t xml:space="preserve"> </w:t>
      </w:r>
      <w:r w:rsidRPr="00E853FE">
        <w:rPr>
          <w:rFonts w:hint="eastAsia"/>
          <w:rtl/>
        </w:rPr>
        <w:t>באו</w:t>
      </w:r>
      <w:r w:rsidRPr="00E853FE">
        <w:rPr>
          <w:rtl/>
        </w:rPr>
        <w:t>"</w:t>
      </w:r>
      <w:r w:rsidRPr="00E853FE">
        <w:rPr>
          <w:rFonts w:hint="eastAsia"/>
          <w:rtl/>
        </w:rPr>
        <w:t>א</w:t>
      </w:r>
      <w:r w:rsidRPr="00E853FE">
        <w:rPr>
          <w:rtl/>
        </w:rPr>
        <w:t xml:space="preserve">: </w:t>
      </w:r>
    </w:p>
    <w:p w:rsidR="001B37D0" w:rsidRPr="00E853FE" w:rsidRDefault="001B37D0" w:rsidP="00F146A6">
      <w:pPr>
        <w:pStyle w:val="a3"/>
        <w:rPr>
          <w:rtl/>
        </w:rPr>
      </w:pPr>
      <w:r w:rsidRPr="00E853FE">
        <w:rPr>
          <w:rFonts w:hint="eastAsia"/>
          <w:rtl/>
        </w:rPr>
        <w:t>דהנה</w:t>
      </w:r>
      <w:r w:rsidRPr="00E853FE">
        <w:rPr>
          <w:rtl/>
        </w:rPr>
        <w:t xml:space="preserve"> </w:t>
      </w:r>
      <w:r w:rsidRPr="00E853FE">
        <w:rPr>
          <w:rFonts w:hint="eastAsia"/>
          <w:rtl/>
        </w:rPr>
        <w:t>ידועה</w:t>
      </w:r>
      <w:r w:rsidRPr="00E853FE">
        <w:rPr>
          <w:rtl/>
        </w:rPr>
        <w:t xml:space="preserve"> </w:t>
      </w:r>
      <w:r w:rsidRPr="00E853FE">
        <w:rPr>
          <w:rFonts w:hint="eastAsia"/>
          <w:rtl/>
        </w:rPr>
        <w:t>החקירה</w:t>
      </w:r>
      <w:r w:rsidRPr="00E853FE">
        <w:rPr>
          <w:rtl/>
        </w:rPr>
        <w:t xml:space="preserve"> (</w:t>
      </w:r>
      <w:r w:rsidRPr="00E853FE">
        <w:rPr>
          <w:rFonts w:hint="eastAsia"/>
          <w:rtl/>
        </w:rPr>
        <w:t>עיי</w:t>
      </w:r>
      <w:r w:rsidRPr="00E853FE">
        <w:rPr>
          <w:rtl/>
        </w:rPr>
        <w:t xml:space="preserve">' </w:t>
      </w:r>
      <w:r w:rsidRPr="00E853FE">
        <w:rPr>
          <w:rFonts w:hint="eastAsia"/>
          <w:rtl/>
        </w:rPr>
        <w:t>לקו</w:t>
      </w:r>
      <w:r w:rsidRPr="00E853FE">
        <w:rPr>
          <w:rtl/>
        </w:rPr>
        <w:t>"</w:t>
      </w:r>
      <w:r w:rsidRPr="00E853FE">
        <w:rPr>
          <w:rFonts w:hint="eastAsia"/>
          <w:rtl/>
        </w:rPr>
        <w:t>ש</w:t>
      </w:r>
      <w:r w:rsidRPr="00E853FE">
        <w:rPr>
          <w:rtl/>
        </w:rPr>
        <w:t xml:space="preserve"> </w:t>
      </w:r>
      <w:r w:rsidRPr="00E853FE">
        <w:rPr>
          <w:rFonts w:hint="eastAsia"/>
          <w:rtl/>
        </w:rPr>
        <w:t>חל</w:t>
      </w:r>
      <w:r w:rsidRPr="00E853FE">
        <w:rPr>
          <w:rtl/>
        </w:rPr>
        <w:t>"</w:t>
      </w:r>
      <w:r w:rsidRPr="00E853FE">
        <w:rPr>
          <w:rFonts w:hint="eastAsia"/>
          <w:rtl/>
        </w:rPr>
        <w:t>ד</w:t>
      </w:r>
      <w:r w:rsidRPr="00E853FE">
        <w:rPr>
          <w:rtl/>
        </w:rPr>
        <w:t xml:space="preserve"> </w:t>
      </w:r>
      <w:r w:rsidRPr="00E853FE">
        <w:rPr>
          <w:rFonts w:hint="eastAsia"/>
          <w:rtl/>
        </w:rPr>
        <w:t>שופטים</w:t>
      </w:r>
      <w:r w:rsidRPr="00E853FE">
        <w:rPr>
          <w:rtl/>
        </w:rPr>
        <w:t xml:space="preserve"> </w:t>
      </w:r>
      <w:r w:rsidRPr="00E853FE">
        <w:rPr>
          <w:rFonts w:hint="eastAsia"/>
          <w:rtl/>
        </w:rPr>
        <w:t>ב</w:t>
      </w:r>
      <w:r w:rsidRPr="00E853FE">
        <w:rPr>
          <w:rtl/>
        </w:rPr>
        <w:t>' (</w:t>
      </w:r>
      <w:r w:rsidRPr="00E853FE">
        <w:rPr>
          <w:rFonts w:hint="eastAsia"/>
          <w:rtl/>
        </w:rPr>
        <w:t>עמ</w:t>
      </w:r>
      <w:r w:rsidRPr="00E853FE">
        <w:rPr>
          <w:rtl/>
        </w:rPr>
        <w:t xml:space="preserve">' 106 </w:t>
      </w:r>
      <w:r w:rsidRPr="00E853FE">
        <w:rPr>
          <w:rFonts w:hint="eastAsia"/>
          <w:rtl/>
        </w:rPr>
        <w:t>ואילך</w:t>
      </w:r>
      <w:r w:rsidRPr="00E853FE">
        <w:rPr>
          <w:rtl/>
        </w:rPr>
        <w:t xml:space="preserve">), </w:t>
      </w:r>
      <w:r w:rsidRPr="00E853FE">
        <w:rPr>
          <w:rFonts w:hint="eastAsia"/>
          <w:rtl/>
        </w:rPr>
        <w:t>ועיי</w:t>
      </w:r>
      <w:r w:rsidRPr="00E853FE">
        <w:rPr>
          <w:rtl/>
        </w:rPr>
        <w:t xml:space="preserve">' </w:t>
      </w:r>
      <w:r w:rsidRPr="00E853FE">
        <w:rPr>
          <w:rFonts w:hint="eastAsia"/>
          <w:rtl/>
        </w:rPr>
        <w:t>נמי</w:t>
      </w:r>
      <w:r w:rsidRPr="00E853FE">
        <w:rPr>
          <w:rtl/>
        </w:rPr>
        <w:t xml:space="preserve"> </w:t>
      </w:r>
      <w:r w:rsidRPr="00E853FE">
        <w:rPr>
          <w:rFonts w:hint="eastAsia"/>
          <w:rtl/>
        </w:rPr>
        <w:t>בס</w:t>
      </w:r>
      <w:r w:rsidRPr="00E853FE">
        <w:rPr>
          <w:rtl/>
        </w:rPr>
        <w:t xml:space="preserve">' </w:t>
      </w:r>
      <w:r w:rsidRPr="00E853FE">
        <w:rPr>
          <w:rFonts w:hint="eastAsia"/>
          <w:rtl/>
        </w:rPr>
        <w:t>לאור</w:t>
      </w:r>
      <w:r w:rsidRPr="00E853FE">
        <w:rPr>
          <w:rtl/>
        </w:rPr>
        <w:t xml:space="preserve"> </w:t>
      </w:r>
      <w:r w:rsidRPr="00E853FE">
        <w:rPr>
          <w:rFonts w:hint="eastAsia"/>
          <w:rtl/>
        </w:rPr>
        <w:t>ההלכה</w:t>
      </w:r>
      <w:r w:rsidRPr="00E853FE">
        <w:rPr>
          <w:rtl/>
        </w:rPr>
        <w:t xml:space="preserve"> </w:t>
      </w:r>
      <w:r w:rsidRPr="00E853FE">
        <w:rPr>
          <w:rFonts w:hint="eastAsia"/>
          <w:rtl/>
        </w:rPr>
        <w:t>לרש</w:t>
      </w:r>
      <w:r w:rsidRPr="00E853FE">
        <w:rPr>
          <w:rtl/>
        </w:rPr>
        <w:t>"</w:t>
      </w:r>
      <w:r w:rsidRPr="00E853FE">
        <w:rPr>
          <w:rFonts w:hint="eastAsia"/>
          <w:rtl/>
        </w:rPr>
        <w:t>י</w:t>
      </w:r>
      <w:r w:rsidRPr="00E853FE">
        <w:rPr>
          <w:rtl/>
        </w:rPr>
        <w:t xml:space="preserve"> </w:t>
      </w:r>
      <w:r w:rsidRPr="00E853FE">
        <w:rPr>
          <w:rFonts w:hint="eastAsia"/>
          <w:rtl/>
        </w:rPr>
        <w:t>זוין</w:t>
      </w:r>
      <w:r w:rsidRPr="00E853FE">
        <w:rPr>
          <w:rtl/>
        </w:rPr>
        <w:t xml:space="preserve"> </w:t>
      </w:r>
      <w:r w:rsidRPr="00E853FE">
        <w:rPr>
          <w:rFonts w:hint="eastAsia"/>
          <w:rtl/>
        </w:rPr>
        <w:t>פרק</w:t>
      </w:r>
      <w:r w:rsidRPr="00E853FE">
        <w:rPr>
          <w:rtl/>
        </w:rPr>
        <w:t xml:space="preserve"> "</w:t>
      </w:r>
      <w:r w:rsidRPr="00E853FE">
        <w:rPr>
          <w:rFonts w:hint="eastAsia"/>
          <w:rtl/>
        </w:rPr>
        <w:t>משפט</w:t>
      </w:r>
      <w:r w:rsidRPr="00E853FE">
        <w:rPr>
          <w:rtl/>
        </w:rPr>
        <w:t xml:space="preserve"> </w:t>
      </w:r>
      <w:r w:rsidRPr="00E853FE">
        <w:rPr>
          <w:rFonts w:hint="eastAsia"/>
          <w:rtl/>
        </w:rPr>
        <w:t>שילוק</w:t>
      </w:r>
      <w:r w:rsidRPr="00E853FE">
        <w:rPr>
          <w:rtl/>
        </w:rPr>
        <w:t xml:space="preserve"> </w:t>
      </w:r>
      <w:r w:rsidRPr="00E853FE">
        <w:rPr>
          <w:rFonts w:hint="eastAsia"/>
          <w:rtl/>
        </w:rPr>
        <w:t>לאור</w:t>
      </w:r>
      <w:r w:rsidRPr="00E853FE">
        <w:rPr>
          <w:rtl/>
        </w:rPr>
        <w:t xml:space="preserve"> </w:t>
      </w:r>
      <w:r w:rsidRPr="00E853FE">
        <w:rPr>
          <w:rFonts w:hint="eastAsia"/>
          <w:rtl/>
        </w:rPr>
        <w:t>ההלכה</w:t>
      </w:r>
      <w:r w:rsidRPr="00E853FE">
        <w:rPr>
          <w:rtl/>
        </w:rPr>
        <w:t>" (</w:t>
      </w:r>
      <w:r w:rsidRPr="00E853FE">
        <w:rPr>
          <w:rFonts w:hint="eastAsia"/>
          <w:rtl/>
        </w:rPr>
        <w:t>עמ</w:t>
      </w:r>
      <w:r w:rsidRPr="00E853FE">
        <w:rPr>
          <w:rtl/>
        </w:rPr>
        <w:t xml:space="preserve">' </w:t>
      </w:r>
      <w:r w:rsidRPr="00E853FE">
        <w:rPr>
          <w:rFonts w:hint="eastAsia"/>
          <w:rtl/>
        </w:rPr>
        <w:t>תי</w:t>
      </w:r>
      <w:r w:rsidRPr="00E853FE">
        <w:rPr>
          <w:rtl/>
        </w:rPr>
        <w:t xml:space="preserve"> </w:t>
      </w:r>
      <w:r w:rsidRPr="00E853FE">
        <w:rPr>
          <w:rFonts w:hint="eastAsia"/>
          <w:rtl/>
        </w:rPr>
        <w:t>ואילך</w:t>
      </w:r>
      <w:r w:rsidRPr="00E853FE">
        <w:rPr>
          <w:rtl/>
        </w:rPr>
        <w:t xml:space="preserve"> (</w:t>
      </w:r>
      <w:r w:rsidRPr="00E853FE">
        <w:rPr>
          <w:rFonts w:hint="eastAsia"/>
          <w:rtl/>
        </w:rPr>
        <w:t>הוצאת</w:t>
      </w:r>
      <w:r w:rsidRPr="00E853FE">
        <w:rPr>
          <w:rtl/>
        </w:rPr>
        <w:t xml:space="preserve"> </w:t>
      </w:r>
      <w:r w:rsidRPr="00E853FE">
        <w:rPr>
          <w:rFonts w:hint="eastAsia"/>
          <w:rtl/>
        </w:rPr>
        <w:t>ירושלים</w:t>
      </w:r>
      <w:r w:rsidRPr="00E853FE">
        <w:rPr>
          <w:rtl/>
        </w:rPr>
        <w:t xml:space="preserve"> </w:t>
      </w:r>
      <w:r w:rsidRPr="00E853FE">
        <w:rPr>
          <w:rFonts w:hint="eastAsia"/>
          <w:rtl/>
        </w:rPr>
        <w:t>תשע</w:t>
      </w:r>
      <w:r w:rsidRPr="00E853FE">
        <w:rPr>
          <w:rtl/>
        </w:rPr>
        <w:t>"</w:t>
      </w:r>
      <w:r w:rsidRPr="00E853FE">
        <w:rPr>
          <w:rFonts w:hint="eastAsia"/>
          <w:rtl/>
        </w:rPr>
        <w:t>ח</w:t>
      </w:r>
      <w:r w:rsidRPr="00E853FE">
        <w:rPr>
          <w:rtl/>
        </w:rPr>
        <w:t xml:space="preserve">), </w:t>
      </w:r>
      <w:r w:rsidRPr="00E853FE">
        <w:rPr>
          <w:rFonts w:hint="eastAsia"/>
          <w:rtl/>
        </w:rPr>
        <w:t>ועיי</w:t>
      </w:r>
      <w:r w:rsidRPr="00E853FE">
        <w:rPr>
          <w:rtl/>
        </w:rPr>
        <w:t xml:space="preserve">' </w:t>
      </w:r>
      <w:r w:rsidRPr="00E853FE">
        <w:rPr>
          <w:rFonts w:hint="eastAsia"/>
          <w:rtl/>
        </w:rPr>
        <w:t>נמי</w:t>
      </w:r>
      <w:r w:rsidRPr="00E853FE">
        <w:rPr>
          <w:rtl/>
        </w:rPr>
        <w:t xml:space="preserve"> </w:t>
      </w:r>
      <w:r w:rsidRPr="00E853FE">
        <w:rPr>
          <w:rFonts w:hint="eastAsia"/>
          <w:rtl/>
        </w:rPr>
        <w:t>ב</w:t>
      </w:r>
      <w:r w:rsidRPr="00E853FE">
        <w:rPr>
          <w:rtl/>
        </w:rPr>
        <w:t>"</w:t>
      </w:r>
      <w:r w:rsidRPr="00E853FE">
        <w:rPr>
          <w:rFonts w:hint="eastAsia"/>
          <w:rtl/>
        </w:rPr>
        <w:t>תוספת</w:t>
      </w:r>
      <w:r w:rsidRPr="00E853FE">
        <w:rPr>
          <w:rtl/>
        </w:rPr>
        <w:t xml:space="preserve"> </w:t>
      </w:r>
      <w:r w:rsidRPr="00E853FE">
        <w:rPr>
          <w:rFonts w:hint="eastAsia"/>
          <w:rtl/>
        </w:rPr>
        <w:t>דברים</w:t>
      </w:r>
      <w:r w:rsidRPr="00E853FE">
        <w:rPr>
          <w:rtl/>
        </w:rPr>
        <w:t xml:space="preserve"> </w:t>
      </w:r>
      <w:r w:rsidRPr="00E853FE">
        <w:rPr>
          <w:rFonts w:hint="eastAsia"/>
          <w:rtl/>
        </w:rPr>
        <w:t>ל</w:t>
      </w:r>
      <w:r w:rsidRPr="00E853FE">
        <w:rPr>
          <w:rtl/>
        </w:rPr>
        <w:t>"</w:t>
      </w:r>
      <w:r w:rsidRPr="00E853FE">
        <w:rPr>
          <w:rFonts w:hint="eastAsia"/>
          <w:rtl/>
        </w:rPr>
        <w:t>משפט</w:t>
      </w:r>
      <w:r w:rsidRPr="00E853FE">
        <w:rPr>
          <w:rtl/>
        </w:rPr>
        <w:t xml:space="preserve"> </w:t>
      </w:r>
      <w:r w:rsidRPr="00E853FE">
        <w:rPr>
          <w:rFonts w:hint="eastAsia"/>
          <w:rtl/>
        </w:rPr>
        <w:t>שילוק</w:t>
      </w:r>
      <w:r w:rsidRPr="00E853FE">
        <w:rPr>
          <w:rtl/>
        </w:rPr>
        <w:t xml:space="preserve">"") </w:t>
      </w:r>
      <w:r w:rsidRPr="00E853FE">
        <w:rPr>
          <w:rFonts w:hint="eastAsia"/>
          <w:rtl/>
        </w:rPr>
        <w:t>ובפרק</w:t>
      </w:r>
      <w:r w:rsidRPr="00E853FE">
        <w:rPr>
          <w:rtl/>
        </w:rPr>
        <w:t xml:space="preserve"> "</w:t>
      </w:r>
      <w:r w:rsidRPr="00E853FE">
        <w:rPr>
          <w:rFonts w:hint="eastAsia"/>
          <w:rtl/>
        </w:rPr>
        <w:t>היסוד</w:t>
      </w:r>
      <w:r w:rsidRPr="00E853FE">
        <w:rPr>
          <w:rtl/>
        </w:rPr>
        <w:t xml:space="preserve"> </w:t>
      </w:r>
      <w:r w:rsidRPr="00E853FE">
        <w:rPr>
          <w:rFonts w:hint="eastAsia"/>
          <w:rtl/>
        </w:rPr>
        <w:t>החיובי</w:t>
      </w:r>
      <w:r w:rsidRPr="00E853FE">
        <w:rPr>
          <w:rtl/>
        </w:rPr>
        <w:t xml:space="preserve"> </w:t>
      </w:r>
      <w:r w:rsidRPr="00E853FE">
        <w:rPr>
          <w:rFonts w:hint="eastAsia"/>
          <w:rtl/>
        </w:rPr>
        <w:t>בנזקין</w:t>
      </w:r>
      <w:r w:rsidRPr="00E853FE">
        <w:rPr>
          <w:rtl/>
        </w:rPr>
        <w:t>" (</w:t>
      </w:r>
      <w:r w:rsidRPr="00E853FE">
        <w:rPr>
          <w:rFonts w:hint="eastAsia"/>
          <w:rtl/>
        </w:rPr>
        <w:t>עמ</w:t>
      </w:r>
      <w:r w:rsidRPr="00E853FE">
        <w:rPr>
          <w:rtl/>
        </w:rPr>
        <w:t xml:space="preserve">' </w:t>
      </w:r>
      <w:r w:rsidRPr="00E853FE">
        <w:rPr>
          <w:rFonts w:hint="eastAsia"/>
          <w:rtl/>
        </w:rPr>
        <w:t>תכט</w:t>
      </w:r>
      <w:r w:rsidRPr="00E853FE">
        <w:rPr>
          <w:rtl/>
        </w:rPr>
        <w:t xml:space="preserve"> (</w:t>
      </w:r>
      <w:r w:rsidRPr="00E853FE">
        <w:rPr>
          <w:rFonts w:hint="eastAsia"/>
          <w:rtl/>
        </w:rPr>
        <w:t>הוצאה</w:t>
      </w:r>
      <w:r w:rsidRPr="00E853FE">
        <w:rPr>
          <w:rtl/>
        </w:rPr>
        <w:t xml:space="preserve"> </w:t>
      </w:r>
      <w:r w:rsidRPr="00E853FE">
        <w:rPr>
          <w:rFonts w:hint="eastAsia"/>
          <w:rtl/>
        </w:rPr>
        <w:t>הנ</w:t>
      </w:r>
      <w:r w:rsidRPr="00E853FE">
        <w:rPr>
          <w:rtl/>
        </w:rPr>
        <w:t>"</w:t>
      </w:r>
      <w:r w:rsidRPr="00E853FE">
        <w:rPr>
          <w:rFonts w:hint="eastAsia"/>
          <w:rtl/>
        </w:rPr>
        <w:t>ל</w:t>
      </w:r>
      <w:r w:rsidRPr="00E853FE">
        <w:rPr>
          <w:rtl/>
        </w:rPr>
        <w:t xml:space="preserve">)) </w:t>
      </w:r>
      <w:r w:rsidRPr="00E853FE">
        <w:rPr>
          <w:rFonts w:hint="eastAsia"/>
          <w:rtl/>
        </w:rPr>
        <w:t>ובעוד</w:t>
      </w:r>
      <w:r w:rsidRPr="00E853FE">
        <w:rPr>
          <w:rtl/>
        </w:rPr>
        <w:t xml:space="preserve"> </w:t>
      </w:r>
      <w:r w:rsidRPr="00E853FE">
        <w:rPr>
          <w:rFonts w:hint="eastAsia"/>
          <w:rtl/>
        </w:rPr>
        <w:t>ספרים</w:t>
      </w:r>
      <w:r w:rsidRPr="00E853FE">
        <w:rPr>
          <w:rtl/>
        </w:rPr>
        <w:t xml:space="preserve">) </w:t>
      </w:r>
      <w:r w:rsidRPr="00E853FE">
        <w:rPr>
          <w:rFonts w:hint="eastAsia"/>
          <w:rtl/>
        </w:rPr>
        <w:t>האם</w:t>
      </w:r>
      <w:r w:rsidRPr="00E853FE">
        <w:rPr>
          <w:rtl/>
        </w:rPr>
        <w:t xml:space="preserve"> </w:t>
      </w:r>
      <w:r w:rsidRPr="00E853FE">
        <w:rPr>
          <w:rFonts w:hint="eastAsia"/>
          <w:rtl/>
        </w:rPr>
        <w:t>דיני</w:t>
      </w:r>
      <w:r w:rsidRPr="00E853FE">
        <w:rPr>
          <w:rtl/>
        </w:rPr>
        <w:t xml:space="preserve"> </w:t>
      </w:r>
      <w:r w:rsidRPr="00E853FE">
        <w:rPr>
          <w:rFonts w:hint="eastAsia"/>
          <w:rtl/>
        </w:rPr>
        <w:t>שמירת</w:t>
      </w:r>
      <w:r w:rsidRPr="00E853FE">
        <w:rPr>
          <w:rtl/>
        </w:rPr>
        <w:t xml:space="preserve"> </w:t>
      </w:r>
      <w:r w:rsidRPr="00E853FE">
        <w:rPr>
          <w:rFonts w:hint="eastAsia"/>
          <w:rtl/>
        </w:rPr>
        <w:t>הגוף</w:t>
      </w:r>
      <w:r w:rsidRPr="00E853FE">
        <w:rPr>
          <w:rtl/>
        </w:rPr>
        <w:t xml:space="preserve"> </w:t>
      </w:r>
      <w:r w:rsidRPr="00E853FE">
        <w:rPr>
          <w:rFonts w:hint="eastAsia"/>
          <w:rtl/>
        </w:rPr>
        <w:t>זהו</w:t>
      </w:r>
      <w:r w:rsidRPr="00E853FE">
        <w:rPr>
          <w:rtl/>
        </w:rPr>
        <w:t xml:space="preserve"> </w:t>
      </w:r>
      <w:r w:rsidRPr="00E853FE">
        <w:rPr>
          <w:rFonts w:hint="eastAsia"/>
          <w:rtl/>
        </w:rPr>
        <w:t>דין</w:t>
      </w:r>
      <w:r w:rsidRPr="00E853FE">
        <w:rPr>
          <w:rtl/>
        </w:rPr>
        <w:t xml:space="preserve"> </w:t>
      </w:r>
      <w:r w:rsidRPr="00E853FE">
        <w:rPr>
          <w:rFonts w:hint="eastAsia"/>
          <w:rtl/>
        </w:rPr>
        <w:t>איסורי</w:t>
      </w:r>
      <w:r w:rsidRPr="00E853FE">
        <w:rPr>
          <w:rtl/>
        </w:rPr>
        <w:t xml:space="preserve"> </w:t>
      </w:r>
      <w:r w:rsidRPr="00E853FE">
        <w:rPr>
          <w:rFonts w:hint="eastAsia"/>
          <w:rtl/>
        </w:rPr>
        <w:t>או</w:t>
      </w:r>
      <w:r w:rsidRPr="00E853FE">
        <w:rPr>
          <w:rtl/>
        </w:rPr>
        <w:t xml:space="preserve"> </w:t>
      </w:r>
      <w:r w:rsidRPr="00E853FE">
        <w:rPr>
          <w:rFonts w:hint="eastAsia"/>
          <w:rtl/>
        </w:rPr>
        <w:t>ממוני</w:t>
      </w:r>
      <w:r w:rsidRPr="00E853FE">
        <w:rPr>
          <w:rtl/>
        </w:rPr>
        <w:t xml:space="preserve"> </w:t>
      </w:r>
      <w:r w:rsidRPr="00E853FE">
        <w:rPr>
          <w:rFonts w:hint="eastAsia"/>
          <w:rtl/>
        </w:rPr>
        <w:t>ומדין</w:t>
      </w:r>
      <w:r w:rsidRPr="00E853FE">
        <w:rPr>
          <w:rtl/>
        </w:rPr>
        <w:t xml:space="preserve"> </w:t>
      </w:r>
      <w:r w:rsidRPr="00E853FE">
        <w:rPr>
          <w:rFonts w:hint="eastAsia"/>
          <w:rtl/>
        </w:rPr>
        <w:t>קניינים</w:t>
      </w:r>
      <w:r w:rsidRPr="00E853FE">
        <w:rPr>
          <w:rtl/>
        </w:rPr>
        <w:t xml:space="preserve">. </w:t>
      </w:r>
    </w:p>
    <w:p w:rsidR="001B37D0" w:rsidRPr="00E853FE" w:rsidRDefault="001B37D0" w:rsidP="00F146A6">
      <w:pPr>
        <w:pStyle w:val="a3"/>
        <w:rPr>
          <w:rtl/>
        </w:rPr>
      </w:pPr>
      <w:r w:rsidRPr="00E853FE">
        <w:rPr>
          <w:rFonts w:hint="eastAsia"/>
          <w:rtl/>
        </w:rPr>
        <w:t>היינו</w:t>
      </w:r>
      <w:r w:rsidRPr="00E853FE">
        <w:rPr>
          <w:rtl/>
        </w:rPr>
        <w:t xml:space="preserve">, </w:t>
      </w:r>
      <w:r w:rsidRPr="00E853FE">
        <w:rPr>
          <w:rFonts w:hint="eastAsia"/>
          <w:rtl/>
        </w:rPr>
        <w:t>האם</w:t>
      </w:r>
      <w:r w:rsidRPr="00E853FE">
        <w:rPr>
          <w:rtl/>
        </w:rPr>
        <w:t xml:space="preserve"> </w:t>
      </w:r>
      <w:r w:rsidRPr="00E853FE">
        <w:rPr>
          <w:rFonts w:hint="eastAsia"/>
          <w:rtl/>
        </w:rPr>
        <w:t>בעצם</w:t>
      </w:r>
      <w:r w:rsidRPr="00E853FE">
        <w:rPr>
          <w:rtl/>
        </w:rPr>
        <w:t xml:space="preserve"> </w:t>
      </w:r>
      <w:r w:rsidRPr="00E853FE">
        <w:rPr>
          <w:rFonts w:hint="eastAsia"/>
          <w:rtl/>
        </w:rPr>
        <w:t>גופו</w:t>
      </w:r>
      <w:r w:rsidRPr="00E853FE">
        <w:rPr>
          <w:rtl/>
        </w:rPr>
        <w:t xml:space="preserve"> </w:t>
      </w:r>
      <w:r w:rsidRPr="00E853FE">
        <w:rPr>
          <w:rFonts w:hint="eastAsia"/>
          <w:rtl/>
        </w:rPr>
        <w:t>של</w:t>
      </w:r>
      <w:r w:rsidRPr="00E853FE">
        <w:rPr>
          <w:rtl/>
        </w:rPr>
        <w:t xml:space="preserve"> </w:t>
      </w:r>
      <w:r w:rsidRPr="00E853FE">
        <w:rPr>
          <w:rFonts w:hint="eastAsia"/>
          <w:rtl/>
        </w:rPr>
        <w:t>האדם</w:t>
      </w:r>
      <w:r w:rsidRPr="00E853FE">
        <w:rPr>
          <w:rtl/>
        </w:rPr>
        <w:t xml:space="preserve"> </w:t>
      </w:r>
      <w:r w:rsidRPr="00E853FE">
        <w:rPr>
          <w:rFonts w:hint="eastAsia"/>
          <w:rtl/>
        </w:rPr>
        <w:t>וחייו</w:t>
      </w:r>
      <w:r w:rsidRPr="00E853FE">
        <w:rPr>
          <w:rtl/>
        </w:rPr>
        <w:t xml:space="preserve"> </w:t>
      </w:r>
      <w:r w:rsidRPr="00E853FE">
        <w:rPr>
          <w:rFonts w:hint="eastAsia"/>
          <w:rtl/>
        </w:rPr>
        <w:t>ברשותו</w:t>
      </w:r>
      <w:r w:rsidRPr="00E853FE">
        <w:rPr>
          <w:rtl/>
        </w:rPr>
        <w:t xml:space="preserve"> </w:t>
      </w:r>
      <w:r w:rsidRPr="00E853FE">
        <w:rPr>
          <w:rFonts w:hint="eastAsia"/>
          <w:rtl/>
        </w:rPr>
        <w:t>ובבעלותו</w:t>
      </w:r>
      <w:r w:rsidRPr="00E853FE">
        <w:rPr>
          <w:rtl/>
        </w:rPr>
        <w:t xml:space="preserve">, </w:t>
      </w:r>
      <w:r w:rsidRPr="00E853FE">
        <w:rPr>
          <w:rFonts w:hint="eastAsia"/>
          <w:rtl/>
        </w:rPr>
        <w:t>דהוא</w:t>
      </w:r>
      <w:r w:rsidRPr="00E853FE">
        <w:rPr>
          <w:rtl/>
        </w:rPr>
        <w:t xml:space="preserve"> </w:t>
      </w:r>
      <w:r w:rsidRPr="00E853FE">
        <w:rPr>
          <w:rFonts w:hint="eastAsia"/>
          <w:rtl/>
        </w:rPr>
        <w:t>הבעלים</w:t>
      </w:r>
      <w:r w:rsidRPr="00E853FE">
        <w:rPr>
          <w:rtl/>
        </w:rPr>
        <w:t xml:space="preserve"> </w:t>
      </w:r>
      <w:r w:rsidRPr="00E853FE">
        <w:rPr>
          <w:rFonts w:hint="eastAsia"/>
          <w:rtl/>
        </w:rPr>
        <w:t>עליהם</w:t>
      </w:r>
      <w:r w:rsidRPr="00E853FE">
        <w:rPr>
          <w:rtl/>
        </w:rPr>
        <w:t xml:space="preserve">, </w:t>
      </w:r>
      <w:r w:rsidRPr="00E853FE">
        <w:rPr>
          <w:rFonts w:hint="eastAsia"/>
          <w:rtl/>
        </w:rPr>
        <w:t>והדינים</w:t>
      </w:r>
      <w:r w:rsidRPr="00E853FE">
        <w:rPr>
          <w:rtl/>
        </w:rPr>
        <w:t xml:space="preserve"> </w:t>
      </w:r>
      <w:r w:rsidRPr="00E853FE">
        <w:rPr>
          <w:rFonts w:hint="eastAsia"/>
          <w:rtl/>
        </w:rPr>
        <w:t>דשמירת</w:t>
      </w:r>
      <w:r w:rsidRPr="00E853FE">
        <w:rPr>
          <w:rtl/>
        </w:rPr>
        <w:t xml:space="preserve"> </w:t>
      </w:r>
      <w:r w:rsidRPr="00E853FE">
        <w:rPr>
          <w:rFonts w:hint="eastAsia"/>
          <w:rtl/>
        </w:rPr>
        <w:t>הגוף</w:t>
      </w:r>
      <w:r w:rsidRPr="00E853FE">
        <w:rPr>
          <w:rtl/>
        </w:rPr>
        <w:t xml:space="preserve"> </w:t>
      </w:r>
      <w:r w:rsidRPr="00E853FE">
        <w:rPr>
          <w:rFonts w:hint="eastAsia"/>
          <w:rtl/>
        </w:rPr>
        <w:t>אינם</w:t>
      </w:r>
      <w:r w:rsidRPr="00E853FE">
        <w:rPr>
          <w:rtl/>
        </w:rPr>
        <w:t xml:space="preserve"> </w:t>
      </w:r>
      <w:r w:rsidRPr="00E853FE">
        <w:rPr>
          <w:rFonts w:hint="eastAsia"/>
          <w:rtl/>
        </w:rPr>
        <w:t>אלא</w:t>
      </w:r>
      <w:r w:rsidRPr="00E853FE">
        <w:rPr>
          <w:rtl/>
        </w:rPr>
        <w:t xml:space="preserve"> </w:t>
      </w:r>
      <w:r w:rsidRPr="00E853FE">
        <w:rPr>
          <w:rFonts w:hint="eastAsia"/>
          <w:rtl/>
        </w:rPr>
        <w:t>דין</w:t>
      </w:r>
      <w:r w:rsidRPr="00E853FE">
        <w:rPr>
          <w:rtl/>
        </w:rPr>
        <w:t xml:space="preserve"> </w:t>
      </w:r>
      <w:r w:rsidRPr="00E853FE">
        <w:rPr>
          <w:rFonts w:hint="eastAsia"/>
          <w:rtl/>
        </w:rPr>
        <w:t>ואיסור</w:t>
      </w:r>
      <w:r w:rsidRPr="00E853FE">
        <w:rPr>
          <w:rtl/>
        </w:rPr>
        <w:t xml:space="preserve"> </w:t>
      </w:r>
      <w:r w:rsidRPr="00E853FE">
        <w:rPr>
          <w:rFonts w:hint="eastAsia"/>
          <w:rtl/>
        </w:rPr>
        <w:t>על</w:t>
      </w:r>
      <w:r w:rsidRPr="00E853FE">
        <w:rPr>
          <w:rtl/>
        </w:rPr>
        <w:t xml:space="preserve"> </w:t>
      </w:r>
      <w:r w:rsidRPr="00E853FE">
        <w:rPr>
          <w:rFonts w:hint="eastAsia"/>
          <w:rtl/>
        </w:rPr>
        <w:t>הגברא</w:t>
      </w:r>
      <w:r w:rsidRPr="00E853FE">
        <w:rPr>
          <w:rtl/>
        </w:rPr>
        <w:t xml:space="preserve"> </w:t>
      </w:r>
      <w:r w:rsidRPr="00E853FE">
        <w:rPr>
          <w:rFonts w:hint="eastAsia"/>
          <w:rtl/>
        </w:rPr>
        <w:t>דכמו</w:t>
      </w:r>
      <w:r w:rsidRPr="00E853FE">
        <w:rPr>
          <w:rtl/>
        </w:rPr>
        <w:t xml:space="preserve"> </w:t>
      </w:r>
      <w:r w:rsidRPr="00E853FE">
        <w:rPr>
          <w:rFonts w:hint="eastAsia"/>
          <w:rtl/>
        </w:rPr>
        <w:t>שאסרה</w:t>
      </w:r>
      <w:r w:rsidRPr="00E853FE">
        <w:rPr>
          <w:rtl/>
        </w:rPr>
        <w:t xml:space="preserve"> </w:t>
      </w:r>
      <w:r w:rsidRPr="00E853FE">
        <w:rPr>
          <w:rFonts w:hint="eastAsia"/>
          <w:rtl/>
        </w:rPr>
        <w:t>התורה</w:t>
      </w:r>
      <w:r w:rsidRPr="00E853FE">
        <w:rPr>
          <w:rtl/>
        </w:rPr>
        <w:t xml:space="preserve"> </w:t>
      </w:r>
      <w:r w:rsidRPr="00E853FE">
        <w:rPr>
          <w:rFonts w:hint="eastAsia"/>
          <w:rtl/>
        </w:rPr>
        <w:t>על</w:t>
      </w:r>
      <w:r w:rsidRPr="00E853FE">
        <w:rPr>
          <w:rtl/>
        </w:rPr>
        <w:t xml:space="preserve"> </w:t>
      </w:r>
      <w:r w:rsidRPr="00E853FE">
        <w:rPr>
          <w:rFonts w:hint="eastAsia"/>
          <w:rtl/>
        </w:rPr>
        <w:t>האדם</w:t>
      </w:r>
      <w:r w:rsidRPr="00E853FE">
        <w:rPr>
          <w:rtl/>
        </w:rPr>
        <w:t xml:space="preserve"> </w:t>
      </w:r>
      <w:r w:rsidRPr="00E853FE">
        <w:rPr>
          <w:rFonts w:hint="eastAsia"/>
          <w:rtl/>
        </w:rPr>
        <w:t>לעשות</w:t>
      </w:r>
      <w:r w:rsidRPr="00E853FE">
        <w:rPr>
          <w:rtl/>
        </w:rPr>
        <w:t xml:space="preserve"> </w:t>
      </w:r>
      <w:r w:rsidRPr="00E853FE">
        <w:rPr>
          <w:rFonts w:hint="eastAsia"/>
          <w:rtl/>
        </w:rPr>
        <w:t>פעולות</w:t>
      </w:r>
      <w:r w:rsidRPr="00E853FE">
        <w:rPr>
          <w:rtl/>
        </w:rPr>
        <w:t xml:space="preserve"> </w:t>
      </w:r>
      <w:r w:rsidRPr="00E853FE">
        <w:rPr>
          <w:rFonts w:hint="eastAsia"/>
          <w:rtl/>
        </w:rPr>
        <w:t>מסויימות</w:t>
      </w:r>
      <w:r w:rsidRPr="00E853FE">
        <w:rPr>
          <w:rtl/>
        </w:rPr>
        <w:t xml:space="preserve"> </w:t>
      </w:r>
      <w:r w:rsidRPr="00E853FE">
        <w:rPr>
          <w:rFonts w:hint="eastAsia"/>
          <w:rtl/>
        </w:rPr>
        <w:t>ברכושו</w:t>
      </w:r>
      <w:r w:rsidRPr="00E853FE">
        <w:rPr>
          <w:rtl/>
        </w:rPr>
        <w:t xml:space="preserve"> </w:t>
      </w:r>
      <w:r w:rsidRPr="00E853FE">
        <w:rPr>
          <w:rFonts w:hint="eastAsia"/>
          <w:rtl/>
        </w:rPr>
        <w:t>ובממונו</w:t>
      </w:r>
      <w:r w:rsidRPr="00E853FE">
        <w:rPr>
          <w:rtl/>
        </w:rPr>
        <w:t xml:space="preserve"> (</w:t>
      </w:r>
      <w:r w:rsidRPr="00E853FE">
        <w:rPr>
          <w:rFonts w:hint="eastAsia"/>
          <w:rtl/>
        </w:rPr>
        <w:t>על</w:t>
      </w:r>
      <w:r w:rsidRPr="00E853FE">
        <w:rPr>
          <w:rtl/>
        </w:rPr>
        <w:t xml:space="preserve"> </w:t>
      </w:r>
      <w:r w:rsidRPr="00E853FE">
        <w:rPr>
          <w:rFonts w:hint="eastAsia"/>
          <w:rtl/>
        </w:rPr>
        <w:t>אף</w:t>
      </w:r>
      <w:r w:rsidRPr="00E853FE">
        <w:rPr>
          <w:rtl/>
        </w:rPr>
        <w:t xml:space="preserve"> </w:t>
      </w:r>
      <w:r w:rsidRPr="00E853FE">
        <w:rPr>
          <w:rFonts w:hint="eastAsia"/>
          <w:rtl/>
        </w:rPr>
        <w:t>שמדובר</w:t>
      </w:r>
      <w:r w:rsidRPr="00E853FE">
        <w:rPr>
          <w:rtl/>
        </w:rPr>
        <w:t xml:space="preserve"> </w:t>
      </w:r>
      <w:r w:rsidRPr="00E853FE">
        <w:rPr>
          <w:rFonts w:hint="eastAsia"/>
          <w:rtl/>
        </w:rPr>
        <w:t>בדברים</w:t>
      </w:r>
      <w:r w:rsidRPr="00E853FE">
        <w:rPr>
          <w:rtl/>
        </w:rPr>
        <w:t xml:space="preserve"> </w:t>
      </w:r>
      <w:r w:rsidRPr="00E853FE">
        <w:rPr>
          <w:rFonts w:hint="eastAsia"/>
          <w:rtl/>
        </w:rPr>
        <w:t>שבבעלותו</w:t>
      </w:r>
      <w:r w:rsidRPr="00E853FE">
        <w:rPr>
          <w:rtl/>
        </w:rPr>
        <w:t xml:space="preserve">) </w:t>
      </w:r>
      <w:r w:rsidRPr="00E853FE">
        <w:rPr>
          <w:rFonts w:hint="eastAsia"/>
          <w:rtl/>
        </w:rPr>
        <w:t>כ</w:t>
      </w:r>
      <w:r w:rsidRPr="00E853FE">
        <w:rPr>
          <w:rtl/>
        </w:rPr>
        <w:t>"</w:t>
      </w:r>
      <w:r w:rsidRPr="00E853FE">
        <w:rPr>
          <w:rFonts w:hint="eastAsia"/>
          <w:rtl/>
        </w:rPr>
        <w:t>כ</w:t>
      </w:r>
      <w:r w:rsidRPr="00E853FE">
        <w:rPr>
          <w:rtl/>
        </w:rPr>
        <w:t xml:space="preserve"> </w:t>
      </w:r>
      <w:r w:rsidRPr="00E853FE">
        <w:rPr>
          <w:rFonts w:hint="eastAsia"/>
          <w:rtl/>
        </w:rPr>
        <w:t>אסרה</w:t>
      </w:r>
      <w:r w:rsidRPr="00E853FE">
        <w:rPr>
          <w:rtl/>
        </w:rPr>
        <w:t xml:space="preserve"> </w:t>
      </w:r>
      <w:r w:rsidRPr="00E853FE">
        <w:rPr>
          <w:rFonts w:hint="eastAsia"/>
          <w:rtl/>
        </w:rPr>
        <w:t>עליו</w:t>
      </w:r>
      <w:r w:rsidRPr="00E853FE">
        <w:rPr>
          <w:rtl/>
        </w:rPr>
        <w:t xml:space="preserve"> </w:t>
      </w:r>
      <w:r w:rsidRPr="00E853FE">
        <w:rPr>
          <w:rFonts w:hint="eastAsia"/>
          <w:rtl/>
        </w:rPr>
        <w:t>להזיק</w:t>
      </w:r>
      <w:r w:rsidRPr="00E853FE">
        <w:rPr>
          <w:rtl/>
        </w:rPr>
        <w:t xml:space="preserve"> </w:t>
      </w:r>
      <w:r w:rsidRPr="00E853FE">
        <w:rPr>
          <w:rFonts w:hint="eastAsia"/>
          <w:rtl/>
        </w:rPr>
        <w:t>את</w:t>
      </w:r>
      <w:r w:rsidRPr="00E853FE">
        <w:rPr>
          <w:rtl/>
        </w:rPr>
        <w:t xml:space="preserve"> </w:t>
      </w:r>
      <w:r w:rsidRPr="00E853FE">
        <w:rPr>
          <w:rFonts w:hint="eastAsia"/>
          <w:rtl/>
        </w:rPr>
        <w:t>גופו</w:t>
      </w:r>
      <w:r w:rsidRPr="00E853FE">
        <w:rPr>
          <w:rtl/>
        </w:rPr>
        <w:t xml:space="preserve">, </w:t>
      </w:r>
      <w:r w:rsidRPr="00E853FE">
        <w:rPr>
          <w:rFonts w:hint="eastAsia"/>
          <w:rtl/>
        </w:rPr>
        <w:t>או</w:t>
      </w:r>
      <w:r w:rsidRPr="00E853FE">
        <w:rPr>
          <w:rtl/>
        </w:rPr>
        <w:t xml:space="preserve"> </w:t>
      </w:r>
      <w:r w:rsidRPr="00E853FE">
        <w:rPr>
          <w:rFonts w:hint="eastAsia"/>
          <w:rtl/>
        </w:rPr>
        <w:t>דלמא</w:t>
      </w:r>
      <w:r w:rsidRPr="00E853FE">
        <w:rPr>
          <w:rtl/>
        </w:rPr>
        <w:t xml:space="preserve"> </w:t>
      </w:r>
      <w:r w:rsidRPr="00E853FE">
        <w:rPr>
          <w:rFonts w:hint="eastAsia"/>
          <w:rtl/>
        </w:rPr>
        <w:t>זהו</w:t>
      </w:r>
      <w:r w:rsidRPr="00E853FE">
        <w:rPr>
          <w:rtl/>
        </w:rPr>
        <w:t xml:space="preserve"> </w:t>
      </w:r>
      <w:r w:rsidRPr="00E853FE">
        <w:rPr>
          <w:rFonts w:hint="eastAsia"/>
          <w:rtl/>
        </w:rPr>
        <w:t>דין</w:t>
      </w:r>
      <w:r w:rsidRPr="00E853FE">
        <w:rPr>
          <w:rtl/>
        </w:rPr>
        <w:t xml:space="preserve"> </w:t>
      </w:r>
      <w:r w:rsidRPr="00E853FE">
        <w:rPr>
          <w:rFonts w:hint="eastAsia"/>
          <w:rtl/>
        </w:rPr>
        <w:t>ממוני</w:t>
      </w:r>
      <w:r w:rsidRPr="00E853FE">
        <w:rPr>
          <w:rtl/>
        </w:rPr>
        <w:t xml:space="preserve"> (</w:t>
      </w:r>
      <w:r w:rsidRPr="00E853FE">
        <w:rPr>
          <w:rFonts w:hint="eastAsia"/>
          <w:rtl/>
        </w:rPr>
        <w:t>ומצד</w:t>
      </w:r>
      <w:r w:rsidRPr="00E853FE">
        <w:rPr>
          <w:rtl/>
        </w:rPr>
        <w:t xml:space="preserve"> </w:t>
      </w:r>
      <w:r w:rsidRPr="00E853FE">
        <w:rPr>
          <w:rFonts w:hint="eastAsia"/>
          <w:rtl/>
        </w:rPr>
        <w:t>החפצא</w:t>
      </w:r>
      <w:r w:rsidRPr="00E853FE">
        <w:rPr>
          <w:rtl/>
        </w:rPr>
        <w:t xml:space="preserve">), </w:t>
      </w:r>
      <w:r w:rsidRPr="00E853FE">
        <w:rPr>
          <w:rFonts w:hint="eastAsia"/>
          <w:rtl/>
        </w:rPr>
        <w:t>דהא</w:t>
      </w:r>
      <w:r w:rsidRPr="00E853FE">
        <w:rPr>
          <w:rtl/>
        </w:rPr>
        <w:t xml:space="preserve"> </w:t>
      </w:r>
      <w:r w:rsidRPr="00E853FE">
        <w:rPr>
          <w:rFonts w:hint="eastAsia"/>
          <w:rtl/>
        </w:rPr>
        <w:t>דאסור</w:t>
      </w:r>
      <w:r w:rsidRPr="00E853FE">
        <w:rPr>
          <w:rtl/>
        </w:rPr>
        <w:t xml:space="preserve"> </w:t>
      </w:r>
      <w:r w:rsidRPr="00E853FE">
        <w:rPr>
          <w:rFonts w:hint="eastAsia"/>
          <w:rtl/>
        </w:rPr>
        <w:t>לאדם</w:t>
      </w:r>
      <w:r w:rsidRPr="00E853FE">
        <w:rPr>
          <w:rtl/>
        </w:rPr>
        <w:t xml:space="preserve"> </w:t>
      </w:r>
      <w:r w:rsidRPr="00E853FE">
        <w:rPr>
          <w:rFonts w:hint="eastAsia"/>
          <w:rtl/>
        </w:rPr>
        <w:t>להזיק</w:t>
      </w:r>
      <w:r w:rsidRPr="00E853FE">
        <w:rPr>
          <w:rtl/>
        </w:rPr>
        <w:t xml:space="preserve"> </w:t>
      </w:r>
      <w:r w:rsidRPr="00E853FE">
        <w:rPr>
          <w:rFonts w:hint="eastAsia"/>
          <w:rtl/>
        </w:rPr>
        <w:t>את</w:t>
      </w:r>
      <w:r w:rsidRPr="00E853FE">
        <w:rPr>
          <w:rtl/>
        </w:rPr>
        <w:t xml:space="preserve"> </w:t>
      </w:r>
      <w:r w:rsidRPr="00E853FE">
        <w:rPr>
          <w:rFonts w:hint="eastAsia"/>
          <w:rtl/>
        </w:rPr>
        <w:t>גופו</w:t>
      </w:r>
      <w:r w:rsidRPr="00E853FE">
        <w:rPr>
          <w:rtl/>
        </w:rPr>
        <w:t xml:space="preserve"> </w:t>
      </w:r>
      <w:r w:rsidRPr="00E853FE">
        <w:rPr>
          <w:rFonts w:hint="eastAsia"/>
          <w:rtl/>
        </w:rPr>
        <w:t>זהו</w:t>
      </w:r>
      <w:r w:rsidRPr="00E853FE">
        <w:rPr>
          <w:rtl/>
        </w:rPr>
        <w:t xml:space="preserve"> </w:t>
      </w:r>
      <w:r w:rsidRPr="00E853FE">
        <w:rPr>
          <w:rFonts w:hint="eastAsia"/>
          <w:rtl/>
        </w:rPr>
        <w:t>לפי</w:t>
      </w:r>
      <w:r w:rsidRPr="00E853FE">
        <w:rPr>
          <w:rtl/>
        </w:rPr>
        <w:t xml:space="preserve"> "</w:t>
      </w:r>
      <w:r w:rsidRPr="00E853FE">
        <w:rPr>
          <w:rFonts w:hint="eastAsia"/>
          <w:rtl/>
        </w:rPr>
        <w:t>שאין</w:t>
      </w:r>
      <w:r w:rsidRPr="00E853FE">
        <w:rPr>
          <w:rtl/>
        </w:rPr>
        <w:t xml:space="preserve"> </w:t>
      </w:r>
      <w:r w:rsidRPr="00E853FE">
        <w:rPr>
          <w:rFonts w:hint="eastAsia"/>
          <w:rtl/>
        </w:rPr>
        <w:t>גופו</w:t>
      </w:r>
      <w:r w:rsidRPr="00E853FE">
        <w:rPr>
          <w:rtl/>
        </w:rPr>
        <w:t xml:space="preserve"> </w:t>
      </w:r>
      <w:r w:rsidRPr="00E853FE">
        <w:rPr>
          <w:rFonts w:hint="eastAsia"/>
          <w:rtl/>
        </w:rPr>
        <w:t>של</w:t>
      </w:r>
      <w:r w:rsidRPr="00E853FE">
        <w:rPr>
          <w:rtl/>
        </w:rPr>
        <w:t xml:space="preserve"> </w:t>
      </w:r>
      <w:r w:rsidRPr="00E853FE">
        <w:rPr>
          <w:rFonts w:hint="eastAsia"/>
          <w:rtl/>
        </w:rPr>
        <w:t>אדם</w:t>
      </w:r>
      <w:r w:rsidRPr="00E853FE">
        <w:rPr>
          <w:rtl/>
        </w:rPr>
        <w:t xml:space="preserve"> </w:t>
      </w:r>
      <w:r w:rsidRPr="00E853FE">
        <w:rPr>
          <w:rFonts w:hint="eastAsia"/>
          <w:rtl/>
        </w:rPr>
        <w:t>ברשותו</w:t>
      </w:r>
      <w:r w:rsidRPr="00E853FE">
        <w:rPr>
          <w:rtl/>
        </w:rPr>
        <w:t xml:space="preserve">" </w:t>
      </w:r>
      <w:r w:rsidRPr="00E853FE">
        <w:rPr>
          <w:rFonts w:hint="eastAsia"/>
          <w:rtl/>
        </w:rPr>
        <w:t>כלל</w:t>
      </w:r>
      <w:r w:rsidRPr="00E853FE">
        <w:rPr>
          <w:rtl/>
        </w:rPr>
        <w:t xml:space="preserve"> (</w:t>
      </w:r>
      <w:r w:rsidRPr="00E853FE">
        <w:rPr>
          <w:rFonts w:hint="eastAsia"/>
          <w:rtl/>
        </w:rPr>
        <w:t>ועיין</w:t>
      </w:r>
      <w:r w:rsidRPr="00E853FE">
        <w:rPr>
          <w:rtl/>
        </w:rPr>
        <w:t xml:space="preserve"> </w:t>
      </w:r>
      <w:r w:rsidRPr="00E853FE">
        <w:rPr>
          <w:rFonts w:hint="eastAsia"/>
          <w:rtl/>
        </w:rPr>
        <w:t>בלאור</w:t>
      </w:r>
      <w:r w:rsidRPr="00E853FE">
        <w:rPr>
          <w:rtl/>
        </w:rPr>
        <w:t xml:space="preserve"> </w:t>
      </w:r>
      <w:r w:rsidRPr="00E853FE">
        <w:rPr>
          <w:rFonts w:hint="eastAsia"/>
          <w:rtl/>
        </w:rPr>
        <w:t>ההלכה</w:t>
      </w:r>
      <w:r w:rsidRPr="00E853FE">
        <w:rPr>
          <w:rtl/>
        </w:rPr>
        <w:t xml:space="preserve"> </w:t>
      </w:r>
      <w:r w:rsidRPr="00E853FE">
        <w:rPr>
          <w:rFonts w:hint="eastAsia"/>
          <w:rtl/>
        </w:rPr>
        <w:t>שם</w:t>
      </w:r>
      <w:r w:rsidRPr="00E853FE">
        <w:rPr>
          <w:rtl/>
        </w:rPr>
        <w:t xml:space="preserve"> </w:t>
      </w:r>
      <w:r w:rsidRPr="00E853FE">
        <w:rPr>
          <w:rFonts w:hint="eastAsia"/>
          <w:rtl/>
        </w:rPr>
        <w:t>שקו</w:t>
      </w:r>
      <w:r w:rsidRPr="00E853FE">
        <w:rPr>
          <w:rtl/>
        </w:rPr>
        <w:t>"</w:t>
      </w:r>
      <w:r w:rsidRPr="00E853FE">
        <w:rPr>
          <w:rFonts w:hint="eastAsia"/>
          <w:rtl/>
        </w:rPr>
        <w:t>ט</w:t>
      </w:r>
      <w:r w:rsidRPr="00E853FE">
        <w:rPr>
          <w:rtl/>
        </w:rPr>
        <w:t xml:space="preserve"> </w:t>
      </w:r>
      <w:r w:rsidRPr="00E853FE">
        <w:rPr>
          <w:rFonts w:hint="eastAsia"/>
          <w:rtl/>
        </w:rPr>
        <w:t>באופן</w:t>
      </w:r>
      <w:r w:rsidRPr="00E853FE">
        <w:rPr>
          <w:rtl/>
        </w:rPr>
        <w:t xml:space="preserve"> </w:t>
      </w:r>
      <w:r w:rsidRPr="00E853FE">
        <w:rPr>
          <w:rFonts w:hint="eastAsia"/>
          <w:rtl/>
        </w:rPr>
        <w:t>זה</w:t>
      </w:r>
      <w:r w:rsidRPr="00E853FE">
        <w:rPr>
          <w:rtl/>
        </w:rPr>
        <w:t xml:space="preserve"> </w:t>
      </w:r>
      <w:r w:rsidRPr="00E853FE">
        <w:rPr>
          <w:rFonts w:hint="eastAsia"/>
          <w:rtl/>
        </w:rPr>
        <w:t>הב</w:t>
      </w:r>
      <w:r w:rsidRPr="00E853FE">
        <w:rPr>
          <w:rtl/>
        </w:rPr>
        <w:t xml:space="preserve">' </w:t>
      </w:r>
      <w:r w:rsidRPr="00E853FE">
        <w:rPr>
          <w:rFonts w:hint="eastAsia"/>
          <w:rtl/>
        </w:rPr>
        <w:t>באורך</w:t>
      </w:r>
      <w:r w:rsidRPr="00E853FE">
        <w:rPr>
          <w:rtl/>
        </w:rPr>
        <w:t xml:space="preserve"> </w:t>
      </w:r>
      <w:r w:rsidRPr="00E853FE">
        <w:rPr>
          <w:rFonts w:hint="eastAsia"/>
          <w:rtl/>
        </w:rPr>
        <w:t>גדול</w:t>
      </w:r>
      <w:r w:rsidRPr="00E853FE">
        <w:rPr>
          <w:rtl/>
        </w:rPr>
        <w:t>).</w:t>
      </w:r>
    </w:p>
    <w:p w:rsidR="001B37D0" w:rsidRPr="00E853FE" w:rsidRDefault="001B37D0" w:rsidP="00F146A6">
      <w:pPr>
        <w:pStyle w:val="a3"/>
        <w:rPr>
          <w:rtl/>
        </w:rPr>
      </w:pPr>
      <w:r w:rsidRPr="00E853FE">
        <w:rPr>
          <w:rFonts w:hint="eastAsia"/>
          <w:rtl/>
        </w:rPr>
        <w:t>והנה</w:t>
      </w:r>
      <w:r w:rsidRPr="00E853FE">
        <w:rPr>
          <w:rtl/>
        </w:rPr>
        <w:t xml:space="preserve"> </w:t>
      </w:r>
      <w:r w:rsidRPr="00E853FE">
        <w:rPr>
          <w:rFonts w:hint="eastAsia"/>
          <w:rtl/>
        </w:rPr>
        <w:t>בא</w:t>
      </w:r>
      <w:r w:rsidRPr="00E853FE">
        <w:rPr>
          <w:rtl/>
        </w:rPr>
        <w:t>"</w:t>
      </w:r>
      <w:r w:rsidRPr="00E853FE">
        <w:rPr>
          <w:rFonts w:hint="eastAsia"/>
          <w:rtl/>
        </w:rPr>
        <w:t>נ</w:t>
      </w:r>
      <w:r w:rsidRPr="00E853FE">
        <w:rPr>
          <w:rtl/>
        </w:rPr>
        <w:t xml:space="preserve"> </w:t>
      </w:r>
      <w:r w:rsidRPr="00E853FE">
        <w:rPr>
          <w:rFonts w:hint="eastAsia"/>
          <w:rtl/>
        </w:rPr>
        <w:t>כאופן</w:t>
      </w:r>
      <w:r w:rsidRPr="00E853FE">
        <w:rPr>
          <w:rtl/>
        </w:rPr>
        <w:t xml:space="preserve"> </w:t>
      </w:r>
      <w:r w:rsidRPr="00E853FE">
        <w:rPr>
          <w:rFonts w:hint="eastAsia"/>
          <w:rtl/>
        </w:rPr>
        <w:t>הב</w:t>
      </w:r>
      <w:r w:rsidRPr="00E853FE">
        <w:rPr>
          <w:rtl/>
        </w:rPr>
        <w:t xml:space="preserve">' </w:t>
      </w:r>
      <w:r w:rsidRPr="00E853FE">
        <w:rPr>
          <w:rFonts w:hint="eastAsia"/>
          <w:rtl/>
        </w:rPr>
        <w:t>דאין</w:t>
      </w:r>
      <w:r w:rsidRPr="00E853FE">
        <w:rPr>
          <w:rtl/>
        </w:rPr>
        <w:t xml:space="preserve"> </w:t>
      </w:r>
      <w:r w:rsidRPr="00E853FE">
        <w:rPr>
          <w:rFonts w:hint="eastAsia"/>
          <w:rtl/>
        </w:rPr>
        <w:t>גופו</w:t>
      </w:r>
      <w:r w:rsidRPr="00E853FE">
        <w:rPr>
          <w:rtl/>
        </w:rPr>
        <w:t xml:space="preserve"> </w:t>
      </w:r>
      <w:r w:rsidRPr="00E853FE">
        <w:rPr>
          <w:rFonts w:hint="eastAsia"/>
          <w:rtl/>
        </w:rPr>
        <w:t>של</w:t>
      </w:r>
      <w:r w:rsidRPr="00E853FE">
        <w:rPr>
          <w:rtl/>
        </w:rPr>
        <w:t xml:space="preserve"> </w:t>
      </w:r>
      <w:r w:rsidRPr="00E853FE">
        <w:rPr>
          <w:rFonts w:hint="eastAsia"/>
          <w:rtl/>
        </w:rPr>
        <w:t>אדם</w:t>
      </w:r>
      <w:r w:rsidRPr="00E853FE">
        <w:rPr>
          <w:rtl/>
        </w:rPr>
        <w:t xml:space="preserve"> </w:t>
      </w:r>
      <w:r w:rsidRPr="00E853FE">
        <w:rPr>
          <w:rFonts w:hint="eastAsia"/>
          <w:rtl/>
        </w:rPr>
        <w:t>בבעלותו</w:t>
      </w:r>
      <w:r w:rsidRPr="00E853FE">
        <w:rPr>
          <w:rtl/>
        </w:rPr>
        <w:t xml:space="preserve"> </w:t>
      </w:r>
      <w:r w:rsidRPr="00E853FE">
        <w:rPr>
          <w:rFonts w:hint="eastAsia"/>
          <w:rtl/>
        </w:rPr>
        <w:t>כלל</w:t>
      </w:r>
      <w:r w:rsidRPr="00E853FE">
        <w:rPr>
          <w:rtl/>
        </w:rPr>
        <w:t xml:space="preserve">. </w:t>
      </w:r>
      <w:r w:rsidRPr="00E853FE">
        <w:rPr>
          <w:rFonts w:hint="eastAsia"/>
          <w:rtl/>
        </w:rPr>
        <w:t>ונוסיף</w:t>
      </w:r>
      <w:r w:rsidRPr="00E853FE">
        <w:rPr>
          <w:rtl/>
        </w:rPr>
        <w:t xml:space="preserve"> </w:t>
      </w:r>
      <w:r w:rsidRPr="00E853FE">
        <w:rPr>
          <w:rFonts w:hint="eastAsia"/>
          <w:rtl/>
        </w:rPr>
        <w:t>בזה</w:t>
      </w:r>
      <w:r w:rsidRPr="00E853FE">
        <w:rPr>
          <w:rtl/>
        </w:rPr>
        <w:t xml:space="preserve"> - </w:t>
      </w:r>
      <w:r w:rsidRPr="00E853FE">
        <w:rPr>
          <w:rFonts w:hint="eastAsia"/>
          <w:rtl/>
        </w:rPr>
        <w:t>דהפקעת</w:t>
      </w:r>
      <w:r w:rsidRPr="00E853FE">
        <w:rPr>
          <w:rtl/>
        </w:rPr>
        <w:t xml:space="preserve"> </w:t>
      </w:r>
      <w:r w:rsidRPr="00E853FE">
        <w:rPr>
          <w:rFonts w:hint="eastAsia"/>
          <w:rtl/>
        </w:rPr>
        <w:t>בעלות</w:t>
      </w:r>
      <w:r w:rsidRPr="00E853FE">
        <w:rPr>
          <w:rtl/>
        </w:rPr>
        <w:t xml:space="preserve"> </w:t>
      </w:r>
      <w:r w:rsidRPr="00E853FE">
        <w:rPr>
          <w:rFonts w:hint="eastAsia"/>
          <w:rtl/>
        </w:rPr>
        <w:t>האדם</w:t>
      </w:r>
      <w:r w:rsidRPr="00E853FE">
        <w:rPr>
          <w:rtl/>
        </w:rPr>
        <w:t xml:space="preserve"> </w:t>
      </w:r>
      <w:r w:rsidRPr="00E853FE">
        <w:rPr>
          <w:rFonts w:hint="eastAsia"/>
          <w:rtl/>
        </w:rPr>
        <w:t>אינה</w:t>
      </w:r>
      <w:r w:rsidRPr="00E853FE">
        <w:rPr>
          <w:rtl/>
        </w:rPr>
        <w:t xml:space="preserve"> </w:t>
      </w:r>
      <w:r w:rsidRPr="00E853FE">
        <w:rPr>
          <w:rFonts w:hint="eastAsia"/>
          <w:rtl/>
        </w:rPr>
        <w:t>רק</w:t>
      </w:r>
      <w:r w:rsidRPr="00E853FE">
        <w:rPr>
          <w:rtl/>
        </w:rPr>
        <w:t xml:space="preserve"> </w:t>
      </w:r>
      <w:r w:rsidRPr="00BE716B">
        <w:rPr>
          <w:rFonts w:hint="eastAsia"/>
          <w:b/>
          <w:bCs/>
          <w:rtl/>
        </w:rPr>
        <w:t>מנפשו</w:t>
      </w:r>
      <w:r w:rsidRPr="00E853FE">
        <w:rPr>
          <w:rtl/>
        </w:rPr>
        <w:t xml:space="preserve"> </w:t>
      </w:r>
      <w:r w:rsidRPr="00E853FE">
        <w:rPr>
          <w:rFonts w:hint="eastAsia"/>
          <w:rtl/>
        </w:rPr>
        <w:t>כי</w:t>
      </w:r>
      <w:r w:rsidRPr="00E853FE">
        <w:rPr>
          <w:rtl/>
        </w:rPr>
        <w:t xml:space="preserve"> </w:t>
      </w:r>
      <w:r w:rsidRPr="00E853FE">
        <w:rPr>
          <w:rFonts w:hint="eastAsia"/>
          <w:rtl/>
        </w:rPr>
        <w:t>אם</w:t>
      </w:r>
      <w:r w:rsidRPr="00E853FE">
        <w:rPr>
          <w:rtl/>
        </w:rPr>
        <w:t xml:space="preserve"> </w:t>
      </w:r>
      <w:r w:rsidRPr="00E853FE">
        <w:rPr>
          <w:rFonts w:hint="eastAsia"/>
          <w:rtl/>
        </w:rPr>
        <w:t>אף</w:t>
      </w:r>
      <w:r w:rsidRPr="00E853FE">
        <w:rPr>
          <w:rtl/>
        </w:rPr>
        <w:t xml:space="preserve"> </w:t>
      </w:r>
      <w:r w:rsidRPr="00BE716B">
        <w:rPr>
          <w:rFonts w:hint="eastAsia"/>
          <w:b/>
          <w:bCs/>
          <w:rtl/>
        </w:rPr>
        <w:t>מגופו</w:t>
      </w:r>
      <w:r w:rsidRPr="00BE716B">
        <w:rPr>
          <w:b/>
          <w:bCs/>
          <w:rtl/>
        </w:rPr>
        <w:t xml:space="preserve"> </w:t>
      </w:r>
      <w:r w:rsidRPr="00BE716B">
        <w:rPr>
          <w:rFonts w:hint="eastAsia"/>
          <w:b/>
          <w:bCs/>
          <w:rtl/>
        </w:rPr>
        <w:t>ואבריו</w:t>
      </w:r>
      <w:r w:rsidRPr="00E853FE">
        <w:rPr>
          <w:rtl/>
        </w:rPr>
        <w:t xml:space="preserve"> </w:t>
      </w:r>
      <w:r w:rsidRPr="00E853FE">
        <w:rPr>
          <w:rFonts w:hint="eastAsia"/>
          <w:rtl/>
        </w:rPr>
        <w:t>דלא</w:t>
      </w:r>
      <w:r w:rsidRPr="00E853FE">
        <w:rPr>
          <w:rtl/>
        </w:rPr>
        <w:t xml:space="preserve"> </w:t>
      </w:r>
      <w:r w:rsidRPr="00E853FE">
        <w:rPr>
          <w:rFonts w:hint="eastAsia"/>
          <w:rtl/>
        </w:rPr>
        <w:t>רק</w:t>
      </w:r>
      <w:r w:rsidRPr="00E853FE">
        <w:rPr>
          <w:rtl/>
        </w:rPr>
        <w:t xml:space="preserve"> </w:t>
      </w:r>
      <w:r w:rsidRPr="00E853FE">
        <w:rPr>
          <w:rFonts w:hint="eastAsia"/>
          <w:rtl/>
        </w:rPr>
        <w:t>שאין</w:t>
      </w:r>
      <w:r w:rsidRPr="00E853FE">
        <w:rPr>
          <w:rtl/>
        </w:rPr>
        <w:t xml:space="preserve"> </w:t>
      </w:r>
      <w:r w:rsidRPr="00E853FE">
        <w:rPr>
          <w:rFonts w:hint="eastAsia"/>
          <w:rtl/>
        </w:rPr>
        <w:t>נפשו</w:t>
      </w:r>
      <w:r w:rsidRPr="00E853FE">
        <w:rPr>
          <w:rtl/>
        </w:rPr>
        <w:t xml:space="preserve"> </w:t>
      </w:r>
      <w:r w:rsidRPr="00E853FE">
        <w:rPr>
          <w:rFonts w:hint="eastAsia"/>
          <w:rtl/>
        </w:rPr>
        <w:t>וחייו</w:t>
      </w:r>
      <w:r w:rsidRPr="00E853FE">
        <w:rPr>
          <w:rtl/>
        </w:rPr>
        <w:t xml:space="preserve"> </w:t>
      </w:r>
      <w:r w:rsidRPr="00E853FE">
        <w:rPr>
          <w:rFonts w:hint="eastAsia"/>
          <w:rtl/>
        </w:rPr>
        <w:t>ברשותו</w:t>
      </w:r>
      <w:r w:rsidRPr="00E853FE">
        <w:rPr>
          <w:rtl/>
        </w:rPr>
        <w:t xml:space="preserve"> </w:t>
      </w:r>
      <w:r w:rsidRPr="00E853FE">
        <w:rPr>
          <w:rFonts w:hint="eastAsia"/>
          <w:rtl/>
        </w:rPr>
        <w:t>כי</w:t>
      </w:r>
      <w:r w:rsidRPr="00E853FE">
        <w:rPr>
          <w:rtl/>
        </w:rPr>
        <w:t xml:space="preserve"> </w:t>
      </w:r>
      <w:r w:rsidRPr="00E853FE">
        <w:rPr>
          <w:rFonts w:hint="eastAsia"/>
          <w:rtl/>
        </w:rPr>
        <w:t>אם</w:t>
      </w:r>
      <w:r w:rsidRPr="00E853FE">
        <w:rPr>
          <w:rtl/>
        </w:rPr>
        <w:t xml:space="preserve"> </w:t>
      </w:r>
      <w:r w:rsidRPr="00E853FE">
        <w:rPr>
          <w:rFonts w:hint="eastAsia"/>
          <w:rtl/>
        </w:rPr>
        <w:t>אף</w:t>
      </w:r>
      <w:r w:rsidRPr="00E853FE">
        <w:rPr>
          <w:rtl/>
        </w:rPr>
        <w:t xml:space="preserve"> </w:t>
      </w:r>
      <w:r w:rsidRPr="00BE716B">
        <w:rPr>
          <w:rFonts w:hint="eastAsia"/>
          <w:b/>
          <w:bCs/>
          <w:rtl/>
        </w:rPr>
        <w:t>גופו</w:t>
      </w:r>
      <w:r w:rsidRPr="00E853FE">
        <w:rPr>
          <w:rtl/>
        </w:rPr>
        <w:t xml:space="preserve"> (</w:t>
      </w:r>
      <w:r w:rsidRPr="00E853FE">
        <w:rPr>
          <w:rFonts w:hint="eastAsia"/>
          <w:rtl/>
        </w:rPr>
        <w:t>ועיין</w:t>
      </w:r>
      <w:r w:rsidRPr="00E853FE">
        <w:rPr>
          <w:rtl/>
        </w:rPr>
        <w:t xml:space="preserve"> </w:t>
      </w:r>
      <w:r w:rsidRPr="00E853FE">
        <w:rPr>
          <w:rFonts w:hint="eastAsia"/>
          <w:rtl/>
        </w:rPr>
        <w:t>בלקו</w:t>
      </w:r>
      <w:r w:rsidRPr="00E853FE">
        <w:rPr>
          <w:rtl/>
        </w:rPr>
        <w:t>"</w:t>
      </w:r>
      <w:r w:rsidRPr="00E853FE">
        <w:rPr>
          <w:rFonts w:hint="eastAsia"/>
          <w:rtl/>
        </w:rPr>
        <w:t>ש</w:t>
      </w:r>
      <w:r w:rsidRPr="00E853FE">
        <w:rPr>
          <w:rtl/>
        </w:rPr>
        <w:t xml:space="preserve"> </w:t>
      </w:r>
      <w:r w:rsidRPr="00E853FE">
        <w:rPr>
          <w:rFonts w:hint="eastAsia"/>
          <w:rtl/>
        </w:rPr>
        <w:t>ובלאור</w:t>
      </w:r>
      <w:r w:rsidRPr="00E853FE">
        <w:rPr>
          <w:rtl/>
        </w:rPr>
        <w:t xml:space="preserve"> </w:t>
      </w:r>
      <w:r w:rsidRPr="00E853FE">
        <w:rPr>
          <w:rFonts w:hint="eastAsia"/>
          <w:rtl/>
        </w:rPr>
        <w:t>ההלכה</w:t>
      </w:r>
      <w:r w:rsidRPr="00E853FE">
        <w:rPr>
          <w:rtl/>
        </w:rPr>
        <w:t xml:space="preserve"> </w:t>
      </w:r>
      <w:r w:rsidRPr="00E853FE">
        <w:rPr>
          <w:rFonts w:hint="eastAsia"/>
          <w:rtl/>
        </w:rPr>
        <w:t>שם</w:t>
      </w:r>
      <w:r w:rsidRPr="00E853FE">
        <w:rPr>
          <w:rtl/>
        </w:rPr>
        <w:t xml:space="preserve"> </w:t>
      </w:r>
      <w:r w:rsidRPr="00E853FE">
        <w:rPr>
          <w:rFonts w:hint="eastAsia"/>
          <w:rtl/>
        </w:rPr>
        <w:t>שכתבו</w:t>
      </w:r>
      <w:r w:rsidRPr="00E853FE">
        <w:rPr>
          <w:rtl/>
        </w:rPr>
        <w:t xml:space="preserve"> </w:t>
      </w:r>
      <w:r w:rsidRPr="00E853FE">
        <w:rPr>
          <w:rFonts w:hint="eastAsia"/>
          <w:rtl/>
        </w:rPr>
        <w:t>כן</w:t>
      </w:r>
      <w:r w:rsidRPr="00E853FE">
        <w:rPr>
          <w:rtl/>
        </w:rPr>
        <w:t xml:space="preserve">, </w:t>
      </w:r>
      <w:r w:rsidRPr="00E853FE">
        <w:rPr>
          <w:rFonts w:hint="eastAsia"/>
          <w:rtl/>
        </w:rPr>
        <w:t>ועיי</w:t>
      </w:r>
      <w:r w:rsidRPr="00E853FE">
        <w:rPr>
          <w:rtl/>
        </w:rPr>
        <w:t>"</w:t>
      </w:r>
      <w:r w:rsidRPr="00E853FE">
        <w:rPr>
          <w:rFonts w:hint="eastAsia"/>
          <w:rtl/>
        </w:rPr>
        <w:t>ש</w:t>
      </w:r>
      <w:r w:rsidRPr="00E853FE">
        <w:rPr>
          <w:rtl/>
        </w:rPr>
        <w:t xml:space="preserve"> </w:t>
      </w:r>
      <w:r w:rsidRPr="00E853FE">
        <w:rPr>
          <w:rFonts w:hint="eastAsia"/>
          <w:rtl/>
        </w:rPr>
        <w:t>שכתבו</w:t>
      </w:r>
      <w:r w:rsidRPr="00E853FE">
        <w:rPr>
          <w:rtl/>
        </w:rPr>
        <w:t xml:space="preserve"> </w:t>
      </w:r>
      <w:r w:rsidRPr="00E853FE">
        <w:rPr>
          <w:rFonts w:hint="eastAsia"/>
          <w:rtl/>
        </w:rPr>
        <w:t>להוכיח</w:t>
      </w:r>
      <w:r w:rsidRPr="00E853FE">
        <w:rPr>
          <w:rtl/>
        </w:rPr>
        <w:t xml:space="preserve"> </w:t>
      </w:r>
      <w:r w:rsidRPr="00E853FE">
        <w:rPr>
          <w:rFonts w:hint="eastAsia"/>
          <w:rtl/>
        </w:rPr>
        <w:t>כן</w:t>
      </w:r>
      <w:r w:rsidRPr="00E853FE">
        <w:rPr>
          <w:rtl/>
        </w:rPr>
        <w:t xml:space="preserve"> </w:t>
      </w:r>
      <w:r w:rsidRPr="00E853FE">
        <w:rPr>
          <w:rFonts w:hint="eastAsia"/>
          <w:rtl/>
        </w:rPr>
        <w:t>מלשון</w:t>
      </w:r>
      <w:r w:rsidRPr="00E853FE">
        <w:rPr>
          <w:rtl/>
        </w:rPr>
        <w:t xml:space="preserve"> </w:t>
      </w:r>
      <w:r w:rsidRPr="00E853FE">
        <w:rPr>
          <w:rFonts w:hint="eastAsia"/>
          <w:rtl/>
        </w:rPr>
        <w:t>אדה</w:t>
      </w:r>
      <w:r w:rsidRPr="00E853FE">
        <w:rPr>
          <w:rtl/>
        </w:rPr>
        <w:t>"</w:t>
      </w:r>
      <w:r w:rsidRPr="00E853FE">
        <w:rPr>
          <w:rFonts w:hint="eastAsia"/>
          <w:rtl/>
        </w:rPr>
        <w:t>ז</w:t>
      </w:r>
      <w:r w:rsidRPr="00E853FE">
        <w:rPr>
          <w:rtl/>
        </w:rPr>
        <w:t xml:space="preserve"> </w:t>
      </w:r>
      <w:r w:rsidRPr="00E853FE">
        <w:rPr>
          <w:rFonts w:hint="eastAsia"/>
          <w:rtl/>
        </w:rPr>
        <w:t>עצמו</w:t>
      </w:r>
      <w:r w:rsidRPr="00E853FE">
        <w:rPr>
          <w:rtl/>
        </w:rPr>
        <w:t xml:space="preserve">), </w:t>
      </w:r>
      <w:r w:rsidRPr="00E853FE">
        <w:rPr>
          <w:rFonts w:hint="eastAsia"/>
          <w:rtl/>
        </w:rPr>
        <w:t>א</w:t>
      </w:r>
      <w:r w:rsidRPr="00E853FE">
        <w:rPr>
          <w:rtl/>
        </w:rPr>
        <w:t>"</w:t>
      </w:r>
      <w:r w:rsidRPr="00E853FE">
        <w:rPr>
          <w:rFonts w:hint="eastAsia"/>
          <w:rtl/>
        </w:rPr>
        <w:t>כ</w:t>
      </w:r>
      <w:r w:rsidRPr="00E853FE">
        <w:rPr>
          <w:rtl/>
        </w:rPr>
        <w:t xml:space="preserve"> </w:t>
      </w:r>
      <w:r w:rsidRPr="00E853FE">
        <w:rPr>
          <w:rFonts w:hint="eastAsia"/>
          <w:rtl/>
        </w:rPr>
        <w:t>יהיה</w:t>
      </w:r>
      <w:r w:rsidRPr="00E853FE">
        <w:rPr>
          <w:rtl/>
        </w:rPr>
        <w:t xml:space="preserve"> </w:t>
      </w:r>
      <w:r w:rsidRPr="00E853FE">
        <w:rPr>
          <w:rFonts w:hint="eastAsia"/>
          <w:rtl/>
        </w:rPr>
        <w:t>אפשר</w:t>
      </w:r>
      <w:r w:rsidRPr="00E853FE">
        <w:rPr>
          <w:rtl/>
        </w:rPr>
        <w:t xml:space="preserve"> </w:t>
      </w:r>
      <w:r w:rsidRPr="00E853FE">
        <w:rPr>
          <w:rFonts w:hint="eastAsia"/>
          <w:rtl/>
        </w:rPr>
        <w:t>לבאר</w:t>
      </w:r>
      <w:r w:rsidRPr="00E853FE">
        <w:rPr>
          <w:rtl/>
        </w:rPr>
        <w:t xml:space="preserve"> </w:t>
      </w:r>
      <w:r w:rsidRPr="00E853FE">
        <w:rPr>
          <w:rFonts w:hint="eastAsia"/>
          <w:rtl/>
        </w:rPr>
        <w:t>את</w:t>
      </w:r>
      <w:r w:rsidRPr="00E853FE">
        <w:rPr>
          <w:rtl/>
        </w:rPr>
        <w:t xml:space="preserve"> </w:t>
      </w:r>
      <w:r w:rsidRPr="00E853FE">
        <w:rPr>
          <w:rFonts w:hint="eastAsia"/>
          <w:rtl/>
        </w:rPr>
        <w:t>שיטת</w:t>
      </w:r>
      <w:r w:rsidRPr="00E853FE">
        <w:rPr>
          <w:rtl/>
        </w:rPr>
        <w:t xml:space="preserve"> </w:t>
      </w:r>
      <w:r w:rsidRPr="00E853FE">
        <w:rPr>
          <w:rFonts w:hint="eastAsia"/>
          <w:rtl/>
        </w:rPr>
        <w:t>אדה</w:t>
      </w:r>
      <w:r w:rsidRPr="00E853FE">
        <w:rPr>
          <w:rtl/>
        </w:rPr>
        <w:t>"</w:t>
      </w:r>
      <w:r w:rsidRPr="00E853FE">
        <w:rPr>
          <w:rFonts w:hint="eastAsia"/>
          <w:rtl/>
        </w:rPr>
        <w:t>ז</w:t>
      </w:r>
      <w:r w:rsidRPr="00E853FE">
        <w:rPr>
          <w:rtl/>
        </w:rPr>
        <w:t xml:space="preserve"> (</w:t>
      </w:r>
      <w:r w:rsidRPr="00E853FE">
        <w:rPr>
          <w:rFonts w:hint="eastAsia"/>
          <w:rtl/>
        </w:rPr>
        <w:t>כפי</w:t>
      </w:r>
      <w:r w:rsidRPr="00E853FE">
        <w:rPr>
          <w:rtl/>
        </w:rPr>
        <w:t xml:space="preserve"> </w:t>
      </w:r>
      <w:r w:rsidRPr="00E853FE">
        <w:rPr>
          <w:rFonts w:hint="eastAsia"/>
          <w:rtl/>
        </w:rPr>
        <w:t>שייסד</w:t>
      </w:r>
      <w:r w:rsidRPr="00E853FE">
        <w:rPr>
          <w:rtl/>
        </w:rPr>
        <w:t xml:space="preserve"> </w:t>
      </w:r>
      <w:r w:rsidRPr="00E853FE">
        <w:rPr>
          <w:rFonts w:hint="eastAsia"/>
          <w:rtl/>
        </w:rPr>
        <w:t>הר</w:t>
      </w:r>
      <w:r w:rsidRPr="00E853FE">
        <w:rPr>
          <w:rtl/>
        </w:rPr>
        <w:t xml:space="preserve">' </w:t>
      </w:r>
      <w:r w:rsidRPr="00E853FE">
        <w:rPr>
          <w:rFonts w:hint="eastAsia"/>
          <w:rtl/>
        </w:rPr>
        <w:t>קלמנסון</w:t>
      </w:r>
      <w:r w:rsidRPr="00E853FE">
        <w:rPr>
          <w:rtl/>
        </w:rPr>
        <w:t xml:space="preserve"> - </w:t>
      </w:r>
      <w:r w:rsidRPr="00E853FE">
        <w:rPr>
          <w:rFonts w:hint="eastAsia"/>
          <w:rtl/>
        </w:rPr>
        <w:t>דס</w:t>
      </w:r>
      <w:r w:rsidRPr="00E853FE">
        <w:rPr>
          <w:rtl/>
        </w:rPr>
        <w:t>"</w:t>
      </w:r>
      <w:r w:rsidRPr="00E853FE">
        <w:rPr>
          <w:rFonts w:hint="eastAsia"/>
          <w:rtl/>
        </w:rPr>
        <w:t>ל</w:t>
      </w:r>
      <w:r w:rsidRPr="00E853FE">
        <w:rPr>
          <w:rtl/>
        </w:rPr>
        <w:t xml:space="preserve"> </w:t>
      </w:r>
      <w:r w:rsidRPr="00E853FE">
        <w:rPr>
          <w:rFonts w:hint="eastAsia"/>
          <w:rtl/>
        </w:rPr>
        <w:t>לאדה</w:t>
      </w:r>
      <w:r w:rsidRPr="00E853FE">
        <w:rPr>
          <w:rtl/>
        </w:rPr>
        <w:t>"</w:t>
      </w:r>
      <w:r w:rsidRPr="00E853FE">
        <w:rPr>
          <w:rFonts w:hint="eastAsia"/>
          <w:rtl/>
        </w:rPr>
        <w:t>ז</w:t>
      </w:r>
      <w:r w:rsidRPr="00E853FE">
        <w:rPr>
          <w:rtl/>
        </w:rPr>
        <w:t xml:space="preserve"> </w:t>
      </w:r>
      <w:r w:rsidRPr="00E853FE">
        <w:rPr>
          <w:rFonts w:hint="eastAsia"/>
          <w:rtl/>
        </w:rPr>
        <w:t>דהחיוב</w:t>
      </w:r>
      <w:r w:rsidRPr="00E853FE">
        <w:rPr>
          <w:rtl/>
        </w:rPr>
        <w:t xml:space="preserve"> </w:t>
      </w:r>
      <w:r w:rsidRPr="00E853FE">
        <w:rPr>
          <w:rFonts w:hint="eastAsia"/>
          <w:rtl/>
        </w:rPr>
        <w:t>שמירה</w:t>
      </w:r>
      <w:r w:rsidRPr="00E853FE">
        <w:rPr>
          <w:rtl/>
        </w:rPr>
        <w:t xml:space="preserve"> </w:t>
      </w:r>
      <w:r w:rsidRPr="00E853FE">
        <w:rPr>
          <w:rFonts w:hint="eastAsia"/>
          <w:rtl/>
        </w:rPr>
        <w:t>על</w:t>
      </w:r>
      <w:r w:rsidRPr="00E853FE">
        <w:rPr>
          <w:rtl/>
        </w:rPr>
        <w:t xml:space="preserve"> </w:t>
      </w:r>
      <w:r w:rsidRPr="00E853FE">
        <w:rPr>
          <w:rFonts w:hint="eastAsia"/>
          <w:rtl/>
        </w:rPr>
        <w:t>הגוף</w:t>
      </w:r>
      <w:r w:rsidRPr="00E853FE">
        <w:rPr>
          <w:rtl/>
        </w:rPr>
        <w:t xml:space="preserve"> </w:t>
      </w:r>
      <w:r w:rsidRPr="00E853FE">
        <w:rPr>
          <w:rFonts w:hint="eastAsia"/>
          <w:rtl/>
        </w:rPr>
        <w:t>הוא</w:t>
      </w:r>
      <w:r w:rsidRPr="00E853FE">
        <w:rPr>
          <w:rtl/>
        </w:rPr>
        <w:t xml:space="preserve"> </w:t>
      </w:r>
      <w:r w:rsidRPr="00E853FE">
        <w:rPr>
          <w:rFonts w:hint="eastAsia"/>
          <w:rtl/>
        </w:rPr>
        <w:t>מצד</w:t>
      </w:r>
      <w:r w:rsidRPr="00E853FE">
        <w:rPr>
          <w:rtl/>
        </w:rPr>
        <w:t xml:space="preserve"> </w:t>
      </w:r>
      <w:r w:rsidRPr="00E853FE">
        <w:rPr>
          <w:rFonts w:hint="eastAsia"/>
          <w:rtl/>
        </w:rPr>
        <w:t>הגוף</w:t>
      </w:r>
      <w:r w:rsidRPr="00E853FE">
        <w:rPr>
          <w:rtl/>
        </w:rPr>
        <w:t xml:space="preserve"> </w:t>
      </w:r>
      <w:r w:rsidRPr="00E853FE">
        <w:rPr>
          <w:rFonts w:hint="eastAsia"/>
          <w:rtl/>
        </w:rPr>
        <w:t>ולא</w:t>
      </w:r>
      <w:r w:rsidRPr="00E853FE">
        <w:rPr>
          <w:rtl/>
        </w:rPr>
        <w:t xml:space="preserve"> </w:t>
      </w:r>
      <w:r w:rsidRPr="00E853FE">
        <w:rPr>
          <w:rFonts w:hint="eastAsia"/>
          <w:rtl/>
        </w:rPr>
        <w:t>רק</w:t>
      </w:r>
      <w:r w:rsidRPr="00E853FE">
        <w:rPr>
          <w:rtl/>
        </w:rPr>
        <w:t xml:space="preserve"> </w:t>
      </w:r>
      <w:r w:rsidRPr="00E853FE">
        <w:rPr>
          <w:rFonts w:hint="eastAsia"/>
          <w:rtl/>
        </w:rPr>
        <w:t>כהכשר</w:t>
      </w:r>
      <w:r w:rsidRPr="00E853FE">
        <w:rPr>
          <w:rtl/>
        </w:rPr>
        <w:t xml:space="preserve"> </w:t>
      </w:r>
      <w:r w:rsidRPr="00E853FE">
        <w:rPr>
          <w:rFonts w:hint="eastAsia"/>
          <w:rtl/>
        </w:rPr>
        <w:t>לשמירת</w:t>
      </w:r>
      <w:r w:rsidRPr="00E853FE">
        <w:rPr>
          <w:rtl/>
        </w:rPr>
        <w:t xml:space="preserve"> </w:t>
      </w:r>
      <w:r w:rsidRPr="00E853FE">
        <w:rPr>
          <w:rFonts w:hint="eastAsia"/>
          <w:rtl/>
        </w:rPr>
        <w:t>נפש</w:t>
      </w:r>
      <w:r w:rsidRPr="00E853FE">
        <w:rPr>
          <w:rtl/>
        </w:rPr>
        <w:t xml:space="preserve">) </w:t>
      </w:r>
      <w:r w:rsidRPr="00E853FE">
        <w:rPr>
          <w:rFonts w:hint="eastAsia"/>
          <w:rtl/>
        </w:rPr>
        <w:t>בפשטות</w:t>
      </w:r>
      <w:r w:rsidRPr="00E853FE">
        <w:rPr>
          <w:rtl/>
        </w:rPr>
        <w:t xml:space="preserve">, </w:t>
      </w:r>
      <w:r w:rsidRPr="00E853FE">
        <w:rPr>
          <w:rFonts w:hint="eastAsia"/>
          <w:rtl/>
        </w:rPr>
        <w:t>דגם</w:t>
      </w:r>
      <w:r w:rsidRPr="00E853FE">
        <w:rPr>
          <w:rtl/>
        </w:rPr>
        <w:t xml:space="preserve"> </w:t>
      </w:r>
      <w:r w:rsidRPr="00E853FE">
        <w:rPr>
          <w:rFonts w:hint="eastAsia"/>
          <w:rtl/>
        </w:rPr>
        <w:t>בא</w:t>
      </w:r>
      <w:r w:rsidRPr="00E853FE">
        <w:rPr>
          <w:rtl/>
        </w:rPr>
        <w:t>"</w:t>
      </w:r>
      <w:r w:rsidRPr="00E853FE">
        <w:rPr>
          <w:rFonts w:hint="eastAsia"/>
          <w:rtl/>
        </w:rPr>
        <w:t>נ</w:t>
      </w:r>
      <w:r w:rsidRPr="00E853FE">
        <w:rPr>
          <w:rtl/>
        </w:rPr>
        <w:t xml:space="preserve"> </w:t>
      </w:r>
      <w:r w:rsidRPr="00E853FE">
        <w:rPr>
          <w:rFonts w:hint="eastAsia"/>
          <w:rtl/>
        </w:rPr>
        <w:t>דאין</w:t>
      </w:r>
      <w:r w:rsidRPr="00E853FE">
        <w:rPr>
          <w:rtl/>
        </w:rPr>
        <w:t xml:space="preserve"> </w:t>
      </w:r>
      <w:r w:rsidRPr="00E853FE">
        <w:rPr>
          <w:rFonts w:hint="eastAsia"/>
          <w:rtl/>
        </w:rPr>
        <w:t>להגוף</w:t>
      </w:r>
      <w:r w:rsidRPr="00E853FE">
        <w:rPr>
          <w:rtl/>
        </w:rPr>
        <w:t xml:space="preserve"> </w:t>
      </w:r>
      <w:r w:rsidRPr="00E853FE">
        <w:rPr>
          <w:rFonts w:hint="eastAsia"/>
          <w:rtl/>
        </w:rPr>
        <w:t>שום</w:t>
      </w:r>
      <w:r w:rsidRPr="00E853FE">
        <w:rPr>
          <w:rtl/>
        </w:rPr>
        <w:t xml:space="preserve"> </w:t>
      </w:r>
      <w:r w:rsidRPr="00E853FE">
        <w:rPr>
          <w:rFonts w:hint="eastAsia"/>
          <w:rtl/>
        </w:rPr>
        <w:t>מעלה</w:t>
      </w:r>
      <w:r w:rsidRPr="00E853FE">
        <w:rPr>
          <w:rtl/>
        </w:rPr>
        <w:t xml:space="preserve"> </w:t>
      </w:r>
      <w:r w:rsidRPr="00E853FE">
        <w:rPr>
          <w:rFonts w:hint="eastAsia"/>
          <w:rtl/>
        </w:rPr>
        <w:t>מצ</w:t>
      </w:r>
      <w:r w:rsidRPr="00E853FE">
        <w:rPr>
          <w:rtl/>
        </w:rPr>
        <w:t>"</w:t>
      </w:r>
      <w:r w:rsidRPr="00E853FE">
        <w:rPr>
          <w:rFonts w:hint="eastAsia"/>
          <w:rtl/>
        </w:rPr>
        <w:t>ע</w:t>
      </w:r>
      <w:r w:rsidRPr="00E853FE">
        <w:rPr>
          <w:rtl/>
        </w:rPr>
        <w:t xml:space="preserve"> </w:t>
      </w:r>
      <w:r w:rsidRPr="00E853FE">
        <w:rPr>
          <w:rFonts w:hint="eastAsia"/>
          <w:rtl/>
        </w:rPr>
        <w:t>ובאמת</w:t>
      </w:r>
      <w:r w:rsidRPr="00E853FE">
        <w:rPr>
          <w:rtl/>
        </w:rPr>
        <w:t xml:space="preserve"> </w:t>
      </w:r>
      <w:r w:rsidRPr="00E853FE">
        <w:rPr>
          <w:rFonts w:hint="eastAsia"/>
          <w:rtl/>
        </w:rPr>
        <w:t>הוא</w:t>
      </w:r>
      <w:r w:rsidRPr="00E853FE">
        <w:rPr>
          <w:rtl/>
        </w:rPr>
        <w:t xml:space="preserve"> </w:t>
      </w:r>
      <w:r w:rsidRPr="00E853FE">
        <w:rPr>
          <w:rFonts w:hint="eastAsia"/>
          <w:rtl/>
        </w:rPr>
        <w:t>חפצא</w:t>
      </w:r>
      <w:r w:rsidRPr="00E853FE">
        <w:rPr>
          <w:rtl/>
        </w:rPr>
        <w:t xml:space="preserve"> </w:t>
      </w:r>
      <w:r w:rsidRPr="00E853FE">
        <w:rPr>
          <w:rFonts w:hint="eastAsia"/>
          <w:rtl/>
        </w:rPr>
        <w:t>נחות</w:t>
      </w:r>
      <w:r w:rsidRPr="00E853FE">
        <w:rPr>
          <w:rtl/>
        </w:rPr>
        <w:t xml:space="preserve"> </w:t>
      </w:r>
      <w:r w:rsidRPr="00E853FE">
        <w:rPr>
          <w:rFonts w:hint="eastAsia"/>
          <w:rtl/>
        </w:rPr>
        <w:t>ופחות</w:t>
      </w:r>
      <w:r w:rsidRPr="00E853FE">
        <w:rPr>
          <w:rtl/>
        </w:rPr>
        <w:t xml:space="preserve"> </w:t>
      </w:r>
      <w:r w:rsidRPr="00E853FE">
        <w:rPr>
          <w:rFonts w:hint="eastAsia"/>
          <w:rtl/>
        </w:rPr>
        <w:t>דמצד</w:t>
      </w:r>
      <w:r w:rsidRPr="00E853FE">
        <w:rPr>
          <w:rtl/>
        </w:rPr>
        <w:t xml:space="preserve"> </w:t>
      </w:r>
      <w:r w:rsidRPr="00E853FE">
        <w:rPr>
          <w:rFonts w:hint="eastAsia"/>
          <w:rtl/>
        </w:rPr>
        <w:t>זה</w:t>
      </w:r>
      <w:r w:rsidRPr="00E853FE">
        <w:rPr>
          <w:rtl/>
        </w:rPr>
        <w:t xml:space="preserve"> </w:t>
      </w:r>
      <w:r w:rsidRPr="00E853FE">
        <w:rPr>
          <w:rFonts w:hint="eastAsia"/>
          <w:rtl/>
        </w:rPr>
        <w:t>לא</w:t>
      </w:r>
      <w:r w:rsidRPr="00E853FE">
        <w:rPr>
          <w:rtl/>
        </w:rPr>
        <w:t xml:space="preserve"> </w:t>
      </w:r>
      <w:r w:rsidRPr="00E853FE">
        <w:rPr>
          <w:rFonts w:hint="eastAsia"/>
          <w:rtl/>
        </w:rPr>
        <w:t>שייך</w:t>
      </w:r>
      <w:r w:rsidRPr="00E853FE">
        <w:rPr>
          <w:rtl/>
        </w:rPr>
        <w:t xml:space="preserve"> </w:t>
      </w:r>
      <w:r w:rsidRPr="00E853FE">
        <w:rPr>
          <w:rFonts w:hint="eastAsia"/>
          <w:rtl/>
        </w:rPr>
        <w:t>לחדש</w:t>
      </w:r>
      <w:r w:rsidRPr="00E853FE">
        <w:rPr>
          <w:rtl/>
        </w:rPr>
        <w:t xml:space="preserve"> </w:t>
      </w:r>
      <w:r w:rsidRPr="00E853FE">
        <w:rPr>
          <w:rFonts w:hint="eastAsia"/>
          <w:rtl/>
        </w:rPr>
        <w:t>דין</w:t>
      </w:r>
      <w:r w:rsidRPr="00E853FE">
        <w:rPr>
          <w:rtl/>
        </w:rPr>
        <w:t xml:space="preserve"> </w:t>
      </w:r>
      <w:r w:rsidRPr="00E853FE">
        <w:rPr>
          <w:rFonts w:hint="eastAsia"/>
          <w:rtl/>
        </w:rPr>
        <w:t>ואיסור</w:t>
      </w:r>
      <w:r w:rsidRPr="00E853FE">
        <w:rPr>
          <w:rtl/>
        </w:rPr>
        <w:t xml:space="preserve"> </w:t>
      </w:r>
      <w:r w:rsidRPr="00E853FE">
        <w:rPr>
          <w:rFonts w:hint="eastAsia"/>
          <w:rtl/>
        </w:rPr>
        <w:t>מיוחד</w:t>
      </w:r>
      <w:r w:rsidRPr="00E853FE">
        <w:rPr>
          <w:rtl/>
        </w:rPr>
        <w:t xml:space="preserve"> </w:t>
      </w:r>
      <w:r w:rsidRPr="00E853FE">
        <w:rPr>
          <w:rFonts w:hint="eastAsia"/>
          <w:rtl/>
        </w:rPr>
        <w:t>בפ</w:t>
      </w:r>
      <w:r w:rsidRPr="00E853FE">
        <w:rPr>
          <w:rtl/>
        </w:rPr>
        <w:t>"</w:t>
      </w:r>
      <w:r w:rsidRPr="00E853FE">
        <w:rPr>
          <w:rFonts w:hint="eastAsia"/>
          <w:rtl/>
        </w:rPr>
        <w:t>ע</w:t>
      </w:r>
      <w:r w:rsidRPr="00E853FE">
        <w:rPr>
          <w:rtl/>
        </w:rPr>
        <w:t xml:space="preserve"> </w:t>
      </w:r>
      <w:r w:rsidRPr="00E853FE">
        <w:rPr>
          <w:rFonts w:hint="eastAsia"/>
          <w:rtl/>
        </w:rPr>
        <w:t>לשומרו</w:t>
      </w:r>
      <w:r w:rsidRPr="00E853FE">
        <w:rPr>
          <w:rtl/>
        </w:rPr>
        <w:t xml:space="preserve">, </w:t>
      </w:r>
      <w:r w:rsidRPr="00E853FE">
        <w:rPr>
          <w:rFonts w:hint="eastAsia"/>
          <w:rtl/>
        </w:rPr>
        <w:t>עדיין</w:t>
      </w:r>
      <w:r w:rsidRPr="00E853FE">
        <w:rPr>
          <w:rtl/>
        </w:rPr>
        <w:t xml:space="preserve"> </w:t>
      </w:r>
      <w:r w:rsidRPr="00E853FE">
        <w:rPr>
          <w:rFonts w:hint="eastAsia"/>
          <w:rtl/>
        </w:rPr>
        <w:t>י</w:t>
      </w:r>
      <w:r w:rsidRPr="00E853FE">
        <w:rPr>
          <w:rtl/>
        </w:rPr>
        <w:t>"</w:t>
      </w:r>
      <w:r w:rsidRPr="00E853FE">
        <w:rPr>
          <w:rFonts w:hint="eastAsia"/>
          <w:rtl/>
        </w:rPr>
        <w:t>ל</w:t>
      </w:r>
      <w:r w:rsidRPr="00E853FE">
        <w:rPr>
          <w:rtl/>
        </w:rPr>
        <w:t xml:space="preserve"> </w:t>
      </w:r>
      <w:r w:rsidRPr="00E853FE">
        <w:rPr>
          <w:rFonts w:hint="eastAsia"/>
          <w:rtl/>
        </w:rPr>
        <w:t>דיש</w:t>
      </w:r>
      <w:r w:rsidRPr="00E853FE">
        <w:rPr>
          <w:rtl/>
        </w:rPr>
        <w:t xml:space="preserve"> </w:t>
      </w:r>
      <w:r w:rsidRPr="00E853FE">
        <w:rPr>
          <w:rFonts w:hint="eastAsia"/>
          <w:rtl/>
        </w:rPr>
        <w:t>חיוב</w:t>
      </w:r>
      <w:r w:rsidRPr="00E853FE">
        <w:rPr>
          <w:rtl/>
        </w:rPr>
        <w:t xml:space="preserve"> "</w:t>
      </w:r>
      <w:r w:rsidRPr="00E853FE">
        <w:rPr>
          <w:rFonts w:hint="eastAsia"/>
          <w:rtl/>
        </w:rPr>
        <w:t>שמירת</w:t>
      </w:r>
      <w:r w:rsidRPr="00E853FE">
        <w:rPr>
          <w:rtl/>
        </w:rPr>
        <w:t xml:space="preserve"> </w:t>
      </w:r>
      <w:r w:rsidRPr="00BE716B">
        <w:rPr>
          <w:rFonts w:hint="eastAsia"/>
          <w:b/>
          <w:bCs/>
          <w:rtl/>
        </w:rPr>
        <w:t>גוף</w:t>
      </w:r>
      <w:r w:rsidRPr="00E853FE">
        <w:rPr>
          <w:rtl/>
        </w:rPr>
        <w:t xml:space="preserve"> (</w:t>
      </w:r>
      <w:r w:rsidRPr="00E853FE">
        <w:rPr>
          <w:rFonts w:hint="eastAsia"/>
          <w:rtl/>
        </w:rPr>
        <w:t>ונפש</w:t>
      </w:r>
      <w:r w:rsidRPr="00E853FE">
        <w:rPr>
          <w:rtl/>
        </w:rPr>
        <w:t xml:space="preserve">)" - </w:t>
      </w:r>
      <w:r w:rsidRPr="00E853FE">
        <w:rPr>
          <w:rFonts w:hint="eastAsia"/>
          <w:rtl/>
        </w:rPr>
        <w:t>היינו</w:t>
      </w:r>
      <w:r w:rsidRPr="00E853FE">
        <w:rPr>
          <w:rtl/>
        </w:rPr>
        <w:t xml:space="preserve"> </w:t>
      </w:r>
      <w:r w:rsidRPr="00E853FE">
        <w:rPr>
          <w:rFonts w:hint="eastAsia"/>
          <w:rtl/>
        </w:rPr>
        <w:t>שמירת</w:t>
      </w:r>
      <w:r w:rsidRPr="00E853FE">
        <w:rPr>
          <w:rtl/>
        </w:rPr>
        <w:t xml:space="preserve"> </w:t>
      </w:r>
      <w:r w:rsidRPr="00E853FE">
        <w:rPr>
          <w:rFonts w:hint="eastAsia"/>
          <w:rtl/>
        </w:rPr>
        <w:t>הגוף</w:t>
      </w:r>
      <w:r w:rsidRPr="00E853FE">
        <w:rPr>
          <w:rtl/>
        </w:rPr>
        <w:t xml:space="preserve"> </w:t>
      </w:r>
      <w:r w:rsidRPr="00E853FE">
        <w:rPr>
          <w:rFonts w:hint="eastAsia"/>
          <w:rtl/>
        </w:rPr>
        <w:t>מצ</w:t>
      </w:r>
      <w:r w:rsidRPr="00E853FE">
        <w:rPr>
          <w:rtl/>
        </w:rPr>
        <w:t>"</w:t>
      </w:r>
      <w:r w:rsidRPr="00E853FE">
        <w:rPr>
          <w:rFonts w:hint="eastAsia"/>
          <w:rtl/>
        </w:rPr>
        <w:t>ע</w:t>
      </w:r>
      <w:r w:rsidRPr="00E853FE">
        <w:rPr>
          <w:rtl/>
        </w:rPr>
        <w:t xml:space="preserve">, </w:t>
      </w:r>
      <w:r w:rsidRPr="00E853FE">
        <w:rPr>
          <w:rFonts w:hint="eastAsia"/>
          <w:rtl/>
        </w:rPr>
        <w:t>דהא</w:t>
      </w:r>
      <w:r w:rsidRPr="00E853FE">
        <w:rPr>
          <w:rtl/>
        </w:rPr>
        <w:t xml:space="preserve"> </w:t>
      </w:r>
      <w:r w:rsidRPr="00E853FE">
        <w:rPr>
          <w:rFonts w:hint="eastAsia"/>
          <w:rtl/>
        </w:rPr>
        <w:t>אין</w:t>
      </w:r>
      <w:r w:rsidRPr="00E853FE">
        <w:rPr>
          <w:rtl/>
        </w:rPr>
        <w:t xml:space="preserve"> </w:t>
      </w:r>
      <w:r w:rsidRPr="00E853FE">
        <w:rPr>
          <w:rFonts w:hint="eastAsia"/>
          <w:rtl/>
        </w:rPr>
        <w:t>חיוב</w:t>
      </w:r>
      <w:r w:rsidRPr="00E853FE">
        <w:rPr>
          <w:rtl/>
        </w:rPr>
        <w:t xml:space="preserve"> </w:t>
      </w:r>
      <w:r w:rsidRPr="00E853FE">
        <w:rPr>
          <w:rFonts w:hint="eastAsia"/>
          <w:rtl/>
        </w:rPr>
        <w:t>זה</w:t>
      </w:r>
      <w:r w:rsidRPr="00E853FE">
        <w:rPr>
          <w:rtl/>
        </w:rPr>
        <w:t xml:space="preserve"> </w:t>
      </w:r>
      <w:r w:rsidRPr="00E853FE">
        <w:rPr>
          <w:rFonts w:hint="eastAsia"/>
          <w:rtl/>
        </w:rPr>
        <w:t>דין</w:t>
      </w:r>
      <w:r w:rsidRPr="00E853FE">
        <w:rPr>
          <w:rtl/>
        </w:rPr>
        <w:t xml:space="preserve"> </w:t>
      </w:r>
      <w:r w:rsidRPr="00E853FE">
        <w:rPr>
          <w:rFonts w:hint="eastAsia"/>
          <w:rtl/>
        </w:rPr>
        <w:t>ואיסור</w:t>
      </w:r>
      <w:r w:rsidRPr="00E853FE">
        <w:rPr>
          <w:rtl/>
        </w:rPr>
        <w:t xml:space="preserve"> </w:t>
      </w:r>
      <w:r w:rsidRPr="00E853FE">
        <w:rPr>
          <w:rFonts w:hint="eastAsia"/>
          <w:rtl/>
        </w:rPr>
        <w:t>כי</w:t>
      </w:r>
      <w:r w:rsidRPr="00E853FE">
        <w:rPr>
          <w:rtl/>
        </w:rPr>
        <w:t xml:space="preserve"> </w:t>
      </w:r>
      <w:r w:rsidRPr="00E853FE">
        <w:rPr>
          <w:rFonts w:hint="eastAsia"/>
          <w:rtl/>
        </w:rPr>
        <w:t>אם</w:t>
      </w:r>
      <w:r w:rsidRPr="00E853FE">
        <w:rPr>
          <w:rtl/>
        </w:rPr>
        <w:t xml:space="preserve"> </w:t>
      </w:r>
      <w:r w:rsidRPr="00E853FE">
        <w:rPr>
          <w:rFonts w:hint="eastAsia"/>
          <w:rtl/>
        </w:rPr>
        <w:t>דין</w:t>
      </w:r>
      <w:r w:rsidRPr="00E853FE">
        <w:rPr>
          <w:rtl/>
        </w:rPr>
        <w:t xml:space="preserve"> </w:t>
      </w:r>
      <w:r w:rsidRPr="00E853FE">
        <w:rPr>
          <w:rFonts w:hint="eastAsia"/>
          <w:rtl/>
        </w:rPr>
        <w:t>ממוני</w:t>
      </w:r>
      <w:r w:rsidRPr="00E853FE">
        <w:rPr>
          <w:rtl/>
        </w:rPr>
        <w:t xml:space="preserve"> </w:t>
      </w:r>
      <w:r w:rsidRPr="00E853FE">
        <w:rPr>
          <w:rFonts w:hint="eastAsia"/>
          <w:rtl/>
        </w:rPr>
        <w:t>דמכיון</w:t>
      </w:r>
      <w:r w:rsidRPr="00E853FE">
        <w:rPr>
          <w:rtl/>
        </w:rPr>
        <w:t xml:space="preserve"> </w:t>
      </w:r>
      <w:r w:rsidRPr="00E853FE">
        <w:rPr>
          <w:rFonts w:hint="eastAsia"/>
          <w:rtl/>
        </w:rPr>
        <w:t>שהגוף</w:t>
      </w:r>
      <w:r w:rsidRPr="00E853FE">
        <w:rPr>
          <w:rtl/>
        </w:rPr>
        <w:t xml:space="preserve"> </w:t>
      </w:r>
      <w:r w:rsidRPr="00E853FE">
        <w:rPr>
          <w:rFonts w:hint="eastAsia"/>
          <w:rtl/>
        </w:rPr>
        <w:t>אינו</w:t>
      </w:r>
      <w:r w:rsidRPr="00E853FE">
        <w:rPr>
          <w:rtl/>
        </w:rPr>
        <w:t xml:space="preserve"> </w:t>
      </w:r>
      <w:r w:rsidRPr="00E853FE">
        <w:rPr>
          <w:rFonts w:hint="eastAsia"/>
          <w:rtl/>
        </w:rPr>
        <w:t>בבעלות</w:t>
      </w:r>
      <w:r w:rsidRPr="00E853FE">
        <w:rPr>
          <w:rtl/>
        </w:rPr>
        <w:t xml:space="preserve"> </w:t>
      </w:r>
      <w:r w:rsidRPr="00E853FE">
        <w:rPr>
          <w:rFonts w:hint="eastAsia"/>
          <w:rtl/>
        </w:rPr>
        <w:t>האדם</w:t>
      </w:r>
      <w:r w:rsidRPr="00E853FE">
        <w:rPr>
          <w:rtl/>
        </w:rPr>
        <w:t xml:space="preserve"> </w:t>
      </w:r>
      <w:r w:rsidRPr="00E853FE">
        <w:rPr>
          <w:rFonts w:hint="eastAsia"/>
          <w:rtl/>
        </w:rPr>
        <w:t>כי</w:t>
      </w:r>
      <w:r w:rsidRPr="00E853FE">
        <w:rPr>
          <w:rtl/>
        </w:rPr>
        <w:t xml:space="preserve"> </w:t>
      </w:r>
      <w:r w:rsidRPr="00E853FE">
        <w:rPr>
          <w:rFonts w:hint="eastAsia"/>
          <w:rtl/>
        </w:rPr>
        <w:t>אם</w:t>
      </w:r>
      <w:r w:rsidRPr="00E853FE">
        <w:rPr>
          <w:rtl/>
        </w:rPr>
        <w:t xml:space="preserve"> </w:t>
      </w:r>
      <w:r w:rsidRPr="00E853FE">
        <w:rPr>
          <w:rFonts w:hint="eastAsia"/>
          <w:rtl/>
        </w:rPr>
        <w:t>רק</w:t>
      </w:r>
      <w:r w:rsidRPr="00E853FE">
        <w:rPr>
          <w:rtl/>
        </w:rPr>
        <w:t xml:space="preserve"> </w:t>
      </w:r>
      <w:r w:rsidRPr="00E853FE">
        <w:rPr>
          <w:rFonts w:hint="eastAsia"/>
          <w:rtl/>
        </w:rPr>
        <w:t>כפקדון</w:t>
      </w:r>
      <w:r w:rsidRPr="00E853FE">
        <w:rPr>
          <w:rtl/>
        </w:rPr>
        <w:t xml:space="preserve"> </w:t>
      </w:r>
      <w:r w:rsidRPr="00E853FE">
        <w:rPr>
          <w:rFonts w:hint="eastAsia"/>
          <w:rtl/>
        </w:rPr>
        <w:t>בידיו</w:t>
      </w:r>
      <w:r w:rsidRPr="00E853FE">
        <w:rPr>
          <w:rtl/>
        </w:rPr>
        <w:t xml:space="preserve"> </w:t>
      </w:r>
      <w:r w:rsidRPr="00E853FE">
        <w:rPr>
          <w:rFonts w:hint="eastAsia"/>
          <w:rtl/>
        </w:rPr>
        <w:t>לפיכך</w:t>
      </w:r>
      <w:r w:rsidRPr="00E853FE">
        <w:rPr>
          <w:rtl/>
        </w:rPr>
        <w:t xml:space="preserve"> </w:t>
      </w:r>
      <w:r w:rsidRPr="00E853FE">
        <w:rPr>
          <w:rFonts w:hint="eastAsia"/>
          <w:rtl/>
        </w:rPr>
        <w:t>צריך</w:t>
      </w:r>
      <w:r w:rsidRPr="00E853FE">
        <w:rPr>
          <w:rtl/>
        </w:rPr>
        <w:t xml:space="preserve"> </w:t>
      </w:r>
      <w:r w:rsidRPr="00E853FE">
        <w:rPr>
          <w:rFonts w:hint="eastAsia"/>
          <w:rtl/>
        </w:rPr>
        <w:t>להשתדל</w:t>
      </w:r>
      <w:r w:rsidRPr="00E853FE">
        <w:rPr>
          <w:rtl/>
        </w:rPr>
        <w:t xml:space="preserve"> </w:t>
      </w:r>
      <w:r w:rsidRPr="00E853FE">
        <w:rPr>
          <w:rFonts w:hint="eastAsia"/>
          <w:rtl/>
        </w:rPr>
        <w:t>לשומרו</w:t>
      </w:r>
      <w:r w:rsidRPr="00E853FE">
        <w:rPr>
          <w:rtl/>
        </w:rPr>
        <w:t xml:space="preserve"> </w:t>
      </w:r>
      <w:r w:rsidRPr="00E853FE">
        <w:rPr>
          <w:rFonts w:hint="eastAsia"/>
          <w:rtl/>
        </w:rPr>
        <w:t>כדבעי</w:t>
      </w:r>
      <w:r w:rsidRPr="00E853FE">
        <w:rPr>
          <w:rtl/>
        </w:rPr>
        <w:t xml:space="preserve">, </w:t>
      </w:r>
      <w:r w:rsidRPr="00E853FE">
        <w:rPr>
          <w:rFonts w:hint="eastAsia"/>
          <w:rtl/>
        </w:rPr>
        <w:t>ולמאי</w:t>
      </w:r>
      <w:r w:rsidRPr="00E853FE">
        <w:rPr>
          <w:rtl/>
        </w:rPr>
        <w:t xml:space="preserve"> </w:t>
      </w:r>
      <w:r w:rsidRPr="00E853FE">
        <w:rPr>
          <w:rFonts w:hint="eastAsia"/>
          <w:rtl/>
        </w:rPr>
        <w:t>נפק</w:t>
      </w:r>
      <w:r w:rsidRPr="00E853FE">
        <w:rPr>
          <w:rtl/>
        </w:rPr>
        <w:t>"</w:t>
      </w:r>
      <w:r w:rsidRPr="00E853FE">
        <w:rPr>
          <w:rFonts w:hint="eastAsia"/>
          <w:rtl/>
        </w:rPr>
        <w:t>מ</w:t>
      </w:r>
      <w:r w:rsidRPr="00E853FE">
        <w:rPr>
          <w:rtl/>
        </w:rPr>
        <w:t xml:space="preserve"> </w:t>
      </w:r>
      <w:r w:rsidRPr="00E853FE">
        <w:rPr>
          <w:rFonts w:hint="eastAsia"/>
          <w:rtl/>
        </w:rPr>
        <w:t>אם</w:t>
      </w:r>
      <w:r w:rsidRPr="00E853FE">
        <w:rPr>
          <w:rtl/>
        </w:rPr>
        <w:t xml:space="preserve"> </w:t>
      </w:r>
      <w:r w:rsidRPr="00E853FE">
        <w:rPr>
          <w:rFonts w:hint="eastAsia"/>
          <w:rtl/>
        </w:rPr>
        <w:t>חפצא</w:t>
      </w:r>
      <w:r w:rsidRPr="00E853FE">
        <w:rPr>
          <w:rtl/>
        </w:rPr>
        <w:t xml:space="preserve"> </w:t>
      </w:r>
      <w:r w:rsidRPr="00E853FE">
        <w:rPr>
          <w:rFonts w:hint="eastAsia"/>
          <w:rtl/>
        </w:rPr>
        <w:t>זה</w:t>
      </w:r>
      <w:r w:rsidRPr="00E853FE">
        <w:rPr>
          <w:rtl/>
        </w:rPr>
        <w:t xml:space="preserve"> </w:t>
      </w:r>
      <w:r w:rsidRPr="00E853FE">
        <w:rPr>
          <w:rFonts w:hint="eastAsia"/>
          <w:rtl/>
        </w:rPr>
        <w:t>חפץ</w:t>
      </w:r>
      <w:r w:rsidRPr="00E853FE">
        <w:rPr>
          <w:rtl/>
        </w:rPr>
        <w:t xml:space="preserve"> </w:t>
      </w:r>
      <w:r w:rsidRPr="00E853FE">
        <w:rPr>
          <w:rFonts w:hint="eastAsia"/>
          <w:rtl/>
        </w:rPr>
        <w:t>חשוב</w:t>
      </w:r>
      <w:r w:rsidRPr="00E853FE">
        <w:rPr>
          <w:rtl/>
        </w:rPr>
        <w:t xml:space="preserve"> </w:t>
      </w:r>
      <w:r w:rsidRPr="00E853FE">
        <w:rPr>
          <w:rFonts w:hint="eastAsia"/>
          <w:rtl/>
        </w:rPr>
        <w:t>הוא</w:t>
      </w:r>
      <w:r w:rsidRPr="00E853FE">
        <w:rPr>
          <w:rtl/>
        </w:rPr>
        <w:t xml:space="preserve"> </w:t>
      </w:r>
      <w:r w:rsidRPr="00E853FE">
        <w:rPr>
          <w:rFonts w:hint="eastAsia"/>
          <w:rtl/>
        </w:rPr>
        <w:t>ובעל</w:t>
      </w:r>
      <w:r w:rsidRPr="00E853FE">
        <w:rPr>
          <w:rtl/>
        </w:rPr>
        <w:t xml:space="preserve"> </w:t>
      </w:r>
      <w:r w:rsidRPr="00E853FE">
        <w:rPr>
          <w:rFonts w:hint="eastAsia"/>
          <w:rtl/>
        </w:rPr>
        <w:t>מעלות</w:t>
      </w:r>
      <w:r w:rsidRPr="00E853FE">
        <w:rPr>
          <w:rtl/>
        </w:rPr>
        <w:t xml:space="preserve"> </w:t>
      </w:r>
      <w:r w:rsidRPr="00E853FE">
        <w:rPr>
          <w:rFonts w:hint="eastAsia"/>
          <w:rtl/>
        </w:rPr>
        <w:t>עצמיות</w:t>
      </w:r>
      <w:r w:rsidRPr="00E853FE">
        <w:rPr>
          <w:rtl/>
        </w:rPr>
        <w:t xml:space="preserve"> </w:t>
      </w:r>
      <w:r w:rsidRPr="00E853FE">
        <w:rPr>
          <w:rFonts w:hint="eastAsia"/>
          <w:rtl/>
        </w:rPr>
        <w:t>או</w:t>
      </w:r>
      <w:r w:rsidRPr="00E853FE">
        <w:rPr>
          <w:rtl/>
        </w:rPr>
        <w:t xml:space="preserve"> </w:t>
      </w:r>
      <w:r w:rsidRPr="00E853FE">
        <w:rPr>
          <w:rFonts w:hint="eastAsia"/>
          <w:rtl/>
        </w:rPr>
        <w:t>לא</w:t>
      </w:r>
      <w:r w:rsidRPr="00E853FE">
        <w:rPr>
          <w:rtl/>
        </w:rPr>
        <w:t xml:space="preserve">, </w:t>
      </w:r>
      <w:r w:rsidRPr="00E853FE">
        <w:rPr>
          <w:rFonts w:hint="eastAsia"/>
          <w:rtl/>
        </w:rPr>
        <w:t>הא</w:t>
      </w:r>
      <w:r w:rsidRPr="00E853FE">
        <w:rPr>
          <w:rtl/>
        </w:rPr>
        <w:t xml:space="preserve"> </w:t>
      </w:r>
      <w:r w:rsidRPr="00E853FE">
        <w:rPr>
          <w:rFonts w:hint="eastAsia"/>
          <w:rtl/>
        </w:rPr>
        <w:t>של</w:t>
      </w:r>
      <w:r w:rsidRPr="00E853FE">
        <w:rPr>
          <w:rtl/>
        </w:rPr>
        <w:t xml:space="preserve"> </w:t>
      </w:r>
      <w:r w:rsidRPr="00E853FE">
        <w:rPr>
          <w:rFonts w:hint="eastAsia"/>
          <w:rtl/>
        </w:rPr>
        <w:t>שמים</w:t>
      </w:r>
      <w:r w:rsidRPr="00E853FE">
        <w:rPr>
          <w:rtl/>
        </w:rPr>
        <w:t xml:space="preserve"> </w:t>
      </w:r>
      <w:r w:rsidRPr="00E853FE">
        <w:rPr>
          <w:rFonts w:hint="eastAsia"/>
          <w:rtl/>
        </w:rPr>
        <w:t>הוא</w:t>
      </w:r>
      <w:r w:rsidRPr="00E853FE">
        <w:rPr>
          <w:rtl/>
        </w:rPr>
        <w:t xml:space="preserve"> </w:t>
      </w:r>
      <w:r w:rsidRPr="00E853FE">
        <w:rPr>
          <w:rFonts w:hint="eastAsia"/>
          <w:rtl/>
        </w:rPr>
        <w:t>וא</w:t>
      </w:r>
      <w:r w:rsidRPr="00E853FE">
        <w:rPr>
          <w:rtl/>
        </w:rPr>
        <w:t>"</w:t>
      </w:r>
      <w:r w:rsidRPr="00E853FE">
        <w:rPr>
          <w:rFonts w:hint="eastAsia"/>
          <w:rtl/>
        </w:rPr>
        <w:t>כ</w:t>
      </w:r>
      <w:r w:rsidRPr="00E853FE">
        <w:rPr>
          <w:rtl/>
        </w:rPr>
        <w:t xml:space="preserve"> </w:t>
      </w:r>
      <w:r w:rsidRPr="00E853FE">
        <w:rPr>
          <w:rFonts w:hint="eastAsia"/>
          <w:rtl/>
        </w:rPr>
        <w:t>גם</w:t>
      </w:r>
      <w:r w:rsidRPr="00E853FE">
        <w:rPr>
          <w:rtl/>
        </w:rPr>
        <w:t xml:space="preserve"> </w:t>
      </w:r>
      <w:r w:rsidRPr="00E853FE">
        <w:rPr>
          <w:rFonts w:hint="eastAsia"/>
          <w:rtl/>
        </w:rPr>
        <w:t>באם</w:t>
      </w:r>
      <w:r w:rsidRPr="00E853FE">
        <w:rPr>
          <w:rtl/>
        </w:rPr>
        <w:t xml:space="preserve"> </w:t>
      </w:r>
      <w:r w:rsidRPr="00E853FE">
        <w:rPr>
          <w:rFonts w:hint="eastAsia"/>
          <w:rtl/>
        </w:rPr>
        <w:t>הוא</w:t>
      </w:r>
      <w:r w:rsidRPr="00E853FE">
        <w:rPr>
          <w:rtl/>
        </w:rPr>
        <w:t xml:space="preserve"> </w:t>
      </w:r>
      <w:r w:rsidRPr="00E853FE">
        <w:rPr>
          <w:rFonts w:hint="eastAsia"/>
          <w:rtl/>
        </w:rPr>
        <w:t>דבר</w:t>
      </w:r>
      <w:r w:rsidRPr="00E853FE">
        <w:rPr>
          <w:rtl/>
        </w:rPr>
        <w:t xml:space="preserve"> </w:t>
      </w:r>
      <w:r w:rsidRPr="00E853FE">
        <w:rPr>
          <w:rFonts w:hint="eastAsia"/>
          <w:rtl/>
        </w:rPr>
        <w:t>נחות</w:t>
      </w:r>
      <w:r w:rsidRPr="00E853FE">
        <w:rPr>
          <w:rtl/>
        </w:rPr>
        <w:t xml:space="preserve"> </w:t>
      </w:r>
      <w:r w:rsidRPr="00E853FE">
        <w:rPr>
          <w:rFonts w:hint="eastAsia"/>
          <w:rtl/>
        </w:rPr>
        <w:t>חייב</w:t>
      </w:r>
      <w:r w:rsidRPr="00E853FE">
        <w:rPr>
          <w:rtl/>
        </w:rPr>
        <w:t xml:space="preserve"> </w:t>
      </w:r>
      <w:r w:rsidRPr="00E853FE">
        <w:rPr>
          <w:rFonts w:hint="eastAsia"/>
          <w:rtl/>
        </w:rPr>
        <w:t>לשומרו</w:t>
      </w:r>
      <w:r w:rsidRPr="00E853FE">
        <w:rPr>
          <w:rtl/>
        </w:rPr>
        <w:t xml:space="preserve"> </w:t>
      </w:r>
      <w:r w:rsidRPr="00E853FE">
        <w:rPr>
          <w:rFonts w:hint="eastAsia"/>
          <w:rtl/>
        </w:rPr>
        <w:t>מצ</w:t>
      </w:r>
      <w:r w:rsidRPr="00E853FE">
        <w:rPr>
          <w:rtl/>
        </w:rPr>
        <w:t>"</w:t>
      </w:r>
      <w:r w:rsidRPr="00E853FE">
        <w:rPr>
          <w:rFonts w:hint="eastAsia"/>
          <w:rtl/>
        </w:rPr>
        <w:t>ע</w:t>
      </w:r>
      <w:r w:rsidRPr="00E853FE">
        <w:rPr>
          <w:rtl/>
        </w:rPr>
        <w:t xml:space="preserve"> (</w:t>
      </w:r>
      <w:r w:rsidRPr="00E853FE">
        <w:rPr>
          <w:rFonts w:hint="eastAsia"/>
          <w:rtl/>
        </w:rPr>
        <w:t>ולא</w:t>
      </w:r>
      <w:r w:rsidRPr="00E853FE">
        <w:rPr>
          <w:rtl/>
        </w:rPr>
        <w:t xml:space="preserve"> </w:t>
      </w:r>
      <w:r w:rsidRPr="00E853FE">
        <w:rPr>
          <w:rFonts w:hint="eastAsia"/>
          <w:rtl/>
        </w:rPr>
        <w:t>רק</w:t>
      </w:r>
      <w:r w:rsidRPr="00E853FE">
        <w:rPr>
          <w:rtl/>
        </w:rPr>
        <w:t xml:space="preserve"> </w:t>
      </w:r>
      <w:r w:rsidRPr="00E853FE">
        <w:rPr>
          <w:rFonts w:hint="eastAsia"/>
          <w:rtl/>
        </w:rPr>
        <w:t>מצד</w:t>
      </w:r>
      <w:r w:rsidRPr="00E853FE">
        <w:rPr>
          <w:rtl/>
        </w:rPr>
        <w:t xml:space="preserve"> </w:t>
      </w:r>
      <w:r w:rsidRPr="00E853FE">
        <w:rPr>
          <w:rFonts w:hint="eastAsia"/>
          <w:rtl/>
        </w:rPr>
        <w:t>הנפש</w:t>
      </w:r>
      <w:r w:rsidRPr="00E853FE">
        <w:rPr>
          <w:rtl/>
        </w:rPr>
        <w:t xml:space="preserve"> </w:t>
      </w:r>
      <w:r w:rsidRPr="00E853FE">
        <w:rPr>
          <w:rFonts w:hint="eastAsia"/>
          <w:rtl/>
        </w:rPr>
        <w:t>שתלויה</w:t>
      </w:r>
      <w:r w:rsidRPr="00E853FE">
        <w:rPr>
          <w:rtl/>
        </w:rPr>
        <w:t xml:space="preserve"> </w:t>
      </w:r>
      <w:r w:rsidRPr="00E853FE">
        <w:rPr>
          <w:rFonts w:hint="eastAsia"/>
          <w:rtl/>
        </w:rPr>
        <w:t>בו</w:t>
      </w:r>
      <w:r w:rsidRPr="00E853FE">
        <w:rPr>
          <w:rtl/>
        </w:rPr>
        <w:t>).</w:t>
      </w:r>
    </w:p>
    <w:p w:rsidR="001B37D0" w:rsidRPr="00E853FE" w:rsidRDefault="001B37D0" w:rsidP="00F146A6">
      <w:pPr>
        <w:pStyle w:val="a3"/>
        <w:rPr>
          <w:rtl/>
        </w:rPr>
      </w:pPr>
      <w:r w:rsidRPr="00E853FE">
        <w:rPr>
          <w:rFonts w:hint="eastAsia"/>
          <w:rtl/>
        </w:rPr>
        <w:t>והיינו</w:t>
      </w:r>
      <w:r w:rsidRPr="00E853FE">
        <w:rPr>
          <w:rtl/>
        </w:rPr>
        <w:t xml:space="preserve"> </w:t>
      </w:r>
      <w:r w:rsidRPr="00E853FE">
        <w:rPr>
          <w:rFonts w:hint="eastAsia"/>
          <w:rtl/>
        </w:rPr>
        <w:t>א</w:t>
      </w:r>
      <w:r w:rsidRPr="00E853FE">
        <w:rPr>
          <w:rtl/>
        </w:rPr>
        <w:t>"</w:t>
      </w:r>
      <w:r w:rsidRPr="00E853FE">
        <w:rPr>
          <w:rFonts w:hint="eastAsia"/>
          <w:rtl/>
        </w:rPr>
        <w:t>כ</w:t>
      </w:r>
      <w:r w:rsidRPr="00E853FE">
        <w:rPr>
          <w:rtl/>
        </w:rPr>
        <w:t xml:space="preserve"> </w:t>
      </w:r>
      <w:r w:rsidRPr="00E853FE">
        <w:rPr>
          <w:rFonts w:hint="eastAsia"/>
          <w:rtl/>
        </w:rPr>
        <w:t>דהא</w:t>
      </w:r>
      <w:r w:rsidRPr="00E853FE">
        <w:rPr>
          <w:rtl/>
        </w:rPr>
        <w:t xml:space="preserve"> </w:t>
      </w:r>
      <w:r w:rsidRPr="00E853FE">
        <w:rPr>
          <w:rFonts w:hint="eastAsia"/>
          <w:rtl/>
        </w:rPr>
        <w:t>דאיכא</w:t>
      </w:r>
      <w:r w:rsidRPr="00E853FE">
        <w:rPr>
          <w:rtl/>
        </w:rPr>
        <w:t xml:space="preserve"> </w:t>
      </w:r>
      <w:r w:rsidRPr="00E853FE">
        <w:rPr>
          <w:rFonts w:hint="eastAsia"/>
          <w:rtl/>
        </w:rPr>
        <w:t>חיוב</w:t>
      </w:r>
      <w:r w:rsidRPr="00E853FE">
        <w:rPr>
          <w:rtl/>
        </w:rPr>
        <w:t xml:space="preserve"> </w:t>
      </w:r>
      <w:r w:rsidRPr="00E853FE">
        <w:rPr>
          <w:rFonts w:hint="eastAsia"/>
          <w:rtl/>
        </w:rPr>
        <w:t>שמירה</w:t>
      </w:r>
      <w:r w:rsidRPr="00E853FE">
        <w:rPr>
          <w:rtl/>
        </w:rPr>
        <w:t xml:space="preserve"> </w:t>
      </w:r>
      <w:r w:rsidRPr="00E853FE">
        <w:rPr>
          <w:rFonts w:hint="eastAsia"/>
          <w:rtl/>
        </w:rPr>
        <w:t>על</w:t>
      </w:r>
      <w:r w:rsidRPr="00E853FE">
        <w:rPr>
          <w:rtl/>
        </w:rPr>
        <w:t xml:space="preserve"> </w:t>
      </w:r>
      <w:r w:rsidRPr="00E853FE">
        <w:rPr>
          <w:rFonts w:hint="eastAsia"/>
          <w:rtl/>
        </w:rPr>
        <w:t>הגוף</w:t>
      </w:r>
      <w:r w:rsidRPr="00E853FE">
        <w:rPr>
          <w:rtl/>
        </w:rPr>
        <w:t xml:space="preserve"> </w:t>
      </w:r>
      <w:r w:rsidRPr="00E853FE">
        <w:rPr>
          <w:rFonts w:hint="eastAsia"/>
          <w:rtl/>
        </w:rPr>
        <w:t>מצ</w:t>
      </w:r>
      <w:r w:rsidRPr="00E853FE">
        <w:rPr>
          <w:rtl/>
        </w:rPr>
        <w:t>"</w:t>
      </w:r>
      <w:r w:rsidRPr="00E853FE">
        <w:rPr>
          <w:rFonts w:hint="eastAsia"/>
          <w:rtl/>
        </w:rPr>
        <w:t>ע</w:t>
      </w:r>
      <w:r w:rsidRPr="00E853FE">
        <w:rPr>
          <w:rtl/>
        </w:rPr>
        <w:t xml:space="preserve"> </w:t>
      </w:r>
      <w:r w:rsidRPr="00E853FE">
        <w:rPr>
          <w:rFonts w:hint="eastAsia"/>
          <w:rtl/>
        </w:rPr>
        <w:t>אינו</w:t>
      </w:r>
      <w:r w:rsidRPr="00E853FE">
        <w:rPr>
          <w:rtl/>
        </w:rPr>
        <w:t xml:space="preserve"> </w:t>
      </w:r>
      <w:r w:rsidRPr="00E853FE">
        <w:rPr>
          <w:rFonts w:hint="eastAsia"/>
          <w:rtl/>
        </w:rPr>
        <w:t>מצד</w:t>
      </w:r>
      <w:r w:rsidRPr="00E853FE">
        <w:rPr>
          <w:rtl/>
        </w:rPr>
        <w:t xml:space="preserve"> </w:t>
      </w:r>
      <w:r w:rsidRPr="00E853FE">
        <w:rPr>
          <w:rFonts w:hint="eastAsia"/>
          <w:rtl/>
        </w:rPr>
        <w:t>מעלת</w:t>
      </w:r>
      <w:r w:rsidRPr="00E853FE">
        <w:rPr>
          <w:rtl/>
        </w:rPr>
        <w:t xml:space="preserve"> </w:t>
      </w:r>
      <w:r w:rsidRPr="00E853FE">
        <w:rPr>
          <w:rFonts w:hint="eastAsia"/>
          <w:rtl/>
        </w:rPr>
        <w:t>וחשיבות</w:t>
      </w:r>
      <w:r w:rsidRPr="00E853FE">
        <w:rPr>
          <w:rtl/>
        </w:rPr>
        <w:t xml:space="preserve"> </w:t>
      </w:r>
      <w:r w:rsidRPr="00E853FE">
        <w:rPr>
          <w:rFonts w:hint="eastAsia"/>
          <w:rtl/>
        </w:rPr>
        <w:t>החפצא</w:t>
      </w:r>
      <w:r w:rsidRPr="00E853FE">
        <w:rPr>
          <w:rtl/>
        </w:rPr>
        <w:t xml:space="preserve"> (</w:t>
      </w:r>
      <w:r w:rsidRPr="00E853FE">
        <w:rPr>
          <w:rFonts w:hint="eastAsia"/>
          <w:rtl/>
        </w:rPr>
        <w:t>שנומר</w:t>
      </w:r>
      <w:r w:rsidRPr="00E853FE">
        <w:rPr>
          <w:rtl/>
        </w:rPr>
        <w:t xml:space="preserve"> </w:t>
      </w:r>
      <w:r w:rsidRPr="00E853FE">
        <w:rPr>
          <w:rFonts w:hint="eastAsia"/>
          <w:rtl/>
        </w:rPr>
        <w:t>דמצד</w:t>
      </w:r>
      <w:r w:rsidRPr="00E853FE">
        <w:rPr>
          <w:rtl/>
        </w:rPr>
        <w:t xml:space="preserve"> </w:t>
      </w:r>
      <w:r w:rsidRPr="00E853FE">
        <w:rPr>
          <w:rFonts w:hint="eastAsia"/>
          <w:rtl/>
        </w:rPr>
        <w:t>יוקר</w:t>
      </w:r>
      <w:r w:rsidRPr="00E853FE">
        <w:rPr>
          <w:rtl/>
        </w:rPr>
        <w:t xml:space="preserve"> </w:t>
      </w:r>
      <w:r w:rsidRPr="00E853FE">
        <w:rPr>
          <w:rFonts w:hint="eastAsia"/>
          <w:rtl/>
        </w:rPr>
        <w:t>הדבר</w:t>
      </w:r>
      <w:r w:rsidRPr="00E853FE">
        <w:rPr>
          <w:rtl/>
        </w:rPr>
        <w:t xml:space="preserve"> </w:t>
      </w:r>
      <w:r w:rsidRPr="00E853FE">
        <w:rPr>
          <w:rFonts w:hint="eastAsia"/>
          <w:rtl/>
        </w:rPr>
        <w:t>הצריכה</w:t>
      </w:r>
      <w:r w:rsidRPr="00E853FE">
        <w:rPr>
          <w:rtl/>
        </w:rPr>
        <w:t xml:space="preserve"> </w:t>
      </w:r>
      <w:r w:rsidRPr="00E853FE">
        <w:rPr>
          <w:rFonts w:hint="eastAsia"/>
          <w:rtl/>
        </w:rPr>
        <w:t>התורה</w:t>
      </w:r>
      <w:r w:rsidRPr="00E853FE">
        <w:rPr>
          <w:rtl/>
        </w:rPr>
        <w:t xml:space="preserve"> </w:t>
      </w:r>
      <w:r w:rsidRPr="00E853FE">
        <w:rPr>
          <w:rFonts w:hint="eastAsia"/>
          <w:rtl/>
        </w:rPr>
        <w:t>לשומרו</w:t>
      </w:r>
      <w:r w:rsidRPr="00E853FE">
        <w:rPr>
          <w:rtl/>
        </w:rPr>
        <w:t xml:space="preserve">, </w:t>
      </w:r>
      <w:r w:rsidRPr="00E853FE">
        <w:rPr>
          <w:rFonts w:hint="eastAsia"/>
          <w:rtl/>
        </w:rPr>
        <w:t>וכדין</w:t>
      </w:r>
      <w:r w:rsidRPr="00E853FE">
        <w:rPr>
          <w:rtl/>
        </w:rPr>
        <w:t xml:space="preserve"> </w:t>
      </w:r>
      <w:r w:rsidRPr="00E853FE">
        <w:rPr>
          <w:rFonts w:hint="eastAsia"/>
          <w:rtl/>
        </w:rPr>
        <w:t>איסורי</w:t>
      </w:r>
      <w:r w:rsidRPr="00E853FE">
        <w:rPr>
          <w:rtl/>
        </w:rPr>
        <w:t xml:space="preserve"> (</w:t>
      </w:r>
      <w:r w:rsidRPr="00E853FE">
        <w:rPr>
          <w:rFonts w:hint="eastAsia"/>
          <w:rtl/>
        </w:rPr>
        <w:t>ועד</w:t>
      </w:r>
      <w:r w:rsidRPr="00E853FE">
        <w:rPr>
          <w:rtl/>
        </w:rPr>
        <w:t>"</w:t>
      </w:r>
      <w:r w:rsidRPr="00E853FE">
        <w:rPr>
          <w:rFonts w:hint="eastAsia"/>
          <w:rtl/>
        </w:rPr>
        <w:t>מ</w:t>
      </w:r>
      <w:r w:rsidRPr="00E853FE">
        <w:rPr>
          <w:rtl/>
        </w:rPr>
        <w:t xml:space="preserve"> </w:t>
      </w:r>
      <w:r w:rsidRPr="00E853FE">
        <w:rPr>
          <w:rFonts w:hint="eastAsia"/>
          <w:rtl/>
        </w:rPr>
        <w:t>דין</w:t>
      </w:r>
      <w:r w:rsidRPr="00E853FE">
        <w:rPr>
          <w:rtl/>
        </w:rPr>
        <w:t xml:space="preserve"> </w:t>
      </w:r>
      <w:r w:rsidRPr="00E853FE">
        <w:rPr>
          <w:rFonts w:hint="eastAsia"/>
          <w:rtl/>
        </w:rPr>
        <w:t>נהיגת</w:t>
      </w:r>
      <w:r w:rsidRPr="00E853FE">
        <w:rPr>
          <w:rtl/>
        </w:rPr>
        <w:t xml:space="preserve"> </w:t>
      </w:r>
      <w:r w:rsidRPr="00E853FE">
        <w:rPr>
          <w:rFonts w:hint="eastAsia"/>
          <w:rtl/>
        </w:rPr>
        <w:t>כבוד</w:t>
      </w:r>
      <w:r w:rsidRPr="00E853FE">
        <w:rPr>
          <w:rtl/>
        </w:rPr>
        <w:t xml:space="preserve"> </w:t>
      </w:r>
      <w:r w:rsidRPr="00E853FE">
        <w:rPr>
          <w:rFonts w:hint="eastAsia"/>
          <w:rtl/>
        </w:rPr>
        <w:t>בתשמישי</w:t>
      </w:r>
      <w:r w:rsidRPr="00E853FE">
        <w:rPr>
          <w:rtl/>
        </w:rPr>
        <w:t xml:space="preserve"> </w:t>
      </w:r>
      <w:r w:rsidRPr="00E853FE">
        <w:rPr>
          <w:rFonts w:hint="eastAsia"/>
          <w:rtl/>
        </w:rPr>
        <w:t>קדושה</w:t>
      </w:r>
      <w:r w:rsidRPr="00E853FE">
        <w:rPr>
          <w:rtl/>
        </w:rPr>
        <w:t xml:space="preserve"> </w:t>
      </w:r>
      <w:r w:rsidRPr="00E853FE">
        <w:rPr>
          <w:rFonts w:hint="eastAsia"/>
          <w:rtl/>
        </w:rPr>
        <w:t>דאף</w:t>
      </w:r>
      <w:r w:rsidRPr="00E853FE">
        <w:rPr>
          <w:rtl/>
        </w:rPr>
        <w:t xml:space="preserve"> </w:t>
      </w:r>
      <w:r w:rsidRPr="00E853FE">
        <w:rPr>
          <w:rFonts w:hint="eastAsia"/>
          <w:rtl/>
        </w:rPr>
        <w:t>בעליהם</w:t>
      </w:r>
      <w:r w:rsidRPr="00E853FE">
        <w:rPr>
          <w:rtl/>
        </w:rPr>
        <w:t xml:space="preserve"> </w:t>
      </w:r>
      <w:r w:rsidRPr="00E853FE">
        <w:rPr>
          <w:rFonts w:hint="eastAsia"/>
          <w:rtl/>
        </w:rPr>
        <w:t>חייב</w:t>
      </w:r>
      <w:r w:rsidRPr="00E853FE">
        <w:rPr>
          <w:rtl/>
        </w:rPr>
        <w:t xml:space="preserve"> </w:t>
      </w:r>
      <w:r w:rsidRPr="00E853FE">
        <w:rPr>
          <w:rFonts w:hint="eastAsia"/>
          <w:rtl/>
        </w:rPr>
        <w:t>לנהוג</w:t>
      </w:r>
      <w:r w:rsidRPr="00E853FE">
        <w:rPr>
          <w:rtl/>
        </w:rPr>
        <w:t xml:space="preserve"> </w:t>
      </w:r>
      <w:r w:rsidRPr="00E853FE">
        <w:rPr>
          <w:rFonts w:hint="eastAsia"/>
          <w:rtl/>
        </w:rPr>
        <w:t>בהם</w:t>
      </w:r>
      <w:r w:rsidRPr="00E853FE">
        <w:rPr>
          <w:rtl/>
        </w:rPr>
        <w:t xml:space="preserve"> </w:t>
      </w:r>
      <w:r w:rsidRPr="00E853FE">
        <w:rPr>
          <w:rFonts w:hint="eastAsia"/>
          <w:rtl/>
        </w:rPr>
        <w:t>כבוד</w:t>
      </w:r>
      <w:r w:rsidRPr="00E853FE">
        <w:rPr>
          <w:rtl/>
        </w:rPr>
        <w:t xml:space="preserve"> </w:t>
      </w:r>
      <w:r w:rsidRPr="00E853FE">
        <w:rPr>
          <w:rFonts w:hint="eastAsia"/>
          <w:rtl/>
        </w:rPr>
        <w:t>מצד</w:t>
      </w:r>
      <w:r w:rsidRPr="00E853FE">
        <w:rPr>
          <w:rtl/>
        </w:rPr>
        <w:t xml:space="preserve"> </w:t>
      </w:r>
      <w:r w:rsidRPr="00E853FE">
        <w:rPr>
          <w:rFonts w:hint="eastAsia"/>
          <w:rtl/>
        </w:rPr>
        <w:t>חשיבותם</w:t>
      </w:r>
      <w:r w:rsidRPr="00E853FE">
        <w:rPr>
          <w:rtl/>
        </w:rPr>
        <w:t xml:space="preserve">)), </w:t>
      </w:r>
      <w:r w:rsidRPr="00E853FE">
        <w:rPr>
          <w:rFonts w:hint="eastAsia"/>
          <w:rtl/>
        </w:rPr>
        <w:t>כי</w:t>
      </w:r>
      <w:r w:rsidRPr="00E853FE">
        <w:rPr>
          <w:rtl/>
        </w:rPr>
        <w:t xml:space="preserve"> </w:t>
      </w:r>
      <w:r w:rsidRPr="00E853FE">
        <w:rPr>
          <w:rFonts w:hint="eastAsia"/>
          <w:rtl/>
        </w:rPr>
        <w:t>אם</w:t>
      </w:r>
      <w:r w:rsidRPr="00E853FE">
        <w:rPr>
          <w:rtl/>
        </w:rPr>
        <w:t xml:space="preserve"> </w:t>
      </w:r>
      <w:r w:rsidRPr="00E853FE">
        <w:rPr>
          <w:rFonts w:hint="eastAsia"/>
          <w:rtl/>
        </w:rPr>
        <w:t>מצד</w:t>
      </w:r>
      <w:r w:rsidRPr="00E853FE">
        <w:rPr>
          <w:rtl/>
        </w:rPr>
        <w:t xml:space="preserve"> </w:t>
      </w:r>
      <w:r w:rsidRPr="00E853FE">
        <w:rPr>
          <w:rFonts w:hint="eastAsia"/>
          <w:rtl/>
        </w:rPr>
        <w:t>שייכותו</w:t>
      </w:r>
      <w:r w:rsidRPr="00E853FE">
        <w:rPr>
          <w:rtl/>
        </w:rPr>
        <w:t xml:space="preserve"> </w:t>
      </w:r>
      <w:r w:rsidRPr="00E853FE">
        <w:rPr>
          <w:rFonts w:hint="eastAsia"/>
          <w:rtl/>
        </w:rPr>
        <w:t>לה</w:t>
      </w:r>
      <w:r w:rsidRPr="00E853FE">
        <w:rPr>
          <w:rtl/>
        </w:rPr>
        <w:t xml:space="preserve">', </w:t>
      </w:r>
      <w:r w:rsidRPr="00E853FE">
        <w:rPr>
          <w:rFonts w:hint="eastAsia"/>
          <w:rtl/>
        </w:rPr>
        <w:t>דהאדם</w:t>
      </w:r>
      <w:r w:rsidRPr="00E853FE">
        <w:rPr>
          <w:rtl/>
        </w:rPr>
        <w:t xml:space="preserve"> </w:t>
      </w:r>
      <w:r w:rsidRPr="00E853FE">
        <w:rPr>
          <w:rFonts w:hint="eastAsia"/>
          <w:rtl/>
        </w:rPr>
        <w:t>אינו</w:t>
      </w:r>
      <w:r w:rsidRPr="00E853FE">
        <w:rPr>
          <w:rtl/>
        </w:rPr>
        <w:t xml:space="preserve"> </w:t>
      </w:r>
      <w:r w:rsidRPr="00E853FE">
        <w:rPr>
          <w:rFonts w:hint="eastAsia"/>
          <w:rtl/>
        </w:rPr>
        <w:t>הבעלים</w:t>
      </w:r>
      <w:r w:rsidRPr="00E853FE">
        <w:rPr>
          <w:rtl/>
        </w:rPr>
        <w:t xml:space="preserve"> </w:t>
      </w:r>
      <w:r w:rsidRPr="00E853FE">
        <w:rPr>
          <w:rFonts w:hint="eastAsia"/>
          <w:rtl/>
        </w:rPr>
        <w:t>עליו</w:t>
      </w:r>
      <w:r w:rsidRPr="00E853FE">
        <w:rPr>
          <w:rtl/>
        </w:rPr>
        <w:t xml:space="preserve"> </w:t>
      </w:r>
      <w:r w:rsidRPr="00E853FE">
        <w:rPr>
          <w:rFonts w:hint="eastAsia"/>
          <w:rtl/>
        </w:rPr>
        <w:t>כ</w:t>
      </w:r>
      <w:r w:rsidRPr="00E853FE">
        <w:rPr>
          <w:rtl/>
        </w:rPr>
        <w:t>"</w:t>
      </w:r>
      <w:r w:rsidRPr="00E853FE">
        <w:rPr>
          <w:rFonts w:hint="eastAsia"/>
          <w:rtl/>
        </w:rPr>
        <w:t>א</w:t>
      </w:r>
      <w:r w:rsidRPr="00E853FE">
        <w:rPr>
          <w:rtl/>
        </w:rPr>
        <w:t xml:space="preserve"> </w:t>
      </w:r>
      <w:r w:rsidRPr="00E853FE">
        <w:rPr>
          <w:rFonts w:hint="eastAsia"/>
          <w:rtl/>
        </w:rPr>
        <w:t>ה</w:t>
      </w:r>
      <w:r w:rsidRPr="00E853FE">
        <w:rPr>
          <w:rtl/>
        </w:rPr>
        <w:t xml:space="preserve">' </w:t>
      </w:r>
      <w:r w:rsidRPr="00E853FE">
        <w:rPr>
          <w:rFonts w:hint="eastAsia"/>
          <w:rtl/>
        </w:rPr>
        <w:t>והגוף</w:t>
      </w:r>
      <w:r w:rsidRPr="00E853FE">
        <w:rPr>
          <w:rtl/>
        </w:rPr>
        <w:t xml:space="preserve"> </w:t>
      </w:r>
      <w:r w:rsidRPr="00E853FE">
        <w:rPr>
          <w:rFonts w:hint="eastAsia"/>
          <w:rtl/>
        </w:rPr>
        <w:t>נמצא</w:t>
      </w:r>
      <w:r w:rsidRPr="00E853FE">
        <w:rPr>
          <w:rtl/>
        </w:rPr>
        <w:t xml:space="preserve"> </w:t>
      </w:r>
      <w:r w:rsidRPr="00E853FE">
        <w:rPr>
          <w:rFonts w:hint="eastAsia"/>
          <w:rtl/>
        </w:rPr>
        <w:t>בידיו</w:t>
      </w:r>
      <w:r w:rsidRPr="00E853FE">
        <w:rPr>
          <w:rtl/>
        </w:rPr>
        <w:t xml:space="preserve"> </w:t>
      </w:r>
      <w:r w:rsidRPr="00E853FE">
        <w:rPr>
          <w:rFonts w:hint="eastAsia"/>
          <w:rtl/>
        </w:rPr>
        <w:t>כפקדון</w:t>
      </w:r>
      <w:r w:rsidRPr="00E853FE">
        <w:rPr>
          <w:rtl/>
        </w:rPr>
        <w:t>.</w:t>
      </w:r>
    </w:p>
    <w:p w:rsidR="001B37D0" w:rsidRDefault="001B37D0" w:rsidP="00F146A6">
      <w:pPr>
        <w:pStyle w:val="a3"/>
        <w:rPr>
          <w:rtl/>
        </w:rPr>
      </w:pPr>
      <w:r w:rsidRPr="00E853FE">
        <w:rPr>
          <w:rtl/>
        </w:rPr>
        <w:t>(</w:t>
      </w:r>
      <w:r w:rsidRPr="00E853FE">
        <w:rPr>
          <w:rFonts w:hint="eastAsia"/>
          <w:rtl/>
        </w:rPr>
        <w:t>ובנוגע</w:t>
      </w:r>
      <w:r w:rsidRPr="00E853FE">
        <w:rPr>
          <w:rtl/>
        </w:rPr>
        <w:t xml:space="preserve"> </w:t>
      </w:r>
      <w:r w:rsidRPr="00E853FE">
        <w:rPr>
          <w:rFonts w:hint="eastAsia"/>
          <w:rtl/>
        </w:rPr>
        <w:t>טעמו</w:t>
      </w:r>
      <w:r w:rsidRPr="00E853FE">
        <w:rPr>
          <w:rtl/>
        </w:rPr>
        <w:t xml:space="preserve"> </w:t>
      </w:r>
      <w:r w:rsidRPr="00E853FE">
        <w:rPr>
          <w:rFonts w:hint="eastAsia"/>
          <w:rtl/>
        </w:rPr>
        <w:t>של</w:t>
      </w:r>
      <w:r w:rsidRPr="00E853FE">
        <w:rPr>
          <w:rtl/>
        </w:rPr>
        <w:t xml:space="preserve"> </w:t>
      </w:r>
      <w:r w:rsidRPr="00E853FE">
        <w:rPr>
          <w:rFonts w:hint="eastAsia"/>
          <w:rtl/>
        </w:rPr>
        <w:t>הרמב</w:t>
      </w:r>
      <w:r w:rsidRPr="00E853FE">
        <w:rPr>
          <w:rtl/>
        </w:rPr>
        <w:t>"</w:t>
      </w:r>
      <w:r w:rsidRPr="00E853FE">
        <w:rPr>
          <w:rFonts w:hint="eastAsia"/>
          <w:rtl/>
        </w:rPr>
        <w:t>ם</w:t>
      </w:r>
      <w:r w:rsidRPr="00E853FE">
        <w:rPr>
          <w:rtl/>
        </w:rPr>
        <w:t xml:space="preserve"> </w:t>
      </w:r>
      <w:r w:rsidRPr="00E853FE">
        <w:rPr>
          <w:rFonts w:hint="eastAsia"/>
          <w:rtl/>
        </w:rPr>
        <w:t>דס</w:t>
      </w:r>
      <w:r w:rsidRPr="00E853FE">
        <w:rPr>
          <w:rtl/>
        </w:rPr>
        <w:t>"</w:t>
      </w:r>
      <w:r w:rsidRPr="00E853FE">
        <w:rPr>
          <w:rFonts w:hint="eastAsia"/>
          <w:rtl/>
        </w:rPr>
        <w:t>ל</w:t>
      </w:r>
      <w:r w:rsidRPr="00E853FE">
        <w:rPr>
          <w:rtl/>
        </w:rPr>
        <w:t xml:space="preserve"> (</w:t>
      </w:r>
      <w:r w:rsidRPr="00E853FE">
        <w:rPr>
          <w:rFonts w:hint="eastAsia"/>
          <w:rtl/>
        </w:rPr>
        <w:t>לפי</w:t>
      </w:r>
      <w:r w:rsidRPr="00E853FE">
        <w:rPr>
          <w:rtl/>
        </w:rPr>
        <w:t xml:space="preserve"> </w:t>
      </w:r>
      <w:r w:rsidRPr="00E853FE">
        <w:rPr>
          <w:rFonts w:hint="eastAsia"/>
          <w:rtl/>
        </w:rPr>
        <w:t>ביאורו</w:t>
      </w:r>
      <w:r w:rsidRPr="00E853FE">
        <w:rPr>
          <w:rtl/>
        </w:rPr>
        <w:t xml:space="preserve"> </w:t>
      </w:r>
      <w:r w:rsidRPr="00E853FE">
        <w:rPr>
          <w:rFonts w:hint="eastAsia"/>
          <w:rtl/>
        </w:rPr>
        <w:t>של</w:t>
      </w:r>
      <w:r w:rsidRPr="00E853FE">
        <w:rPr>
          <w:rtl/>
        </w:rPr>
        <w:t xml:space="preserve"> </w:t>
      </w:r>
      <w:r w:rsidRPr="00E853FE">
        <w:rPr>
          <w:rFonts w:hint="eastAsia"/>
          <w:rtl/>
        </w:rPr>
        <w:t>הר</w:t>
      </w:r>
      <w:r w:rsidRPr="00E853FE">
        <w:rPr>
          <w:rtl/>
        </w:rPr>
        <w:t xml:space="preserve">' </w:t>
      </w:r>
      <w:r w:rsidRPr="00E853FE">
        <w:rPr>
          <w:rFonts w:hint="eastAsia"/>
          <w:rtl/>
        </w:rPr>
        <w:t>קלמנסון</w:t>
      </w:r>
      <w:r w:rsidRPr="00E853FE">
        <w:rPr>
          <w:rtl/>
        </w:rPr>
        <w:t xml:space="preserve">) </w:t>
      </w:r>
      <w:r w:rsidRPr="00E853FE">
        <w:rPr>
          <w:rFonts w:hint="eastAsia"/>
          <w:rtl/>
        </w:rPr>
        <w:t>דכל</w:t>
      </w:r>
      <w:r w:rsidRPr="00E853FE">
        <w:rPr>
          <w:rtl/>
        </w:rPr>
        <w:t xml:space="preserve"> </w:t>
      </w:r>
      <w:r w:rsidRPr="00E853FE">
        <w:rPr>
          <w:rFonts w:hint="eastAsia"/>
          <w:rtl/>
        </w:rPr>
        <w:t>החיוב</w:t>
      </w:r>
      <w:r w:rsidRPr="00E853FE">
        <w:rPr>
          <w:rtl/>
        </w:rPr>
        <w:t xml:space="preserve"> </w:t>
      </w:r>
      <w:r w:rsidRPr="00E853FE">
        <w:rPr>
          <w:rFonts w:hint="eastAsia"/>
          <w:rtl/>
        </w:rPr>
        <w:t>שמירה</w:t>
      </w:r>
      <w:r w:rsidRPr="00E853FE">
        <w:rPr>
          <w:rtl/>
        </w:rPr>
        <w:t xml:space="preserve"> </w:t>
      </w:r>
      <w:r w:rsidRPr="00E853FE">
        <w:rPr>
          <w:rFonts w:hint="eastAsia"/>
          <w:rtl/>
        </w:rPr>
        <w:t>שעל</w:t>
      </w:r>
      <w:r w:rsidRPr="00E853FE">
        <w:rPr>
          <w:rtl/>
        </w:rPr>
        <w:t xml:space="preserve"> </w:t>
      </w:r>
      <w:r w:rsidRPr="00E853FE">
        <w:rPr>
          <w:rFonts w:hint="eastAsia"/>
          <w:rtl/>
        </w:rPr>
        <w:t>הגוף</w:t>
      </w:r>
      <w:r w:rsidRPr="00E853FE">
        <w:rPr>
          <w:rtl/>
        </w:rPr>
        <w:t xml:space="preserve"> </w:t>
      </w:r>
      <w:r w:rsidRPr="00E853FE">
        <w:rPr>
          <w:rFonts w:hint="eastAsia"/>
          <w:rtl/>
        </w:rPr>
        <w:t>אינו</w:t>
      </w:r>
      <w:r w:rsidRPr="00E853FE">
        <w:rPr>
          <w:rtl/>
        </w:rPr>
        <w:t xml:space="preserve"> </w:t>
      </w:r>
      <w:r w:rsidRPr="00E853FE">
        <w:rPr>
          <w:rFonts w:hint="eastAsia"/>
          <w:rtl/>
        </w:rPr>
        <w:t>אלא</w:t>
      </w:r>
      <w:r w:rsidRPr="00E853FE">
        <w:rPr>
          <w:rtl/>
        </w:rPr>
        <w:t xml:space="preserve"> </w:t>
      </w:r>
      <w:r w:rsidRPr="00E853FE">
        <w:rPr>
          <w:rFonts w:hint="eastAsia"/>
          <w:rtl/>
        </w:rPr>
        <w:t>דין</w:t>
      </w:r>
      <w:r w:rsidRPr="00E853FE">
        <w:rPr>
          <w:rtl/>
        </w:rPr>
        <w:t xml:space="preserve"> </w:t>
      </w:r>
      <w:r w:rsidRPr="00E853FE">
        <w:rPr>
          <w:rFonts w:hint="eastAsia"/>
          <w:rtl/>
        </w:rPr>
        <w:t>בהחיוב</w:t>
      </w:r>
      <w:r w:rsidRPr="00E853FE">
        <w:rPr>
          <w:rtl/>
        </w:rPr>
        <w:t xml:space="preserve"> </w:t>
      </w:r>
      <w:r w:rsidRPr="00E853FE">
        <w:rPr>
          <w:rFonts w:hint="eastAsia"/>
          <w:rtl/>
        </w:rPr>
        <w:t>שמירת</w:t>
      </w:r>
      <w:r w:rsidRPr="00E853FE">
        <w:rPr>
          <w:rtl/>
        </w:rPr>
        <w:t xml:space="preserve"> </w:t>
      </w:r>
      <w:r w:rsidRPr="00E853FE">
        <w:rPr>
          <w:rFonts w:hint="eastAsia"/>
          <w:rtl/>
        </w:rPr>
        <w:t>הנפש</w:t>
      </w:r>
      <w:r w:rsidRPr="00E853FE">
        <w:rPr>
          <w:rtl/>
        </w:rPr>
        <w:t xml:space="preserve">, </w:t>
      </w:r>
      <w:r w:rsidRPr="00E853FE">
        <w:rPr>
          <w:rFonts w:hint="eastAsia"/>
          <w:rtl/>
        </w:rPr>
        <w:t>י</w:t>
      </w:r>
      <w:r w:rsidRPr="00E853FE">
        <w:rPr>
          <w:rtl/>
        </w:rPr>
        <w:t>"</w:t>
      </w:r>
      <w:r w:rsidRPr="00E853FE">
        <w:rPr>
          <w:rFonts w:hint="eastAsia"/>
          <w:rtl/>
        </w:rPr>
        <w:t>ל</w:t>
      </w:r>
      <w:r w:rsidRPr="00E853FE">
        <w:rPr>
          <w:rtl/>
        </w:rPr>
        <w:t xml:space="preserve"> </w:t>
      </w:r>
      <w:r w:rsidRPr="00E853FE">
        <w:rPr>
          <w:rFonts w:hint="eastAsia"/>
          <w:rtl/>
        </w:rPr>
        <w:t>דס</w:t>
      </w:r>
      <w:r w:rsidRPr="00E853FE">
        <w:rPr>
          <w:rtl/>
        </w:rPr>
        <w:t>"</w:t>
      </w:r>
      <w:r w:rsidRPr="00E853FE">
        <w:rPr>
          <w:rFonts w:hint="eastAsia"/>
          <w:rtl/>
        </w:rPr>
        <w:t>ל</w:t>
      </w:r>
      <w:r w:rsidRPr="00E853FE">
        <w:rPr>
          <w:rtl/>
        </w:rPr>
        <w:t xml:space="preserve"> </w:t>
      </w:r>
      <w:r w:rsidRPr="00E853FE">
        <w:rPr>
          <w:rFonts w:hint="eastAsia"/>
          <w:rtl/>
        </w:rPr>
        <w:t>דרק</w:t>
      </w:r>
      <w:r w:rsidRPr="00E853FE">
        <w:rPr>
          <w:rtl/>
        </w:rPr>
        <w:t xml:space="preserve"> </w:t>
      </w:r>
      <w:r w:rsidRPr="00E853FE">
        <w:rPr>
          <w:rFonts w:hint="eastAsia"/>
          <w:rtl/>
        </w:rPr>
        <w:t>נפשו</w:t>
      </w:r>
      <w:r w:rsidRPr="00E853FE">
        <w:rPr>
          <w:rtl/>
        </w:rPr>
        <w:t xml:space="preserve"> </w:t>
      </w:r>
      <w:r w:rsidRPr="00E853FE">
        <w:rPr>
          <w:rFonts w:hint="eastAsia"/>
          <w:rtl/>
        </w:rPr>
        <w:t>של</w:t>
      </w:r>
      <w:r w:rsidRPr="00E853FE">
        <w:rPr>
          <w:rtl/>
        </w:rPr>
        <w:t xml:space="preserve"> </w:t>
      </w:r>
      <w:r w:rsidRPr="00E853FE">
        <w:rPr>
          <w:rFonts w:hint="eastAsia"/>
          <w:rtl/>
        </w:rPr>
        <w:t>אדם</w:t>
      </w:r>
      <w:r w:rsidRPr="00E853FE">
        <w:rPr>
          <w:rtl/>
        </w:rPr>
        <w:t xml:space="preserve"> </w:t>
      </w:r>
      <w:r w:rsidRPr="00E853FE">
        <w:rPr>
          <w:rFonts w:hint="eastAsia"/>
          <w:rtl/>
        </w:rPr>
        <w:t>וחייו</w:t>
      </w:r>
      <w:r w:rsidRPr="00E853FE">
        <w:rPr>
          <w:rtl/>
        </w:rPr>
        <w:t xml:space="preserve"> "</w:t>
      </w:r>
      <w:r w:rsidRPr="00E853FE">
        <w:rPr>
          <w:rFonts w:hint="eastAsia"/>
          <w:rtl/>
        </w:rPr>
        <w:t>אינם</w:t>
      </w:r>
      <w:r w:rsidRPr="00E853FE">
        <w:rPr>
          <w:rtl/>
        </w:rPr>
        <w:t xml:space="preserve"> </w:t>
      </w:r>
      <w:r w:rsidRPr="00E853FE">
        <w:rPr>
          <w:rFonts w:hint="eastAsia"/>
          <w:rtl/>
        </w:rPr>
        <w:t>ברשותו</w:t>
      </w:r>
      <w:r w:rsidRPr="00E853FE">
        <w:rPr>
          <w:rtl/>
        </w:rPr>
        <w:t xml:space="preserve">", </w:t>
      </w:r>
      <w:r w:rsidRPr="00E853FE">
        <w:rPr>
          <w:rFonts w:hint="eastAsia"/>
          <w:rtl/>
        </w:rPr>
        <w:t>משא</w:t>
      </w:r>
      <w:r w:rsidRPr="00E853FE">
        <w:rPr>
          <w:rtl/>
        </w:rPr>
        <w:t>"</w:t>
      </w:r>
      <w:r w:rsidRPr="00E853FE">
        <w:rPr>
          <w:rFonts w:hint="eastAsia"/>
          <w:rtl/>
        </w:rPr>
        <w:t>כ</w:t>
      </w:r>
      <w:r w:rsidRPr="00E853FE">
        <w:rPr>
          <w:rtl/>
        </w:rPr>
        <w:t xml:space="preserve"> </w:t>
      </w:r>
      <w:r w:rsidRPr="00E853FE">
        <w:rPr>
          <w:rFonts w:hint="eastAsia"/>
          <w:rtl/>
        </w:rPr>
        <w:t>הגוף</w:t>
      </w:r>
      <w:r w:rsidRPr="00E853FE">
        <w:rPr>
          <w:rtl/>
        </w:rPr>
        <w:t xml:space="preserve"> </w:t>
      </w:r>
      <w:r w:rsidRPr="00E853FE">
        <w:rPr>
          <w:rFonts w:hint="eastAsia"/>
          <w:rtl/>
        </w:rPr>
        <w:t>דהוא</w:t>
      </w:r>
      <w:r w:rsidRPr="00E853FE">
        <w:rPr>
          <w:rtl/>
        </w:rPr>
        <w:t xml:space="preserve"> </w:t>
      </w:r>
      <w:r w:rsidRPr="00E853FE">
        <w:rPr>
          <w:rFonts w:hint="eastAsia"/>
          <w:rtl/>
        </w:rPr>
        <w:t>כן</w:t>
      </w:r>
      <w:r w:rsidRPr="00E853FE">
        <w:rPr>
          <w:rtl/>
        </w:rPr>
        <w:t xml:space="preserve"> </w:t>
      </w:r>
      <w:r w:rsidRPr="00E853FE">
        <w:rPr>
          <w:rFonts w:hint="eastAsia"/>
          <w:rtl/>
        </w:rPr>
        <w:t>ניתן</w:t>
      </w:r>
      <w:r w:rsidRPr="00E853FE">
        <w:rPr>
          <w:rtl/>
        </w:rPr>
        <w:t xml:space="preserve"> </w:t>
      </w:r>
      <w:r w:rsidRPr="00E853FE">
        <w:rPr>
          <w:rFonts w:hint="eastAsia"/>
          <w:rtl/>
        </w:rPr>
        <w:t>לבעלות</w:t>
      </w:r>
      <w:r w:rsidRPr="00E853FE">
        <w:rPr>
          <w:rtl/>
        </w:rPr>
        <w:t xml:space="preserve"> </w:t>
      </w:r>
      <w:r w:rsidRPr="00E853FE">
        <w:rPr>
          <w:rFonts w:hint="eastAsia"/>
          <w:rtl/>
        </w:rPr>
        <w:t>האדם</w:t>
      </w:r>
      <w:r w:rsidRPr="00E853FE">
        <w:rPr>
          <w:rtl/>
        </w:rPr>
        <w:t xml:space="preserve"> (</w:t>
      </w:r>
      <w:r w:rsidRPr="00E853FE">
        <w:rPr>
          <w:rFonts w:hint="eastAsia"/>
          <w:rtl/>
        </w:rPr>
        <w:t>וע</w:t>
      </w:r>
      <w:r w:rsidRPr="00E853FE">
        <w:rPr>
          <w:rtl/>
        </w:rPr>
        <w:t>"</w:t>
      </w:r>
      <w:r w:rsidRPr="00E853FE">
        <w:rPr>
          <w:rFonts w:hint="eastAsia"/>
          <w:rtl/>
        </w:rPr>
        <w:t>ד</w:t>
      </w:r>
      <w:r w:rsidRPr="00E853FE">
        <w:rPr>
          <w:rtl/>
        </w:rPr>
        <w:t xml:space="preserve"> </w:t>
      </w:r>
      <w:r w:rsidRPr="00E853FE">
        <w:rPr>
          <w:rFonts w:hint="eastAsia"/>
          <w:rtl/>
        </w:rPr>
        <w:t>ממונו</w:t>
      </w:r>
      <w:r w:rsidRPr="00E853FE">
        <w:rPr>
          <w:rtl/>
        </w:rPr>
        <w:t xml:space="preserve"> </w:t>
      </w:r>
      <w:r w:rsidRPr="00E853FE">
        <w:rPr>
          <w:rFonts w:hint="eastAsia"/>
          <w:rtl/>
        </w:rPr>
        <w:t>של</w:t>
      </w:r>
      <w:r w:rsidRPr="00E853FE">
        <w:rPr>
          <w:rtl/>
        </w:rPr>
        <w:t xml:space="preserve"> </w:t>
      </w:r>
      <w:r w:rsidRPr="00E853FE">
        <w:rPr>
          <w:rFonts w:hint="eastAsia"/>
          <w:rtl/>
        </w:rPr>
        <w:t>אדם</w:t>
      </w:r>
      <w:r w:rsidRPr="00E853FE">
        <w:rPr>
          <w:rtl/>
        </w:rPr>
        <w:t xml:space="preserve"> </w:t>
      </w:r>
      <w:r w:rsidRPr="00E853FE">
        <w:rPr>
          <w:rFonts w:hint="eastAsia"/>
          <w:rtl/>
        </w:rPr>
        <w:t>ד</w:t>
      </w:r>
      <w:r w:rsidRPr="00E853FE">
        <w:rPr>
          <w:rtl/>
        </w:rPr>
        <w:t>"</w:t>
      </w:r>
      <w:r w:rsidRPr="00E853FE">
        <w:rPr>
          <w:rFonts w:hint="eastAsia"/>
          <w:rtl/>
        </w:rPr>
        <w:t>הארץ</w:t>
      </w:r>
      <w:r w:rsidRPr="00E853FE">
        <w:rPr>
          <w:rtl/>
        </w:rPr>
        <w:t xml:space="preserve"> </w:t>
      </w:r>
      <w:r w:rsidRPr="00E853FE">
        <w:rPr>
          <w:rFonts w:hint="eastAsia"/>
          <w:rtl/>
        </w:rPr>
        <w:t>נתן</w:t>
      </w:r>
      <w:r w:rsidRPr="00E853FE">
        <w:rPr>
          <w:rtl/>
        </w:rPr>
        <w:t xml:space="preserve"> </w:t>
      </w:r>
      <w:r w:rsidRPr="00E853FE">
        <w:rPr>
          <w:rFonts w:hint="eastAsia"/>
          <w:rtl/>
        </w:rPr>
        <w:t>לבני</w:t>
      </w:r>
      <w:r w:rsidRPr="00E853FE">
        <w:rPr>
          <w:rtl/>
        </w:rPr>
        <w:t xml:space="preserve"> </w:t>
      </w:r>
      <w:r w:rsidRPr="00E853FE">
        <w:rPr>
          <w:rFonts w:hint="eastAsia"/>
          <w:rtl/>
        </w:rPr>
        <w:t>אדם</w:t>
      </w:r>
      <w:r w:rsidRPr="00E853FE">
        <w:rPr>
          <w:rtl/>
        </w:rPr>
        <w:t xml:space="preserve">" - </w:t>
      </w:r>
      <w:r w:rsidRPr="00E853FE">
        <w:rPr>
          <w:rFonts w:hint="eastAsia"/>
          <w:rtl/>
        </w:rPr>
        <w:t>עיין</w:t>
      </w:r>
      <w:r w:rsidRPr="00E853FE">
        <w:rPr>
          <w:rtl/>
        </w:rPr>
        <w:t xml:space="preserve"> </w:t>
      </w:r>
      <w:r w:rsidRPr="00E853FE">
        <w:rPr>
          <w:rFonts w:hint="eastAsia"/>
          <w:rtl/>
        </w:rPr>
        <w:t>לקו</w:t>
      </w:r>
      <w:r w:rsidRPr="00E853FE">
        <w:rPr>
          <w:rtl/>
        </w:rPr>
        <w:t>"</w:t>
      </w:r>
      <w:r w:rsidRPr="00E853FE">
        <w:rPr>
          <w:rFonts w:hint="eastAsia"/>
          <w:rtl/>
        </w:rPr>
        <w:t>ש</w:t>
      </w:r>
      <w:r w:rsidRPr="00E853FE">
        <w:rPr>
          <w:rtl/>
        </w:rPr>
        <w:t xml:space="preserve"> </w:t>
      </w:r>
      <w:r w:rsidRPr="00E853FE">
        <w:rPr>
          <w:rFonts w:hint="eastAsia"/>
          <w:rtl/>
        </w:rPr>
        <w:t>שם</w:t>
      </w:r>
      <w:r w:rsidRPr="00E853FE">
        <w:rPr>
          <w:rtl/>
        </w:rPr>
        <w:t xml:space="preserve">), </w:t>
      </w:r>
      <w:r w:rsidRPr="00E853FE">
        <w:rPr>
          <w:rFonts w:hint="eastAsia"/>
          <w:rtl/>
        </w:rPr>
        <w:t>ולכן</w:t>
      </w:r>
      <w:r w:rsidRPr="00E853FE">
        <w:rPr>
          <w:rtl/>
        </w:rPr>
        <w:t xml:space="preserve"> </w:t>
      </w:r>
      <w:r w:rsidRPr="00E853FE">
        <w:rPr>
          <w:rFonts w:hint="eastAsia"/>
          <w:rtl/>
        </w:rPr>
        <w:t>הא</w:t>
      </w:r>
      <w:r w:rsidRPr="00E853FE">
        <w:rPr>
          <w:rtl/>
        </w:rPr>
        <w:t xml:space="preserve"> </w:t>
      </w:r>
      <w:r w:rsidRPr="00E853FE">
        <w:rPr>
          <w:rFonts w:hint="eastAsia"/>
          <w:rtl/>
        </w:rPr>
        <w:t>דחייב</w:t>
      </w:r>
      <w:r w:rsidRPr="00E853FE">
        <w:rPr>
          <w:rtl/>
        </w:rPr>
        <w:t xml:space="preserve"> </w:t>
      </w:r>
      <w:r w:rsidRPr="00E853FE">
        <w:rPr>
          <w:rFonts w:hint="eastAsia"/>
          <w:rtl/>
        </w:rPr>
        <w:t>האדם</w:t>
      </w:r>
      <w:r w:rsidRPr="00E853FE">
        <w:rPr>
          <w:rtl/>
        </w:rPr>
        <w:t xml:space="preserve"> </w:t>
      </w:r>
      <w:r w:rsidRPr="00E853FE">
        <w:rPr>
          <w:rFonts w:hint="eastAsia"/>
          <w:rtl/>
        </w:rPr>
        <w:t>לשומרו</w:t>
      </w:r>
      <w:r w:rsidRPr="00E853FE">
        <w:rPr>
          <w:rtl/>
        </w:rPr>
        <w:t xml:space="preserve"> </w:t>
      </w:r>
      <w:r w:rsidRPr="00E853FE">
        <w:rPr>
          <w:rFonts w:hint="eastAsia"/>
          <w:rtl/>
        </w:rPr>
        <w:t>אינו</w:t>
      </w:r>
      <w:r w:rsidRPr="00E853FE">
        <w:rPr>
          <w:rtl/>
        </w:rPr>
        <w:t xml:space="preserve"> </w:t>
      </w:r>
      <w:r w:rsidRPr="00E853FE">
        <w:rPr>
          <w:rFonts w:hint="eastAsia"/>
          <w:rtl/>
        </w:rPr>
        <w:t>אלא</w:t>
      </w:r>
      <w:r w:rsidRPr="00E853FE">
        <w:rPr>
          <w:rtl/>
        </w:rPr>
        <w:t xml:space="preserve"> </w:t>
      </w:r>
      <w:r w:rsidRPr="00E853FE">
        <w:rPr>
          <w:rFonts w:hint="eastAsia"/>
          <w:rtl/>
        </w:rPr>
        <w:lastRenderedPageBreak/>
        <w:t>מצד</w:t>
      </w:r>
      <w:r w:rsidRPr="00E853FE">
        <w:rPr>
          <w:rtl/>
        </w:rPr>
        <w:t xml:space="preserve"> </w:t>
      </w:r>
      <w:r w:rsidRPr="00E853FE">
        <w:rPr>
          <w:rFonts w:hint="eastAsia"/>
          <w:rtl/>
        </w:rPr>
        <w:t>החיוב</w:t>
      </w:r>
      <w:r w:rsidRPr="00E853FE">
        <w:rPr>
          <w:rtl/>
        </w:rPr>
        <w:t xml:space="preserve"> </w:t>
      </w:r>
      <w:r w:rsidRPr="00E853FE">
        <w:rPr>
          <w:rFonts w:hint="eastAsia"/>
          <w:rtl/>
        </w:rPr>
        <w:t>שמירה</w:t>
      </w:r>
      <w:r w:rsidRPr="00E853FE">
        <w:rPr>
          <w:rtl/>
        </w:rPr>
        <w:t xml:space="preserve"> </w:t>
      </w:r>
      <w:r w:rsidRPr="00E853FE">
        <w:rPr>
          <w:rFonts w:hint="eastAsia"/>
          <w:rtl/>
        </w:rPr>
        <w:t>דהנפש</w:t>
      </w:r>
      <w:r w:rsidRPr="00E853FE">
        <w:rPr>
          <w:rtl/>
        </w:rPr>
        <w:t xml:space="preserve">. </w:t>
      </w:r>
      <w:r w:rsidRPr="00E853FE">
        <w:rPr>
          <w:rFonts w:hint="eastAsia"/>
          <w:rtl/>
        </w:rPr>
        <w:t>או</w:t>
      </w:r>
      <w:r w:rsidRPr="00E853FE">
        <w:rPr>
          <w:rtl/>
        </w:rPr>
        <w:t xml:space="preserve"> </w:t>
      </w:r>
      <w:r w:rsidRPr="00E853FE">
        <w:rPr>
          <w:rFonts w:hint="eastAsia"/>
          <w:rtl/>
        </w:rPr>
        <w:t>שנומר</w:t>
      </w:r>
      <w:r w:rsidRPr="00E853FE">
        <w:rPr>
          <w:rtl/>
        </w:rPr>
        <w:t xml:space="preserve"> </w:t>
      </w:r>
      <w:r w:rsidRPr="00E853FE">
        <w:rPr>
          <w:rFonts w:hint="eastAsia"/>
          <w:rtl/>
        </w:rPr>
        <w:t>דס</w:t>
      </w:r>
      <w:r w:rsidRPr="00E853FE">
        <w:rPr>
          <w:rtl/>
        </w:rPr>
        <w:t>"</w:t>
      </w:r>
      <w:r w:rsidRPr="00E853FE">
        <w:rPr>
          <w:rFonts w:hint="eastAsia"/>
          <w:rtl/>
        </w:rPr>
        <w:t>ל</w:t>
      </w:r>
      <w:r w:rsidRPr="00E853FE">
        <w:rPr>
          <w:rtl/>
        </w:rPr>
        <w:t xml:space="preserve"> </w:t>
      </w:r>
      <w:r w:rsidRPr="00E853FE">
        <w:rPr>
          <w:rFonts w:hint="eastAsia"/>
          <w:rtl/>
        </w:rPr>
        <w:t>להרמב</w:t>
      </w:r>
      <w:r w:rsidRPr="00E853FE">
        <w:rPr>
          <w:rtl/>
        </w:rPr>
        <w:t>"</w:t>
      </w:r>
      <w:r w:rsidRPr="00E853FE">
        <w:rPr>
          <w:rFonts w:hint="eastAsia"/>
          <w:rtl/>
        </w:rPr>
        <w:t>ם</w:t>
      </w:r>
      <w:r w:rsidRPr="00E853FE">
        <w:rPr>
          <w:rtl/>
        </w:rPr>
        <w:t xml:space="preserve"> </w:t>
      </w:r>
      <w:r w:rsidRPr="00E853FE">
        <w:rPr>
          <w:rFonts w:hint="eastAsia"/>
          <w:rtl/>
        </w:rPr>
        <w:t>דהדין</w:t>
      </w:r>
      <w:r w:rsidRPr="00E853FE">
        <w:rPr>
          <w:rtl/>
        </w:rPr>
        <w:t xml:space="preserve"> </w:t>
      </w:r>
      <w:r w:rsidRPr="00E853FE">
        <w:rPr>
          <w:rFonts w:hint="eastAsia"/>
          <w:rtl/>
        </w:rPr>
        <w:t>דשמירת</w:t>
      </w:r>
      <w:r w:rsidRPr="00E853FE">
        <w:rPr>
          <w:rtl/>
        </w:rPr>
        <w:t xml:space="preserve"> </w:t>
      </w:r>
      <w:r w:rsidRPr="00E853FE">
        <w:rPr>
          <w:rFonts w:hint="eastAsia"/>
          <w:rtl/>
        </w:rPr>
        <w:t>הנפש</w:t>
      </w:r>
      <w:r w:rsidRPr="00E853FE">
        <w:rPr>
          <w:rtl/>
        </w:rPr>
        <w:t xml:space="preserve"> </w:t>
      </w:r>
      <w:r w:rsidRPr="00E853FE">
        <w:rPr>
          <w:rFonts w:hint="eastAsia"/>
          <w:rtl/>
        </w:rPr>
        <w:t>הינו</w:t>
      </w:r>
      <w:r w:rsidRPr="00E853FE">
        <w:rPr>
          <w:rtl/>
        </w:rPr>
        <w:t xml:space="preserve"> </w:t>
      </w:r>
      <w:r w:rsidRPr="00E853FE">
        <w:rPr>
          <w:rFonts w:hint="eastAsia"/>
          <w:rtl/>
        </w:rPr>
        <w:t>דין</w:t>
      </w:r>
      <w:r w:rsidRPr="00E853FE">
        <w:rPr>
          <w:rtl/>
        </w:rPr>
        <w:t xml:space="preserve"> </w:t>
      </w:r>
      <w:r w:rsidRPr="00E853FE">
        <w:rPr>
          <w:rFonts w:hint="eastAsia"/>
          <w:rtl/>
        </w:rPr>
        <w:t>איסורי</w:t>
      </w:r>
      <w:r w:rsidRPr="00E853FE">
        <w:rPr>
          <w:rtl/>
        </w:rPr>
        <w:t xml:space="preserve"> </w:t>
      </w:r>
      <w:r w:rsidRPr="00E853FE">
        <w:rPr>
          <w:rFonts w:hint="eastAsia"/>
          <w:rtl/>
        </w:rPr>
        <w:t>ולא</w:t>
      </w:r>
      <w:r w:rsidRPr="00E853FE">
        <w:rPr>
          <w:rtl/>
        </w:rPr>
        <w:t xml:space="preserve"> </w:t>
      </w:r>
      <w:r w:rsidRPr="00E853FE">
        <w:rPr>
          <w:rFonts w:hint="eastAsia"/>
          <w:rtl/>
        </w:rPr>
        <w:t>ממוני</w:t>
      </w:r>
      <w:r w:rsidRPr="00E853FE">
        <w:rPr>
          <w:rtl/>
        </w:rPr>
        <w:t xml:space="preserve"> </w:t>
      </w:r>
      <w:r w:rsidRPr="00E853FE">
        <w:rPr>
          <w:rFonts w:hint="eastAsia"/>
          <w:rtl/>
        </w:rPr>
        <w:t>וליכא</w:t>
      </w:r>
      <w:r w:rsidRPr="00E853FE">
        <w:rPr>
          <w:rtl/>
        </w:rPr>
        <w:t xml:space="preserve"> </w:t>
      </w:r>
      <w:r w:rsidRPr="00E853FE">
        <w:rPr>
          <w:rFonts w:hint="eastAsia"/>
          <w:rtl/>
        </w:rPr>
        <w:t>חשיבות</w:t>
      </w:r>
      <w:r w:rsidRPr="00E853FE">
        <w:rPr>
          <w:rtl/>
        </w:rPr>
        <w:t xml:space="preserve"> </w:t>
      </w:r>
      <w:r w:rsidRPr="00E853FE">
        <w:rPr>
          <w:rFonts w:hint="eastAsia"/>
          <w:rtl/>
        </w:rPr>
        <w:t>להגוף</w:t>
      </w:r>
      <w:r w:rsidRPr="00E853FE">
        <w:rPr>
          <w:rtl/>
        </w:rPr>
        <w:t xml:space="preserve"> </w:t>
      </w:r>
      <w:r w:rsidRPr="00E853FE">
        <w:rPr>
          <w:rFonts w:hint="eastAsia"/>
          <w:rtl/>
        </w:rPr>
        <w:t>מצ</w:t>
      </w:r>
      <w:r w:rsidRPr="00E853FE">
        <w:rPr>
          <w:rtl/>
        </w:rPr>
        <w:t>"</w:t>
      </w:r>
      <w:r w:rsidRPr="00E853FE">
        <w:rPr>
          <w:rFonts w:hint="eastAsia"/>
          <w:rtl/>
        </w:rPr>
        <w:t>ע</w:t>
      </w:r>
      <w:r w:rsidRPr="00E853FE">
        <w:rPr>
          <w:rtl/>
        </w:rPr>
        <w:t xml:space="preserve"> </w:t>
      </w:r>
      <w:r w:rsidRPr="00E853FE">
        <w:rPr>
          <w:rFonts w:hint="eastAsia"/>
          <w:rtl/>
        </w:rPr>
        <w:t>כלל</w:t>
      </w:r>
      <w:r w:rsidRPr="00E853FE">
        <w:rPr>
          <w:rtl/>
        </w:rPr>
        <w:t xml:space="preserve"> </w:t>
      </w:r>
      <w:r w:rsidRPr="00E853FE">
        <w:rPr>
          <w:rFonts w:hint="eastAsia"/>
          <w:rtl/>
        </w:rPr>
        <w:t>כמו</w:t>
      </w:r>
      <w:r w:rsidRPr="00E853FE">
        <w:rPr>
          <w:rtl/>
        </w:rPr>
        <w:t xml:space="preserve"> </w:t>
      </w:r>
      <w:r w:rsidRPr="00E853FE">
        <w:rPr>
          <w:rFonts w:hint="eastAsia"/>
          <w:rtl/>
        </w:rPr>
        <w:t>שרצה</w:t>
      </w:r>
      <w:r w:rsidRPr="00E853FE">
        <w:rPr>
          <w:rtl/>
        </w:rPr>
        <w:t xml:space="preserve"> </w:t>
      </w:r>
      <w:r w:rsidRPr="00E853FE">
        <w:rPr>
          <w:rFonts w:hint="eastAsia"/>
          <w:rtl/>
        </w:rPr>
        <w:t>הר</w:t>
      </w:r>
      <w:r w:rsidRPr="00E853FE">
        <w:rPr>
          <w:rtl/>
        </w:rPr>
        <w:t xml:space="preserve">' </w:t>
      </w:r>
      <w:r w:rsidRPr="00E853FE">
        <w:rPr>
          <w:rFonts w:hint="eastAsia"/>
          <w:rtl/>
        </w:rPr>
        <w:t>קלמנסון</w:t>
      </w:r>
      <w:r w:rsidRPr="00E853FE">
        <w:rPr>
          <w:rtl/>
        </w:rPr>
        <w:t xml:space="preserve"> </w:t>
      </w:r>
      <w:r w:rsidRPr="00E853FE">
        <w:rPr>
          <w:rFonts w:hint="eastAsia"/>
          <w:rtl/>
        </w:rPr>
        <w:t>לבאר</w:t>
      </w:r>
      <w:r w:rsidRPr="00E853FE">
        <w:rPr>
          <w:rtl/>
        </w:rPr>
        <w:t xml:space="preserve">), </w:t>
      </w:r>
      <w:r w:rsidRPr="00E853FE">
        <w:rPr>
          <w:rFonts w:hint="eastAsia"/>
          <w:rtl/>
        </w:rPr>
        <w:t>וק</w:t>
      </w:r>
      <w:r w:rsidRPr="00E853FE">
        <w:rPr>
          <w:rtl/>
        </w:rPr>
        <w:t>"</w:t>
      </w:r>
      <w:r w:rsidRPr="00E853FE">
        <w:rPr>
          <w:rFonts w:hint="eastAsia"/>
          <w:rtl/>
        </w:rPr>
        <w:t>ל</w:t>
      </w:r>
      <w:r w:rsidRPr="00E853FE">
        <w:rPr>
          <w:rtl/>
        </w:rPr>
        <w:t>.</w:t>
      </w:r>
    </w:p>
    <w:p w:rsidR="004820B2" w:rsidRDefault="004820B2" w:rsidP="004820B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0836F8" w:rsidRDefault="000836F8" w:rsidP="000836F8">
      <w:pPr>
        <w:pStyle w:val="12"/>
        <w:rPr>
          <w:rtl/>
        </w:rPr>
      </w:pPr>
      <w:bookmarkStart w:id="149" w:name="_Toc43963116"/>
      <w:r w:rsidRPr="000836F8">
        <w:rPr>
          <w:rFonts w:hint="cs"/>
          <w:rtl/>
        </w:rPr>
        <w:t>חסידות</w:t>
      </w:r>
      <w:bookmarkEnd w:id="146"/>
      <w:bookmarkEnd w:id="149"/>
    </w:p>
    <w:p w:rsidR="00AB6EC6" w:rsidRDefault="00AB6EC6" w:rsidP="001B37D0">
      <w:pPr>
        <w:pStyle w:val="a0"/>
        <w:rPr>
          <w:rtl/>
        </w:rPr>
      </w:pPr>
      <w:bookmarkStart w:id="150" w:name="_Toc43963117"/>
      <w:r>
        <w:rPr>
          <w:rFonts w:hint="cs"/>
          <w:rtl/>
        </w:rPr>
        <w:t>שרפים, אופנים, וחיות הקדש: מי גבוה ממי?</w:t>
      </w:r>
      <w:bookmarkEnd w:id="150"/>
    </w:p>
    <w:p w:rsidR="00AB6EC6" w:rsidRDefault="00AB6EC6" w:rsidP="00AB6EC6">
      <w:pPr>
        <w:pStyle w:val="a1"/>
        <w:rPr>
          <w:rtl/>
        </w:rPr>
      </w:pPr>
      <w:bookmarkStart w:id="151" w:name="_Toc43963118"/>
      <w:r w:rsidRPr="00AB6EC6">
        <w:rPr>
          <w:rStyle w:val="Char"/>
          <w:rFonts w:hint="cs"/>
          <w:rtl/>
        </w:rPr>
        <w:t>הרב יהודה ליב אלטיין</w:t>
      </w:r>
      <w:bookmarkEnd w:id="151"/>
      <w:r>
        <w:rPr>
          <w:rtl/>
        </w:rPr>
        <w:br/>
      </w:r>
      <w:r>
        <w:rPr>
          <w:rFonts w:hint="cs"/>
          <w:rtl/>
        </w:rPr>
        <w:t>תושב השכונה</w:t>
      </w:r>
    </w:p>
    <w:p w:rsidR="00AB6EC6" w:rsidRPr="00AB6EC6" w:rsidRDefault="00AB6EC6" w:rsidP="00F146A6">
      <w:pPr>
        <w:pStyle w:val="a3"/>
        <w:rPr>
          <w:rtl/>
        </w:rPr>
      </w:pPr>
      <w:r w:rsidRPr="00AB6EC6">
        <w:rPr>
          <w:rFonts w:hint="cs"/>
          <w:rtl/>
        </w:rPr>
        <w:t xml:space="preserve">בכ"מ בחסידות מבואר דמדור השרפים הוא בעולם הבריאה, מדור חיות הקדש הוא בעולם היצירה, ומדור האופנים הוא בעולם העשיה. לפ"ז יוצא דסדר מלאכים אלו מלמעלה למטה הוא: שרפים, חיות הקדש, ואופנים (ראה לדוגמא ד"ה מים רבים תשי"ז ס"ז). </w:t>
      </w:r>
    </w:p>
    <w:p w:rsidR="00AB6EC6" w:rsidRPr="00AB6EC6" w:rsidRDefault="00AB6EC6" w:rsidP="00F146A6">
      <w:pPr>
        <w:pStyle w:val="a3"/>
        <w:rPr>
          <w:rtl/>
        </w:rPr>
      </w:pPr>
      <w:r w:rsidRPr="00AB6EC6">
        <w:rPr>
          <w:rFonts w:hint="cs"/>
          <w:rtl/>
        </w:rPr>
        <w:t>והנה איתא בגמ' (חולין צא, ב ואילך): "אמר</w:t>
      </w:r>
      <w:r w:rsidRPr="00AB6EC6">
        <w:rPr>
          <w:rtl/>
        </w:rPr>
        <w:t xml:space="preserve"> </w:t>
      </w:r>
      <w:r w:rsidRPr="00AB6EC6">
        <w:rPr>
          <w:rFonts w:hint="cs"/>
          <w:rtl/>
        </w:rPr>
        <w:t>רב</w:t>
      </w:r>
      <w:r w:rsidRPr="00AB6EC6">
        <w:rPr>
          <w:rtl/>
        </w:rPr>
        <w:t xml:space="preserve"> </w:t>
      </w:r>
      <w:r w:rsidRPr="00AB6EC6">
        <w:rPr>
          <w:rFonts w:hint="cs"/>
          <w:rtl/>
        </w:rPr>
        <w:t>חננאל</w:t>
      </w:r>
      <w:r w:rsidRPr="00AB6EC6">
        <w:rPr>
          <w:rtl/>
        </w:rPr>
        <w:t xml:space="preserve"> </w:t>
      </w:r>
      <w:r w:rsidRPr="00AB6EC6">
        <w:rPr>
          <w:rFonts w:hint="cs"/>
          <w:rtl/>
        </w:rPr>
        <w:t>אמר</w:t>
      </w:r>
      <w:r w:rsidRPr="00AB6EC6">
        <w:rPr>
          <w:rtl/>
        </w:rPr>
        <w:t xml:space="preserve"> </w:t>
      </w:r>
      <w:r w:rsidRPr="00AB6EC6">
        <w:rPr>
          <w:rFonts w:hint="cs"/>
          <w:rtl/>
        </w:rPr>
        <w:t>רב</w:t>
      </w:r>
      <w:r w:rsidRPr="00AB6EC6">
        <w:rPr>
          <w:rtl/>
        </w:rPr>
        <w:t xml:space="preserve">: </w:t>
      </w:r>
      <w:r w:rsidRPr="00AB6EC6">
        <w:rPr>
          <w:rFonts w:hint="cs"/>
          <w:rtl/>
        </w:rPr>
        <w:t>שלש</w:t>
      </w:r>
      <w:r w:rsidRPr="00AB6EC6">
        <w:rPr>
          <w:rtl/>
        </w:rPr>
        <w:t xml:space="preserve"> </w:t>
      </w:r>
      <w:r w:rsidRPr="00AB6EC6">
        <w:rPr>
          <w:rFonts w:hint="cs"/>
          <w:rtl/>
        </w:rPr>
        <w:t>כתות</w:t>
      </w:r>
      <w:r w:rsidRPr="00AB6EC6">
        <w:rPr>
          <w:rtl/>
        </w:rPr>
        <w:t xml:space="preserve"> </w:t>
      </w:r>
      <w:r w:rsidRPr="00AB6EC6">
        <w:rPr>
          <w:rFonts w:hint="cs"/>
          <w:rtl/>
        </w:rPr>
        <w:t>של</w:t>
      </w:r>
      <w:r w:rsidRPr="00AB6EC6">
        <w:rPr>
          <w:rtl/>
        </w:rPr>
        <w:t xml:space="preserve"> </w:t>
      </w:r>
      <w:r w:rsidRPr="00AB6EC6">
        <w:rPr>
          <w:rFonts w:hint="cs"/>
          <w:rtl/>
        </w:rPr>
        <w:t>מלאכי</w:t>
      </w:r>
      <w:r w:rsidRPr="00AB6EC6">
        <w:rPr>
          <w:rtl/>
        </w:rPr>
        <w:t xml:space="preserve"> </w:t>
      </w:r>
      <w:r w:rsidRPr="00AB6EC6">
        <w:rPr>
          <w:rFonts w:hint="cs"/>
          <w:rtl/>
        </w:rPr>
        <w:t>השרת</w:t>
      </w:r>
      <w:r w:rsidRPr="00AB6EC6">
        <w:rPr>
          <w:rtl/>
        </w:rPr>
        <w:t xml:space="preserve"> </w:t>
      </w:r>
      <w:r w:rsidRPr="00AB6EC6">
        <w:rPr>
          <w:rFonts w:hint="cs"/>
          <w:rtl/>
        </w:rPr>
        <w:t>אומרות</w:t>
      </w:r>
      <w:r w:rsidRPr="00AB6EC6">
        <w:rPr>
          <w:rtl/>
        </w:rPr>
        <w:t xml:space="preserve"> </w:t>
      </w:r>
      <w:r w:rsidRPr="00AB6EC6">
        <w:rPr>
          <w:rFonts w:hint="cs"/>
          <w:rtl/>
        </w:rPr>
        <w:t>שירה</w:t>
      </w:r>
      <w:r w:rsidRPr="00AB6EC6">
        <w:rPr>
          <w:rtl/>
        </w:rPr>
        <w:t xml:space="preserve"> </w:t>
      </w:r>
      <w:r w:rsidRPr="00AB6EC6">
        <w:rPr>
          <w:rFonts w:hint="cs"/>
          <w:rtl/>
        </w:rPr>
        <w:t>בכל</w:t>
      </w:r>
      <w:r w:rsidRPr="00AB6EC6">
        <w:rPr>
          <w:rtl/>
        </w:rPr>
        <w:t xml:space="preserve"> </w:t>
      </w:r>
      <w:r w:rsidRPr="00AB6EC6">
        <w:rPr>
          <w:rFonts w:hint="cs"/>
          <w:rtl/>
        </w:rPr>
        <w:t>יום</w:t>
      </w:r>
      <w:r w:rsidRPr="00AB6EC6">
        <w:rPr>
          <w:rtl/>
        </w:rPr>
        <w:t xml:space="preserve">, </w:t>
      </w:r>
      <w:r w:rsidRPr="00AB6EC6">
        <w:rPr>
          <w:rFonts w:hint="cs"/>
          <w:rtl/>
        </w:rPr>
        <w:t>אחת</w:t>
      </w:r>
      <w:r w:rsidRPr="00AB6EC6">
        <w:rPr>
          <w:rtl/>
        </w:rPr>
        <w:t xml:space="preserve"> </w:t>
      </w:r>
      <w:r w:rsidRPr="00AB6EC6">
        <w:rPr>
          <w:rFonts w:hint="cs"/>
          <w:rtl/>
        </w:rPr>
        <w:t>אומרת</w:t>
      </w:r>
      <w:r w:rsidRPr="00AB6EC6">
        <w:rPr>
          <w:rtl/>
        </w:rPr>
        <w:t xml:space="preserve"> </w:t>
      </w:r>
      <w:r w:rsidRPr="00AB6EC6">
        <w:rPr>
          <w:rFonts w:hint="cs"/>
          <w:rtl/>
        </w:rPr>
        <w:t>קדוש</w:t>
      </w:r>
      <w:r w:rsidRPr="00AB6EC6">
        <w:rPr>
          <w:rtl/>
        </w:rPr>
        <w:t xml:space="preserve">, </w:t>
      </w:r>
      <w:r w:rsidRPr="00AB6EC6">
        <w:rPr>
          <w:rFonts w:hint="cs"/>
          <w:rtl/>
        </w:rPr>
        <w:t>ואחת</w:t>
      </w:r>
      <w:r w:rsidRPr="00AB6EC6">
        <w:rPr>
          <w:rtl/>
        </w:rPr>
        <w:t xml:space="preserve"> </w:t>
      </w:r>
      <w:r w:rsidRPr="00AB6EC6">
        <w:rPr>
          <w:rFonts w:hint="cs"/>
          <w:rtl/>
        </w:rPr>
        <w:t>אומרת</w:t>
      </w:r>
      <w:r w:rsidRPr="00AB6EC6">
        <w:rPr>
          <w:rtl/>
        </w:rPr>
        <w:t xml:space="preserve"> </w:t>
      </w:r>
      <w:r w:rsidRPr="00AB6EC6">
        <w:rPr>
          <w:rFonts w:hint="cs"/>
          <w:rtl/>
        </w:rPr>
        <w:t>קדוש</w:t>
      </w:r>
      <w:r w:rsidRPr="00AB6EC6">
        <w:rPr>
          <w:rtl/>
        </w:rPr>
        <w:t xml:space="preserve">, </w:t>
      </w:r>
      <w:r w:rsidRPr="00AB6EC6">
        <w:rPr>
          <w:rFonts w:hint="cs"/>
          <w:rtl/>
        </w:rPr>
        <w:t>ואחת</w:t>
      </w:r>
      <w:r w:rsidRPr="00AB6EC6">
        <w:rPr>
          <w:rtl/>
        </w:rPr>
        <w:t xml:space="preserve"> </w:t>
      </w:r>
      <w:r w:rsidRPr="00AB6EC6">
        <w:rPr>
          <w:rFonts w:hint="cs"/>
          <w:rtl/>
        </w:rPr>
        <w:t>אומרת</w:t>
      </w:r>
      <w:r w:rsidRPr="00AB6EC6">
        <w:rPr>
          <w:rtl/>
        </w:rPr>
        <w:t xml:space="preserve"> </w:t>
      </w:r>
      <w:r w:rsidRPr="00AB6EC6">
        <w:rPr>
          <w:rFonts w:hint="cs"/>
          <w:rtl/>
        </w:rPr>
        <w:t>קדוש</w:t>
      </w:r>
      <w:r w:rsidRPr="00AB6EC6">
        <w:rPr>
          <w:rtl/>
        </w:rPr>
        <w:t xml:space="preserve"> </w:t>
      </w:r>
      <w:r w:rsidRPr="00AB6EC6">
        <w:rPr>
          <w:rFonts w:hint="cs"/>
          <w:rtl/>
        </w:rPr>
        <w:t>ה</w:t>
      </w:r>
      <w:r w:rsidRPr="00AB6EC6">
        <w:rPr>
          <w:rtl/>
        </w:rPr>
        <w:t xml:space="preserve">' </w:t>
      </w:r>
      <w:r w:rsidRPr="00AB6EC6">
        <w:rPr>
          <w:rFonts w:hint="cs"/>
          <w:rtl/>
        </w:rPr>
        <w:t>צבאות</w:t>
      </w:r>
      <w:r w:rsidRPr="00AB6EC6">
        <w:rPr>
          <w:rtl/>
        </w:rPr>
        <w:t xml:space="preserve">. </w:t>
      </w:r>
      <w:r w:rsidRPr="00AB6EC6">
        <w:rPr>
          <w:rFonts w:hint="cs"/>
          <w:rtl/>
        </w:rPr>
        <w:t>מיתיבי</w:t>
      </w:r>
      <w:r w:rsidRPr="00AB6EC6">
        <w:rPr>
          <w:rtl/>
        </w:rPr>
        <w:t xml:space="preserve">: </w:t>
      </w:r>
      <w:r w:rsidRPr="00AB6EC6">
        <w:rPr>
          <w:rFonts w:hint="cs"/>
          <w:rtl/>
        </w:rPr>
        <w:t>חביבין</w:t>
      </w:r>
      <w:r w:rsidRPr="00AB6EC6">
        <w:rPr>
          <w:rtl/>
        </w:rPr>
        <w:t xml:space="preserve"> </w:t>
      </w:r>
      <w:r w:rsidRPr="00AB6EC6">
        <w:rPr>
          <w:rFonts w:hint="cs"/>
          <w:rtl/>
        </w:rPr>
        <w:t>ישראל</w:t>
      </w:r>
      <w:r w:rsidRPr="00AB6EC6">
        <w:rPr>
          <w:rtl/>
        </w:rPr>
        <w:t xml:space="preserve"> </w:t>
      </w:r>
      <w:r w:rsidRPr="00AB6EC6">
        <w:rPr>
          <w:rFonts w:hint="cs"/>
          <w:rtl/>
        </w:rPr>
        <w:t>לפני</w:t>
      </w:r>
      <w:r w:rsidRPr="00AB6EC6">
        <w:rPr>
          <w:rtl/>
        </w:rPr>
        <w:t xml:space="preserve"> </w:t>
      </w:r>
      <w:r w:rsidRPr="00AB6EC6">
        <w:rPr>
          <w:rFonts w:hint="cs"/>
          <w:rtl/>
        </w:rPr>
        <w:t>הקדוש</w:t>
      </w:r>
      <w:r w:rsidRPr="00AB6EC6">
        <w:rPr>
          <w:rtl/>
        </w:rPr>
        <w:t xml:space="preserve"> </w:t>
      </w:r>
      <w:r w:rsidRPr="00AB6EC6">
        <w:rPr>
          <w:rFonts w:hint="cs"/>
          <w:rtl/>
        </w:rPr>
        <w:t>ברוך</w:t>
      </w:r>
      <w:r w:rsidRPr="00AB6EC6">
        <w:rPr>
          <w:rtl/>
        </w:rPr>
        <w:t xml:space="preserve"> </w:t>
      </w:r>
      <w:r w:rsidRPr="00AB6EC6">
        <w:rPr>
          <w:rFonts w:hint="cs"/>
          <w:rtl/>
        </w:rPr>
        <w:t>הוא</w:t>
      </w:r>
      <w:r w:rsidRPr="00AB6EC6">
        <w:rPr>
          <w:rtl/>
        </w:rPr>
        <w:t xml:space="preserve"> </w:t>
      </w:r>
      <w:r w:rsidRPr="00AB6EC6">
        <w:rPr>
          <w:rFonts w:hint="cs"/>
          <w:rtl/>
        </w:rPr>
        <w:t>יותר</w:t>
      </w:r>
      <w:r w:rsidRPr="00AB6EC6">
        <w:rPr>
          <w:rtl/>
        </w:rPr>
        <w:t xml:space="preserve"> </w:t>
      </w:r>
      <w:r w:rsidRPr="00AB6EC6">
        <w:rPr>
          <w:rFonts w:hint="cs"/>
          <w:rtl/>
        </w:rPr>
        <w:t>ממלאכי</w:t>
      </w:r>
      <w:r w:rsidRPr="00AB6EC6">
        <w:rPr>
          <w:rtl/>
        </w:rPr>
        <w:t xml:space="preserve"> </w:t>
      </w:r>
      <w:r w:rsidRPr="00AB6EC6">
        <w:rPr>
          <w:rFonts w:hint="cs"/>
          <w:rtl/>
        </w:rPr>
        <w:t>השרת</w:t>
      </w:r>
      <w:r w:rsidRPr="00AB6EC6">
        <w:rPr>
          <w:rFonts w:ascii="Cambria" w:hAnsi="Cambria" w:cs="Cambria" w:hint="cs"/>
          <w:rtl/>
        </w:rPr>
        <w:t> </w:t>
      </w:r>
      <w:r w:rsidRPr="00AB6EC6">
        <w:rPr>
          <w:rFonts w:hint="cs"/>
          <w:rtl/>
        </w:rPr>
        <w:t>.</w:t>
      </w:r>
      <w:r w:rsidRPr="00AB6EC6">
        <w:rPr>
          <w:rFonts w:ascii="Cambria" w:hAnsi="Cambria" w:cs="Cambria" w:hint="cs"/>
          <w:rtl/>
        </w:rPr>
        <w:t> </w:t>
      </w:r>
      <w:r w:rsidRPr="00AB6EC6">
        <w:rPr>
          <w:rFonts w:hint="cs"/>
          <w:rtl/>
        </w:rPr>
        <w:t>.</w:t>
      </w:r>
      <w:r w:rsidRPr="00AB6EC6">
        <w:rPr>
          <w:rFonts w:ascii="Cambria" w:hAnsi="Cambria" w:cs="Cambria" w:hint="cs"/>
          <w:rtl/>
        </w:rPr>
        <w:t> </w:t>
      </w:r>
      <w:r w:rsidRPr="00AB6EC6">
        <w:rPr>
          <w:rFonts w:hint="cs"/>
          <w:rtl/>
        </w:rPr>
        <w:t>ישראל</w:t>
      </w:r>
      <w:r w:rsidRPr="00AB6EC6">
        <w:rPr>
          <w:rtl/>
        </w:rPr>
        <w:t xml:space="preserve"> </w:t>
      </w:r>
      <w:r w:rsidRPr="00AB6EC6">
        <w:rPr>
          <w:rFonts w:hint="cs"/>
          <w:rtl/>
        </w:rPr>
        <w:t>מזכירין</w:t>
      </w:r>
      <w:r w:rsidRPr="00AB6EC6">
        <w:rPr>
          <w:rtl/>
        </w:rPr>
        <w:t xml:space="preserve"> </w:t>
      </w:r>
      <w:r w:rsidRPr="00AB6EC6">
        <w:rPr>
          <w:rFonts w:hint="cs"/>
          <w:rtl/>
        </w:rPr>
        <w:t>את</w:t>
      </w:r>
      <w:r w:rsidRPr="00AB6EC6">
        <w:rPr>
          <w:rtl/>
        </w:rPr>
        <w:t xml:space="preserve"> </w:t>
      </w:r>
      <w:r w:rsidRPr="00AB6EC6">
        <w:rPr>
          <w:rFonts w:hint="cs"/>
          <w:rtl/>
        </w:rPr>
        <w:t>השם</w:t>
      </w:r>
      <w:r w:rsidRPr="00AB6EC6">
        <w:rPr>
          <w:rtl/>
        </w:rPr>
        <w:t xml:space="preserve"> </w:t>
      </w:r>
      <w:r w:rsidRPr="00AB6EC6">
        <w:rPr>
          <w:rFonts w:hint="cs"/>
          <w:rtl/>
        </w:rPr>
        <w:t>אחר</w:t>
      </w:r>
      <w:r w:rsidRPr="00AB6EC6">
        <w:rPr>
          <w:rtl/>
        </w:rPr>
        <w:t xml:space="preserve"> </w:t>
      </w:r>
      <w:r w:rsidRPr="00AB6EC6">
        <w:rPr>
          <w:rFonts w:hint="cs"/>
          <w:rtl/>
        </w:rPr>
        <w:t>שתי</w:t>
      </w:r>
      <w:r w:rsidRPr="00AB6EC6">
        <w:rPr>
          <w:rtl/>
        </w:rPr>
        <w:t xml:space="preserve"> </w:t>
      </w:r>
      <w:r w:rsidRPr="00AB6EC6">
        <w:rPr>
          <w:rFonts w:hint="cs"/>
          <w:rtl/>
        </w:rPr>
        <w:t>תיבות</w:t>
      </w:r>
      <w:r w:rsidRPr="00AB6EC6">
        <w:rPr>
          <w:rtl/>
        </w:rPr>
        <w:t xml:space="preserve">, </w:t>
      </w:r>
      <w:r w:rsidRPr="00AB6EC6">
        <w:rPr>
          <w:rFonts w:hint="cs"/>
          <w:rtl/>
        </w:rPr>
        <w:t>שנאמר</w:t>
      </w:r>
      <w:r w:rsidRPr="00AB6EC6">
        <w:rPr>
          <w:rtl/>
        </w:rPr>
        <w:t xml:space="preserve">: </w:t>
      </w:r>
      <w:r w:rsidRPr="00AB6EC6">
        <w:rPr>
          <w:rFonts w:hint="cs"/>
          <w:rtl/>
        </w:rPr>
        <w:t>שמע</w:t>
      </w:r>
      <w:r w:rsidRPr="00AB6EC6">
        <w:rPr>
          <w:rtl/>
        </w:rPr>
        <w:t xml:space="preserve"> </w:t>
      </w:r>
      <w:r w:rsidRPr="00AB6EC6">
        <w:rPr>
          <w:rFonts w:hint="cs"/>
          <w:rtl/>
        </w:rPr>
        <w:t>ישראל</w:t>
      </w:r>
      <w:r w:rsidRPr="00AB6EC6">
        <w:rPr>
          <w:rtl/>
        </w:rPr>
        <w:t xml:space="preserve"> </w:t>
      </w:r>
      <w:r w:rsidRPr="00AB6EC6">
        <w:rPr>
          <w:rFonts w:hint="cs"/>
          <w:rtl/>
        </w:rPr>
        <w:t>ה</w:t>
      </w:r>
      <w:r w:rsidRPr="00AB6EC6">
        <w:rPr>
          <w:rtl/>
        </w:rPr>
        <w:t xml:space="preserve">' </w:t>
      </w:r>
      <w:r w:rsidRPr="00AB6EC6">
        <w:rPr>
          <w:rFonts w:hint="cs"/>
          <w:rtl/>
        </w:rPr>
        <w:t>וגו</w:t>
      </w:r>
      <w:r w:rsidRPr="00AB6EC6">
        <w:rPr>
          <w:rtl/>
        </w:rPr>
        <w:t xml:space="preserve">', </w:t>
      </w:r>
      <w:r w:rsidRPr="00AB6EC6">
        <w:rPr>
          <w:rFonts w:hint="cs"/>
          <w:rtl/>
        </w:rPr>
        <w:t>ומלאכי</w:t>
      </w:r>
      <w:r w:rsidRPr="00AB6EC6">
        <w:rPr>
          <w:rtl/>
        </w:rPr>
        <w:t xml:space="preserve"> </w:t>
      </w:r>
      <w:r w:rsidRPr="00AB6EC6">
        <w:rPr>
          <w:rFonts w:hint="cs"/>
          <w:rtl/>
        </w:rPr>
        <w:t>השרת</w:t>
      </w:r>
      <w:r w:rsidRPr="00AB6EC6">
        <w:rPr>
          <w:rtl/>
        </w:rPr>
        <w:t xml:space="preserve"> </w:t>
      </w:r>
      <w:r w:rsidRPr="00AB6EC6">
        <w:rPr>
          <w:rFonts w:hint="cs"/>
          <w:rtl/>
        </w:rPr>
        <w:t>אין</w:t>
      </w:r>
      <w:r w:rsidRPr="00AB6EC6">
        <w:rPr>
          <w:rtl/>
        </w:rPr>
        <w:t xml:space="preserve"> </w:t>
      </w:r>
      <w:r w:rsidRPr="00AB6EC6">
        <w:rPr>
          <w:rFonts w:hint="cs"/>
          <w:rtl/>
        </w:rPr>
        <w:t>מזכירין</w:t>
      </w:r>
      <w:r w:rsidRPr="00AB6EC6">
        <w:rPr>
          <w:rtl/>
        </w:rPr>
        <w:t xml:space="preserve"> </w:t>
      </w:r>
      <w:r w:rsidRPr="00AB6EC6">
        <w:rPr>
          <w:rFonts w:hint="cs"/>
          <w:rtl/>
        </w:rPr>
        <w:t>את</w:t>
      </w:r>
      <w:r w:rsidRPr="00AB6EC6">
        <w:rPr>
          <w:rtl/>
        </w:rPr>
        <w:t xml:space="preserve"> </w:t>
      </w:r>
      <w:r w:rsidRPr="00AB6EC6">
        <w:rPr>
          <w:rFonts w:hint="cs"/>
          <w:rtl/>
        </w:rPr>
        <w:t>השם</w:t>
      </w:r>
      <w:r w:rsidRPr="00AB6EC6">
        <w:rPr>
          <w:rtl/>
        </w:rPr>
        <w:t xml:space="preserve"> </w:t>
      </w:r>
      <w:r w:rsidRPr="00AB6EC6">
        <w:rPr>
          <w:rFonts w:hint="cs"/>
          <w:rtl/>
        </w:rPr>
        <w:t>אלא</w:t>
      </w:r>
      <w:r w:rsidRPr="00AB6EC6">
        <w:rPr>
          <w:rtl/>
        </w:rPr>
        <w:t xml:space="preserve"> </w:t>
      </w:r>
      <w:r w:rsidRPr="00AB6EC6">
        <w:rPr>
          <w:rFonts w:hint="cs"/>
          <w:rtl/>
        </w:rPr>
        <w:t>לאחר</w:t>
      </w:r>
      <w:r w:rsidRPr="00AB6EC6">
        <w:rPr>
          <w:rtl/>
        </w:rPr>
        <w:t xml:space="preserve"> </w:t>
      </w:r>
      <w:r w:rsidRPr="00AB6EC6">
        <w:rPr>
          <w:rFonts w:hint="cs"/>
          <w:rtl/>
        </w:rPr>
        <w:t>ג</w:t>
      </w:r>
      <w:r w:rsidRPr="00AB6EC6">
        <w:rPr>
          <w:rtl/>
        </w:rPr>
        <w:t xml:space="preserve">' </w:t>
      </w:r>
      <w:r w:rsidRPr="00AB6EC6">
        <w:rPr>
          <w:rFonts w:hint="cs"/>
          <w:rtl/>
        </w:rPr>
        <w:t>תיבות</w:t>
      </w:r>
      <w:r w:rsidRPr="00AB6EC6">
        <w:rPr>
          <w:rtl/>
        </w:rPr>
        <w:t xml:space="preserve">, </w:t>
      </w:r>
      <w:r w:rsidRPr="00AB6EC6">
        <w:rPr>
          <w:rFonts w:hint="cs"/>
          <w:rtl/>
        </w:rPr>
        <w:t>כדכתיב</w:t>
      </w:r>
      <w:r w:rsidRPr="00AB6EC6">
        <w:rPr>
          <w:rtl/>
        </w:rPr>
        <w:t xml:space="preserve">: </w:t>
      </w:r>
      <w:r w:rsidRPr="00AB6EC6">
        <w:rPr>
          <w:rFonts w:hint="cs"/>
          <w:rtl/>
        </w:rPr>
        <w:t>קדוש</w:t>
      </w:r>
      <w:r w:rsidRPr="00AB6EC6">
        <w:rPr>
          <w:rtl/>
        </w:rPr>
        <w:t xml:space="preserve"> </w:t>
      </w:r>
      <w:r w:rsidRPr="00AB6EC6">
        <w:rPr>
          <w:rFonts w:hint="cs"/>
          <w:rtl/>
        </w:rPr>
        <w:t>קדוש</w:t>
      </w:r>
      <w:r w:rsidRPr="00AB6EC6">
        <w:rPr>
          <w:rtl/>
        </w:rPr>
        <w:t xml:space="preserve"> </w:t>
      </w:r>
      <w:r w:rsidRPr="00AB6EC6">
        <w:rPr>
          <w:rFonts w:hint="cs"/>
          <w:rtl/>
        </w:rPr>
        <w:t>קדוש</w:t>
      </w:r>
      <w:r w:rsidRPr="00AB6EC6">
        <w:rPr>
          <w:rtl/>
        </w:rPr>
        <w:t xml:space="preserve"> </w:t>
      </w:r>
      <w:r w:rsidRPr="00AB6EC6">
        <w:rPr>
          <w:rFonts w:hint="cs"/>
          <w:rtl/>
        </w:rPr>
        <w:t>ה</w:t>
      </w:r>
      <w:r w:rsidRPr="00AB6EC6">
        <w:rPr>
          <w:rtl/>
        </w:rPr>
        <w:t xml:space="preserve">' </w:t>
      </w:r>
      <w:r w:rsidRPr="00AB6EC6">
        <w:rPr>
          <w:rFonts w:hint="cs"/>
          <w:rtl/>
        </w:rPr>
        <w:t>צבאות [אחר</w:t>
      </w:r>
      <w:r w:rsidRPr="00AB6EC6">
        <w:rPr>
          <w:rtl/>
        </w:rPr>
        <w:t xml:space="preserve"> </w:t>
      </w:r>
      <w:r w:rsidRPr="00AB6EC6">
        <w:rPr>
          <w:rFonts w:hint="cs"/>
          <w:rtl/>
        </w:rPr>
        <w:t>שלש</w:t>
      </w:r>
      <w:r w:rsidRPr="00AB6EC6">
        <w:rPr>
          <w:rtl/>
        </w:rPr>
        <w:t xml:space="preserve"> </w:t>
      </w:r>
      <w:r w:rsidRPr="00AB6EC6">
        <w:rPr>
          <w:rFonts w:hint="cs"/>
          <w:rtl/>
        </w:rPr>
        <w:t>תיבות,</w:t>
      </w:r>
      <w:r w:rsidRPr="00AB6EC6">
        <w:rPr>
          <w:rtl/>
        </w:rPr>
        <w:t xml:space="preserve"> </w:t>
      </w:r>
      <w:r w:rsidRPr="00AB6EC6">
        <w:rPr>
          <w:rFonts w:hint="cs"/>
          <w:rtl/>
        </w:rPr>
        <w:t>ואת</w:t>
      </w:r>
      <w:r w:rsidRPr="00AB6EC6">
        <w:rPr>
          <w:rtl/>
        </w:rPr>
        <w:t xml:space="preserve"> </w:t>
      </w:r>
      <w:r w:rsidRPr="00AB6EC6">
        <w:rPr>
          <w:rFonts w:hint="cs"/>
          <w:rtl/>
        </w:rPr>
        <w:t>אמרת</w:t>
      </w:r>
      <w:r w:rsidRPr="00AB6EC6">
        <w:rPr>
          <w:rtl/>
        </w:rPr>
        <w:t xml:space="preserve"> </w:t>
      </w:r>
      <w:r w:rsidRPr="00AB6EC6">
        <w:rPr>
          <w:rFonts w:hint="cs"/>
          <w:rtl/>
        </w:rPr>
        <w:t>קדוש</w:t>
      </w:r>
      <w:r w:rsidRPr="00AB6EC6">
        <w:rPr>
          <w:rtl/>
        </w:rPr>
        <w:t xml:space="preserve"> </w:t>
      </w:r>
      <w:r w:rsidRPr="00AB6EC6">
        <w:rPr>
          <w:rFonts w:hint="cs"/>
          <w:rtl/>
        </w:rPr>
        <w:t>ה</w:t>
      </w:r>
      <w:r w:rsidRPr="00AB6EC6">
        <w:rPr>
          <w:rtl/>
        </w:rPr>
        <w:t>'</w:t>
      </w:r>
      <w:r w:rsidRPr="00AB6EC6">
        <w:rPr>
          <w:rFonts w:hint="cs"/>
          <w:rtl/>
        </w:rPr>
        <w:t>, רש"י]? אלא</w:t>
      </w:r>
      <w:r w:rsidRPr="00AB6EC6">
        <w:rPr>
          <w:rtl/>
        </w:rPr>
        <w:t xml:space="preserve">: </w:t>
      </w:r>
      <w:r w:rsidRPr="00AB6EC6">
        <w:rPr>
          <w:rFonts w:hint="cs"/>
          <w:rtl/>
        </w:rPr>
        <w:t>אחת</w:t>
      </w:r>
      <w:r w:rsidRPr="00AB6EC6">
        <w:rPr>
          <w:rtl/>
        </w:rPr>
        <w:t xml:space="preserve"> </w:t>
      </w:r>
      <w:r w:rsidRPr="00AB6EC6">
        <w:rPr>
          <w:rFonts w:hint="cs"/>
          <w:rtl/>
        </w:rPr>
        <w:t>אומרת</w:t>
      </w:r>
      <w:r w:rsidRPr="00AB6EC6">
        <w:rPr>
          <w:rtl/>
        </w:rPr>
        <w:t xml:space="preserve"> </w:t>
      </w:r>
      <w:r w:rsidRPr="00AB6EC6">
        <w:rPr>
          <w:rFonts w:hint="cs"/>
          <w:rtl/>
        </w:rPr>
        <w:t>קדוש</w:t>
      </w:r>
      <w:r w:rsidRPr="00AB6EC6">
        <w:rPr>
          <w:rtl/>
        </w:rPr>
        <w:t xml:space="preserve">, </w:t>
      </w:r>
      <w:r w:rsidRPr="00AB6EC6">
        <w:rPr>
          <w:rFonts w:hint="cs"/>
          <w:rtl/>
        </w:rPr>
        <w:t>ואחת</w:t>
      </w:r>
      <w:r w:rsidRPr="00AB6EC6">
        <w:rPr>
          <w:rtl/>
        </w:rPr>
        <w:t xml:space="preserve"> </w:t>
      </w:r>
      <w:r w:rsidRPr="00AB6EC6">
        <w:rPr>
          <w:rFonts w:hint="cs"/>
          <w:rtl/>
        </w:rPr>
        <w:t>אומרת</w:t>
      </w:r>
      <w:r w:rsidRPr="00AB6EC6">
        <w:rPr>
          <w:rtl/>
        </w:rPr>
        <w:t xml:space="preserve"> </w:t>
      </w:r>
      <w:r w:rsidRPr="00AB6EC6">
        <w:rPr>
          <w:rFonts w:hint="cs"/>
          <w:rtl/>
        </w:rPr>
        <w:t>קדוש</w:t>
      </w:r>
      <w:r w:rsidRPr="00AB6EC6">
        <w:rPr>
          <w:rtl/>
        </w:rPr>
        <w:t xml:space="preserve"> </w:t>
      </w:r>
      <w:r w:rsidRPr="00AB6EC6">
        <w:rPr>
          <w:rFonts w:hint="cs"/>
          <w:rtl/>
        </w:rPr>
        <w:t>קדוש</w:t>
      </w:r>
      <w:r w:rsidRPr="00AB6EC6">
        <w:rPr>
          <w:rtl/>
        </w:rPr>
        <w:t xml:space="preserve">, </w:t>
      </w:r>
      <w:r w:rsidRPr="00AB6EC6">
        <w:rPr>
          <w:rFonts w:hint="cs"/>
          <w:rtl/>
        </w:rPr>
        <w:t>ואחת</w:t>
      </w:r>
      <w:r w:rsidRPr="00AB6EC6">
        <w:rPr>
          <w:rtl/>
        </w:rPr>
        <w:t xml:space="preserve"> </w:t>
      </w:r>
      <w:r w:rsidRPr="00AB6EC6">
        <w:rPr>
          <w:rFonts w:hint="cs"/>
          <w:rtl/>
        </w:rPr>
        <w:t>אומרת</w:t>
      </w:r>
      <w:r w:rsidRPr="00AB6EC6">
        <w:rPr>
          <w:rtl/>
        </w:rPr>
        <w:t xml:space="preserve"> </w:t>
      </w:r>
      <w:r w:rsidRPr="00AB6EC6">
        <w:rPr>
          <w:rFonts w:hint="cs"/>
          <w:rtl/>
        </w:rPr>
        <w:t>קדוש</w:t>
      </w:r>
      <w:r w:rsidRPr="00AB6EC6">
        <w:rPr>
          <w:rtl/>
        </w:rPr>
        <w:t xml:space="preserve"> </w:t>
      </w:r>
      <w:r w:rsidRPr="00AB6EC6">
        <w:rPr>
          <w:rFonts w:hint="cs"/>
          <w:rtl/>
        </w:rPr>
        <w:t>קדוש</w:t>
      </w:r>
      <w:r w:rsidRPr="00AB6EC6">
        <w:rPr>
          <w:rtl/>
        </w:rPr>
        <w:t xml:space="preserve"> </w:t>
      </w:r>
      <w:r w:rsidRPr="00AB6EC6">
        <w:rPr>
          <w:rFonts w:hint="cs"/>
          <w:rtl/>
        </w:rPr>
        <w:t>קדוש</w:t>
      </w:r>
      <w:r w:rsidRPr="00AB6EC6">
        <w:rPr>
          <w:rtl/>
        </w:rPr>
        <w:t xml:space="preserve"> </w:t>
      </w:r>
      <w:r w:rsidRPr="00AB6EC6">
        <w:rPr>
          <w:rFonts w:hint="cs"/>
          <w:rtl/>
        </w:rPr>
        <w:t>ה</w:t>
      </w:r>
      <w:r w:rsidRPr="00AB6EC6">
        <w:rPr>
          <w:rtl/>
        </w:rPr>
        <w:t xml:space="preserve">' </w:t>
      </w:r>
      <w:r w:rsidRPr="00AB6EC6">
        <w:rPr>
          <w:rFonts w:hint="cs"/>
          <w:rtl/>
        </w:rPr>
        <w:t>צבאות</w:t>
      </w:r>
      <w:r w:rsidRPr="00AB6EC6">
        <w:rPr>
          <w:rtl/>
        </w:rPr>
        <w:t xml:space="preserve">. </w:t>
      </w:r>
      <w:r w:rsidRPr="00AB6EC6">
        <w:rPr>
          <w:rFonts w:hint="cs"/>
          <w:rtl/>
        </w:rPr>
        <w:t>והאיכא</w:t>
      </w:r>
      <w:r w:rsidRPr="00AB6EC6">
        <w:rPr>
          <w:rtl/>
        </w:rPr>
        <w:t xml:space="preserve"> </w:t>
      </w:r>
      <w:r w:rsidRPr="00AB6EC6">
        <w:rPr>
          <w:rFonts w:hint="cs"/>
          <w:rtl/>
        </w:rPr>
        <w:t>ברוך [דהוזכר</w:t>
      </w:r>
      <w:r w:rsidRPr="00AB6EC6">
        <w:rPr>
          <w:rtl/>
        </w:rPr>
        <w:t xml:space="preserve"> </w:t>
      </w:r>
      <w:r w:rsidRPr="00AB6EC6">
        <w:rPr>
          <w:rFonts w:hint="cs"/>
          <w:rtl/>
        </w:rPr>
        <w:t>אחר</w:t>
      </w:r>
      <w:r w:rsidRPr="00AB6EC6">
        <w:rPr>
          <w:rtl/>
        </w:rPr>
        <w:t xml:space="preserve"> </w:t>
      </w:r>
      <w:r w:rsidRPr="00AB6EC6">
        <w:rPr>
          <w:rFonts w:hint="cs"/>
          <w:rtl/>
        </w:rPr>
        <w:t>שתי תיבות,</w:t>
      </w:r>
      <w:r w:rsidRPr="00AB6EC6">
        <w:rPr>
          <w:rtl/>
        </w:rPr>
        <w:t xml:space="preserve"> </w:t>
      </w:r>
      <w:r w:rsidRPr="00AB6EC6">
        <w:rPr>
          <w:rFonts w:hint="cs"/>
          <w:rtl/>
        </w:rPr>
        <w:t>כדכתיב</w:t>
      </w:r>
      <w:r w:rsidRPr="00AB6EC6">
        <w:rPr>
          <w:rtl/>
        </w:rPr>
        <w:t xml:space="preserve"> </w:t>
      </w:r>
      <w:r w:rsidRPr="00AB6EC6">
        <w:rPr>
          <w:rFonts w:hint="cs"/>
          <w:rtl/>
        </w:rPr>
        <w:t>ברוך</w:t>
      </w:r>
      <w:r w:rsidRPr="00AB6EC6">
        <w:rPr>
          <w:rtl/>
        </w:rPr>
        <w:t xml:space="preserve"> </w:t>
      </w:r>
      <w:r w:rsidRPr="00AB6EC6">
        <w:rPr>
          <w:rFonts w:hint="cs"/>
          <w:rtl/>
        </w:rPr>
        <w:t>כבוד</w:t>
      </w:r>
      <w:r w:rsidRPr="00AB6EC6">
        <w:rPr>
          <w:rtl/>
        </w:rPr>
        <w:t xml:space="preserve"> </w:t>
      </w:r>
      <w:r w:rsidRPr="00AB6EC6">
        <w:rPr>
          <w:rFonts w:hint="cs"/>
          <w:rtl/>
        </w:rPr>
        <w:t>ה</w:t>
      </w:r>
      <w:r w:rsidRPr="00AB6EC6">
        <w:rPr>
          <w:rtl/>
        </w:rPr>
        <w:t>'</w:t>
      </w:r>
      <w:r w:rsidRPr="00AB6EC6">
        <w:rPr>
          <w:rFonts w:hint="cs"/>
          <w:rtl/>
        </w:rPr>
        <w:t>, רש"י]? ברוך</w:t>
      </w:r>
      <w:r w:rsidRPr="00AB6EC6">
        <w:rPr>
          <w:rtl/>
        </w:rPr>
        <w:t xml:space="preserve"> - </w:t>
      </w:r>
      <w:r w:rsidRPr="00AB6EC6">
        <w:rPr>
          <w:rFonts w:hint="cs"/>
          <w:rtl/>
        </w:rPr>
        <w:t>אופנים</w:t>
      </w:r>
      <w:r w:rsidRPr="00AB6EC6">
        <w:rPr>
          <w:rtl/>
        </w:rPr>
        <w:t xml:space="preserve"> </w:t>
      </w:r>
      <w:r w:rsidRPr="00AB6EC6">
        <w:rPr>
          <w:rFonts w:hint="cs"/>
          <w:rtl/>
        </w:rPr>
        <w:t>הוא</w:t>
      </w:r>
      <w:r w:rsidRPr="00AB6EC6">
        <w:rPr>
          <w:rtl/>
        </w:rPr>
        <w:t xml:space="preserve"> </w:t>
      </w:r>
      <w:r w:rsidRPr="00AB6EC6">
        <w:rPr>
          <w:rFonts w:hint="cs"/>
          <w:rtl/>
        </w:rPr>
        <w:t>דאמרי</w:t>
      </w:r>
      <w:r w:rsidRPr="00AB6EC6">
        <w:rPr>
          <w:rtl/>
        </w:rPr>
        <w:t xml:space="preserve"> </w:t>
      </w:r>
      <w:r w:rsidRPr="00AB6EC6">
        <w:rPr>
          <w:rFonts w:hint="cs"/>
          <w:rtl/>
        </w:rPr>
        <w:t>ליה [שהם</w:t>
      </w:r>
      <w:r w:rsidRPr="00AB6EC6">
        <w:rPr>
          <w:rtl/>
        </w:rPr>
        <w:t xml:space="preserve"> </w:t>
      </w:r>
      <w:r w:rsidRPr="00AB6EC6">
        <w:rPr>
          <w:rFonts w:hint="cs"/>
          <w:rtl/>
        </w:rPr>
        <w:t>מכסא</w:t>
      </w:r>
      <w:r w:rsidRPr="00AB6EC6">
        <w:rPr>
          <w:rtl/>
        </w:rPr>
        <w:t xml:space="preserve"> </w:t>
      </w:r>
      <w:r w:rsidRPr="00AB6EC6">
        <w:rPr>
          <w:rFonts w:hint="cs"/>
          <w:rtl/>
        </w:rPr>
        <w:t>הכבוד</w:t>
      </w:r>
      <w:r w:rsidRPr="00AB6EC6">
        <w:rPr>
          <w:rtl/>
        </w:rPr>
        <w:t xml:space="preserve"> </w:t>
      </w:r>
      <w:r w:rsidRPr="00AB6EC6">
        <w:rPr>
          <w:rFonts w:hint="cs"/>
          <w:rtl/>
        </w:rPr>
        <w:t>עצמו,</w:t>
      </w:r>
      <w:r w:rsidRPr="00AB6EC6">
        <w:rPr>
          <w:rtl/>
        </w:rPr>
        <w:t xml:space="preserve"> </w:t>
      </w:r>
      <w:r w:rsidRPr="00AB6EC6">
        <w:rPr>
          <w:rFonts w:hint="cs"/>
          <w:rtl/>
        </w:rPr>
        <w:t>וכי</w:t>
      </w:r>
      <w:r w:rsidRPr="00AB6EC6">
        <w:rPr>
          <w:rtl/>
        </w:rPr>
        <w:t xml:space="preserve"> </w:t>
      </w:r>
      <w:r w:rsidRPr="00AB6EC6">
        <w:rPr>
          <w:rFonts w:hint="cs"/>
          <w:rtl/>
        </w:rPr>
        <w:t>אמרינן</w:t>
      </w:r>
      <w:r w:rsidRPr="00AB6EC6">
        <w:rPr>
          <w:rtl/>
        </w:rPr>
        <w:t xml:space="preserve"> </w:t>
      </w:r>
      <w:r w:rsidRPr="00AB6EC6">
        <w:rPr>
          <w:rFonts w:hint="cs"/>
          <w:rtl/>
        </w:rPr>
        <w:t>אנן</w:t>
      </w:r>
      <w:r w:rsidRPr="00AB6EC6">
        <w:rPr>
          <w:rtl/>
        </w:rPr>
        <w:t xml:space="preserve"> </w:t>
      </w:r>
      <w:r w:rsidRPr="00AB6EC6">
        <w:rPr>
          <w:rFonts w:hint="cs"/>
          <w:rtl/>
        </w:rPr>
        <w:t>במלאכים, רש"י]". היינו שאופנים הם למעלה משרפים, ולכן אומרים את השם אחר שתי תיבות, דלא כשרפים שאומרים את השם רק אחר שלש תיבות.</w:t>
      </w:r>
    </w:p>
    <w:p w:rsidR="00AB6EC6" w:rsidRPr="00AB6EC6" w:rsidRDefault="00AB6EC6" w:rsidP="00F146A6">
      <w:pPr>
        <w:pStyle w:val="a3"/>
        <w:rPr>
          <w:rtl/>
        </w:rPr>
      </w:pPr>
      <w:r w:rsidRPr="00AB6EC6">
        <w:rPr>
          <w:rFonts w:hint="cs"/>
          <w:rtl/>
        </w:rPr>
        <w:t>ובתוספות חולין שם ד"ה ברוך: "ברוך</w:t>
      </w:r>
      <w:r w:rsidRPr="00AB6EC6">
        <w:rPr>
          <w:rtl/>
        </w:rPr>
        <w:t xml:space="preserve"> </w:t>
      </w:r>
      <w:r w:rsidRPr="00AB6EC6">
        <w:rPr>
          <w:rFonts w:hint="cs"/>
          <w:rtl/>
        </w:rPr>
        <w:t>אופנים</w:t>
      </w:r>
      <w:r w:rsidRPr="00AB6EC6">
        <w:rPr>
          <w:rtl/>
        </w:rPr>
        <w:t xml:space="preserve"> </w:t>
      </w:r>
      <w:r w:rsidRPr="00AB6EC6">
        <w:rPr>
          <w:rFonts w:hint="cs"/>
          <w:rtl/>
        </w:rPr>
        <w:t>הוא</w:t>
      </w:r>
      <w:r w:rsidRPr="00AB6EC6">
        <w:rPr>
          <w:rtl/>
        </w:rPr>
        <w:t xml:space="preserve"> </w:t>
      </w:r>
      <w:r w:rsidRPr="00AB6EC6">
        <w:rPr>
          <w:rFonts w:hint="cs"/>
          <w:rtl/>
        </w:rPr>
        <w:t>דאמרי</w:t>
      </w:r>
      <w:r w:rsidRPr="00AB6EC6">
        <w:rPr>
          <w:rtl/>
        </w:rPr>
        <w:t xml:space="preserve"> </w:t>
      </w:r>
      <w:r w:rsidRPr="00AB6EC6">
        <w:rPr>
          <w:rFonts w:hint="cs"/>
          <w:rtl/>
        </w:rPr>
        <w:t>ליה</w:t>
      </w:r>
      <w:r w:rsidRPr="00AB6EC6">
        <w:rPr>
          <w:rtl/>
        </w:rPr>
        <w:t xml:space="preserve"> - </w:t>
      </w:r>
      <w:r w:rsidRPr="00AB6EC6">
        <w:rPr>
          <w:rFonts w:hint="cs"/>
          <w:rtl/>
        </w:rPr>
        <w:t>אבל</w:t>
      </w:r>
      <w:r w:rsidRPr="00AB6EC6">
        <w:rPr>
          <w:rtl/>
        </w:rPr>
        <w:t xml:space="preserve"> </w:t>
      </w:r>
      <w:r w:rsidRPr="00AB6EC6">
        <w:rPr>
          <w:rFonts w:hint="cs"/>
          <w:rtl/>
        </w:rPr>
        <w:t>קדוש</w:t>
      </w:r>
      <w:r w:rsidRPr="00AB6EC6">
        <w:rPr>
          <w:rtl/>
        </w:rPr>
        <w:t xml:space="preserve"> </w:t>
      </w:r>
      <w:r w:rsidRPr="00AB6EC6">
        <w:rPr>
          <w:rFonts w:hint="cs"/>
          <w:rtl/>
        </w:rPr>
        <w:t>אומרים</w:t>
      </w:r>
      <w:r w:rsidRPr="00AB6EC6">
        <w:rPr>
          <w:rtl/>
        </w:rPr>
        <w:t xml:space="preserve"> </w:t>
      </w:r>
      <w:r w:rsidRPr="00AB6EC6">
        <w:rPr>
          <w:rFonts w:hint="cs"/>
          <w:rtl/>
        </w:rPr>
        <w:t>שרפים,</w:t>
      </w:r>
      <w:r w:rsidRPr="00AB6EC6">
        <w:rPr>
          <w:rtl/>
        </w:rPr>
        <w:t xml:space="preserve"> </w:t>
      </w:r>
      <w:r w:rsidRPr="00AB6EC6">
        <w:rPr>
          <w:rFonts w:hint="cs"/>
          <w:rtl/>
        </w:rPr>
        <w:t>כדכתיב</w:t>
      </w:r>
      <w:r w:rsidRPr="00AB6EC6">
        <w:rPr>
          <w:rtl/>
        </w:rPr>
        <w:t xml:space="preserve"> </w:t>
      </w:r>
      <w:r w:rsidRPr="00AB6EC6">
        <w:rPr>
          <w:rFonts w:hint="cs"/>
          <w:rtl/>
        </w:rPr>
        <w:t>שרפים</w:t>
      </w:r>
      <w:r w:rsidRPr="00AB6EC6">
        <w:rPr>
          <w:rtl/>
        </w:rPr>
        <w:t xml:space="preserve"> </w:t>
      </w:r>
      <w:r w:rsidRPr="00AB6EC6">
        <w:rPr>
          <w:rFonts w:hint="cs"/>
          <w:rtl/>
        </w:rPr>
        <w:t>עומדים</w:t>
      </w:r>
      <w:r w:rsidRPr="00AB6EC6">
        <w:rPr>
          <w:rtl/>
        </w:rPr>
        <w:t xml:space="preserve"> </w:t>
      </w:r>
      <w:r w:rsidRPr="00AB6EC6">
        <w:rPr>
          <w:rFonts w:hint="cs"/>
          <w:rtl/>
        </w:rPr>
        <w:t>ממעל</w:t>
      </w:r>
      <w:r w:rsidRPr="00AB6EC6">
        <w:rPr>
          <w:rtl/>
        </w:rPr>
        <w:t xml:space="preserve"> </w:t>
      </w:r>
      <w:r w:rsidRPr="00AB6EC6">
        <w:rPr>
          <w:rFonts w:hint="cs"/>
          <w:rtl/>
        </w:rPr>
        <w:t>לו</w:t>
      </w:r>
      <w:r w:rsidRPr="00AB6EC6">
        <w:rPr>
          <w:rtl/>
        </w:rPr>
        <w:t xml:space="preserve"> </w:t>
      </w:r>
      <w:r w:rsidRPr="00AB6EC6">
        <w:rPr>
          <w:rFonts w:hint="cs"/>
          <w:rtl/>
        </w:rPr>
        <w:t>וגו</w:t>
      </w:r>
      <w:r w:rsidRPr="00AB6EC6">
        <w:rPr>
          <w:rtl/>
        </w:rPr>
        <w:t xml:space="preserve">' </w:t>
      </w:r>
      <w:r w:rsidRPr="00AB6EC6">
        <w:rPr>
          <w:rFonts w:hint="cs"/>
          <w:rtl/>
        </w:rPr>
        <w:t>וכתיב</w:t>
      </w:r>
      <w:r w:rsidRPr="00AB6EC6">
        <w:rPr>
          <w:rtl/>
        </w:rPr>
        <w:t xml:space="preserve"> </w:t>
      </w:r>
      <w:r w:rsidRPr="00AB6EC6">
        <w:rPr>
          <w:rFonts w:hint="cs"/>
          <w:rtl/>
        </w:rPr>
        <w:t>בתריה</w:t>
      </w:r>
      <w:r w:rsidRPr="00AB6EC6">
        <w:rPr>
          <w:rtl/>
        </w:rPr>
        <w:t xml:space="preserve"> </w:t>
      </w:r>
      <w:r w:rsidRPr="00AB6EC6">
        <w:rPr>
          <w:rFonts w:hint="cs"/>
          <w:rtl/>
        </w:rPr>
        <w:t>וקרא</w:t>
      </w:r>
      <w:r w:rsidRPr="00AB6EC6">
        <w:rPr>
          <w:rtl/>
        </w:rPr>
        <w:t xml:space="preserve"> </w:t>
      </w:r>
      <w:r w:rsidRPr="00AB6EC6">
        <w:rPr>
          <w:rFonts w:hint="cs"/>
          <w:rtl/>
        </w:rPr>
        <w:t>זה</w:t>
      </w:r>
      <w:r w:rsidRPr="00AB6EC6">
        <w:rPr>
          <w:rtl/>
        </w:rPr>
        <w:t xml:space="preserve"> </w:t>
      </w:r>
      <w:r w:rsidRPr="00AB6EC6">
        <w:rPr>
          <w:rFonts w:hint="cs"/>
          <w:rtl/>
        </w:rPr>
        <w:t>אל</w:t>
      </w:r>
      <w:r w:rsidRPr="00AB6EC6">
        <w:rPr>
          <w:rtl/>
        </w:rPr>
        <w:t xml:space="preserve"> </w:t>
      </w:r>
      <w:r w:rsidRPr="00AB6EC6">
        <w:rPr>
          <w:rFonts w:hint="cs"/>
          <w:rtl/>
        </w:rPr>
        <w:t>זה</w:t>
      </w:r>
      <w:r w:rsidRPr="00AB6EC6">
        <w:rPr>
          <w:rtl/>
        </w:rPr>
        <w:t xml:space="preserve"> </w:t>
      </w:r>
      <w:r w:rsidRPr="00AB6EC6">
        <w:rPr>
          <w:rFonts w:hint="cs"/>
          <w:rtl/>
        </w:rPr>
        <w:t>ואמר</w:t>
      </w:r>
      <w:r w:rsidRPr="00AB6EC6">
        <w:rPr>
          <w:rtl/>
        </w:rPr>
        <w:t xml:space="preserve"> </w:t>
      </w:r>
      <w:r w:rsidRPr="00AB6EC6">
        <w:rPr>
          <w:rFonts w:hint="cs"/>
          <w:rtl/>
        </w:rPr>
        <w:t>קדוש</w:t>
      </w:r>
      <w:r w:rsidRPr="00AB6EC6">
        <w:rPr>
          <w:rtl/>
        </w:rPr>
        <w:t xml:space="preserve"> </w:t>
      </w:r>
      <w:r w:rsidRPr="00AB6EC6">
        <w:rPr>
          <w:rFonts w:hint="cs"/>
          <w:rtl/>
        </w:rPr>
        <w:t>קדוש</w:t>
      </w:r>
      <w:r w:rsidRPr="00AB6EC6">
        <w:rPr>
          <w:rtl/>
        </w:rPr>
        <w:t xml:space="preserve"> </w:t>
      </w:r>
      <w:r w:rsidRPr="00AB6EC6">
        <w:rPr>
          <w:rFonts w:hint="cs"/>
          <w:rtl/>
        </w:rPr>
        <w:t>קדוש</w:t>
      </w:r>
      <w:r w:rsidRPr="00AB6EC6">
        <w:rPr>
          <w:rtl/>
        </w:rPr>
        <w:t xml:space="preserve"> </w:t>
      </w:r>
      <w:r w:rsidRPr="00AB6EC6">
        <w:rPr>
          <w:rFonts w:hint="cs"/>
          <w:rtl/>
        </w:rPr>
        <w:t>וכו</w:t>
      </w:r>
      <w:r w:rsidRPr="00AB6EC6">
        <w:rPr>
          <w:rtl/>
        </w:rPr>
        <w:t>'</w:t>
      </w:r>
      <w:r w:rsidRPr="00AB6EC6">
        <w:rPr>
          <w:rFonts w:hint="cs"/>
          <w:rtl/>
        </w:rPr>
        <w:t>. ומה</w:t>
      </w:r>
      <w:r w:rsidRPr="00AB6EC6">
        <w:rPr>
          <w:rtl/>
        </w:rPr>
        <w:t xml:space="preserve"> </w:t>
      </w:r>
      <w:r w:rsidRPr="00AB6EC6">
        <w:rPr>
          <w:rFonts w:hint="cs"/>
          <w:rtl/>
        </w:rPr>
        <w:t>שאנו</w:t>
      </w:r>
      <w:r w:rsidRPr="00AB6EC6">
        <w:rPr>
          <w:rtl/>
        </w:rPr>
        <w:t xml:space="preserve"> </w:t>
      </w:r>
      <w:r w:rsidRPr="00AB6EC6">
        <w:rPr>
          <w:rFonts w:hint="cs"/>
          <w:rtl/>
        </w:rPr>
        <w:t>אומרים</w:t>
      </w:r>
      <w:r w:rsidRPr="00AB6EC6">
        <w:rPr>
          <w:rtl/>
        </w:rPr>
        <w:t xml:space="preserve"> </w:t>
      </w:r>
      <w:r w:rsidRPr="00AB6EC6">
        <w:rPr>
          <w:rFonts w:hint="cs"/>
          <w:rtl/>
        </w:rPr>
        <w:t>בתפלת</w:t>
      </w:r>
      <w:r w:rsidRPr="00AB6EC6">
        <w:rPr>
          <w:rtl/>
        </w:rPr>
        <w:t xml:space="preserve"> </w:t>
      </w:r>
      <w:r w:rsidRPr="00AB6EC6">
        <w:rPr>
          <w:rFonts w:hint="cs"/>
          <w:rtl/>
        </w:rPr>
        <w:t>יוצר</w:t>
      </w:r>
      <w:r w:rsidRPr="00AB6EC6">
        <w:rPr>
          <w:rtl/>
        </w:rPr>
        <w:t xml:space="preserve"> </w:t>
      </w:r>
      <w:r w:rsidRPr="00AB6EC6">
        <w:rPr>
          <w:rFonts w:hint="cs"/>
          <w:rtl/>
        </w:rPr>
        <w:t>והאופנים</w:t>
      </w:r>
      <w:r w:rsidRPr="00AB6EC6">
        <w:rPr>
          <w:rtl/>
        </w:rPr>
        <w:t xml:space="preserve"> </w:t>
      </w:r>
      <w:r w:rsidRPr="00AB6EC6">
        <w:rPr>
          <w:rFonts w:hint="cs"/>
          <w:rtl/>
        </w:rPr>
        <w:t>וחיות</w:t>
      </w:r>
      <w:r w:rsidRPr="00AB6EC6">
        <w:rPr>
          <w:rtl/>
        </w:rPr>
        <w:t xml:space="preserve"> </w:t>
      </w:r>
      <w:r w:rsidRPr="00AB6EC6">
        <w:rPr>
          <w:rFonts w:hint="cs"/>
          <w:rtl/>
        </w:rPr>
        <w:t>הקדש</w:t>
      </w:r>
      <w:r w:rsidRPr="00AB6EC6">
        <w:rPr>
          <w:rtl/>
        </w:rPr>
        <w:t xml:space="preserve"> </w:t>
      </w:r>
      <w:r w:rsidRPr="00AB6EC6">
        <w:rPr>
          <w:rFonts w:hint="cs"/>
          <w:rtl/>
        </w:rPr>
        <w:t>כו</w:t>
      </w:r>
      <w:r w:rsidRPr="00AB6EC6">
        <w:rPr>
          <w:rtl/>
        </w:rPr>
        <w:t>'</w:t>
      </w:r>
      <w:r w:rsidRPr="00AB6EC6">
        <w:rPr>
          <w:rFonts w:hint="cs"/>
          <w:rtl/>
        </w:rPr>
        <w:t>,</w:t>
      </w:r>
      <w:r w:rsidRPr="00AB6EC6">
        <w:rPr>
          <w:rtl/>
        </w:rPr>
        <w:t xml:space="preserve"> </w:t>
      </w:r>
      <w:r w:rsidRPr="00AB6EC6">
        <w:rPr>
          <w:rFonts w:hint="cs"/>
          <w:rtl/>
        </w:rPr>
        <w:t>דחיות</w:t>
      </w:r>
      <w:r w:rsidRPr="00AB6EC6">
        <w:rPr>
          <w:rtl/>
        </w:rPr>
        <w:t xml:space="preserve"> </w:t>
      </w:r>
      <w:r w:rsidRPr="00AB6EC6">
        <w:rPr>
          <w:rFonts w:hint="cs"/>
          <w:rtl/>
        </w:rPr>
        <w:t>נמי</w:t>
      </w:r>
      <w:r w:rsidRPr="00AB6EC6">
        <w:rPr>
          <w:rtl/>
        </w:rPr>
        <w:t xml:space="preserve"> </w:t>
      </w:r>
      <w:r w:rsidRPr="00AB6EC6">
        <w:rPr>
          <w:rFonts w:hint="cs"/>
          <w:rtl/>
        </w:rPr>
        <w:t>אומרים</w:t>
      </w:r>
      <w:r w:rsidRPr="00AB6EC6">
        <w:rPr>
          <w:rtl/>
        </w:rPr>
        <w:t xml:space="preserve"> </w:t>
      </w:r>
      <w:r w:rsidRPr="00AB6EC6">
        <w:rPr>
          <w:rFonts w:hint="cs"/>
          <w:rtl/>
        </w:rPr>
        <w:t>ברוך,</w:t>
      </w:r>
      <w:r w:rsidRPr="00AB6EC6">
        <w:rPr>
          <w:rtl/>
        </w:rPr>
        <w:t xml:space="preserve"> </w:t>
      </w:r>
      <w:r w:rsidRPr="00AB6EC6">
        <w:rPr>
          <w:rFonts w:hint="cs"/>
          <w:rtl/>
        </w:rPr>
        <w:t>דעדיפי</w:t>
      </w:r>
      <w:r w:rsidRPr="00AB6EC6">
        <w:rPr>
          <w:rtl/>
        </w:rPr>
        <w:t xml:space="preserve"> </w:t>
      </w:r>
      <w:r w:rsidRPr="00AB6EC6">
        <w:rPr>
          <w:rFonts w:hint="cs"/>
          <w:rtl/>
        </w:rPr>
        <w:t>משרפים,</w:t>
      </w:r>
      <w:r w:rsidRPr="00AB6EC6">
        <w:rPr>
          <w:rtl/>
        </w:rPr>
        <w:t xml:space="preserve"> </w:t>
      </w:r>
      <w:r w:rsidRPr="00AB6EC6">
        <w:rPr>
          <w:rFonts w:hint="cs"/>
          <w:rtl/>
        </w:rPr>
        <w:t>וקרא</w:t>
      </w:r>
      <w:r w:rsidRPr="00AB6EC6">
        <w:rPr>
          <w:rtl/>
        </w:rPr>
        <w:t xml:space="preserve"> </w:t>
      </w:r>
      <w:r w:rsidRPr="00AB6EC6">
        <w:rPr>
          <w:rFonts w:hint="cs"/>
          <w:rtl/>
        </w:rPr>
        <w:t>נמי</w:t>
      </w:r>
      <w:r w:rsidRPr="00AB6EC6">
        <w:rPr>
          <w:rtl/>
        </w:rPr>
        <w:t xml:space="preserve"> </w:t>
      </w:r>
      <w:r w:rsidRPr="00AB6EC6">
        <w:rPr>
          <w:rFonts w:hint="cs"/>
          <w:rtl/>
        </w:rPr>
        <w:t>מוכח</w:t>
      </w:r>
      <w:r w:rsidRPr="00AB6EC6">
        <w:rPr>
          <w:rtl/>
        </w:rPr>
        <w:t xml:space="preserve"> </w:t>
      </w:r>
      <w:r w:rsidRPr="00AB6EC6">
        <w:rPr>
          <w:rFonts w:hint="cs"/>
          <w:rtl/>
        </w:rPr>
        <w:t>דחיות</w:t>
      </w:r>
      <w:r w:rsidRPr="00AB6EC6">
        <w:rPr>
          <w:rtl/>
        </w:rPr>
        <w:t xml:space="preserve"> </w:t>
      </w:r>
      <w:r w:rsidRPr="00AB6EC6">
        <w:rPr>
          <w:rFonts w:hint="cs"/>
          <w:rtl/>
        </w:rPr>
        <w:t>ואופנים</w:t>
      </w:r>
      <w:r w:rsidRPr="00AB6EC6">
        <w:rPr>
          <w:rtl/>
        </w:rPr>
        <w:t xml:space="preserve"> </w:t>
      </w:r>
      <w:r w:rsidRPr="00AB6EC6">
        <w:rPr>
          <w:rFonts w:hint="cs"/>
          <w:rtl/>
        </w:rPr>
        <w:t>אומרים</w:t>
      </w:r>
      <w:r w:rsidRPr="00AB6EC6">
        <w:rPr>
          <w:rtl/>
        </w:rPr>
        <w:t xml:space="preserve"> </w:t>
      </w:r>
      <w:r w:rsidRPr="00AB6EC6">
        <w:rPr>
          <w:rFonts w:hint="cs"/>
          <w:rtl/>
        </w:rPr>
        <w:t>ברוך". היינו שגם חיות הקודש הם למעלה משרפים. וע"ש בהמשך דחיות הקודש הם למעלה גם מאופנים.</w:t>
      </w:r>
    </w:p>
    <w:p w:rsidR="00AB6EC6" w:rsidRPr="00AB6EC6" w:rsidRDefault="00AB6EC6" w:rsidP="00F146A6">
      <w:pPr>
        <w:pStyle w:val="a3"/>
        <w:rPr>
          <w:rtl/>
        </w:rPr>
      </w:pPr>
      <w:r w:rsidRPr="00AB6EC6">
        <w:rPr>
          <w:rFonts w:hint="cs"/>
          <w:rtl/>
        </w:rPr>
        <w:lastRenderedPageBreak/>
        <w:t>דמכ"ז מוכח דסדר מלאכים אלו מלמעלה למטה הוא: חיות הקודש, אופנים, ושרפים.</w:t>
      </w:r>
    </w:p>
    <w:p w:rsidR="00AB6EC6" w:rsidRPr="00AB6EC6" w:rsidRDefault="00AB6EC6" w:rsidP="00F146A6">
      <w:pPr>
        <w:pStyle w:val="a3"/>
        <w:rPr>
          <w:rtl/>
        </w:rPr>
      </w:pPr>
      <w:r w:rsidRPr="00AB6EC6">
        <w:rPr>
          <w:rFonts w:hint="cs"/>
          <w:rtl/>
        </w:rPr>
        <w:t xml:space="preserve">וכן כתב הרמב"ם (הלכות יסודי התורה פ"ב ה"ז), שמָנה עשר מעלות במלאכים בסדר דמלמעלה למטה: </w:t>
      </w:r>
      <w:r w:rsidRPr="00AB6EC6">
        <w:rPr>
          <w:rtl/>
        </w:rPr>
        <w:t>חיות הקדש</w:t>
      </w:r>
      <w:r w:rsidRPr="00AB6EC6">
        <w:rPr>
          <w:rFonts w:hint="cs"/>
          <w:rtl/>
        </w:rPr>
        <w:t>,</w:t>
      </w:r>
      <w:r w:rsidRPr="00AB6EC6">
        <w:rPr>
          <w:rtl/>
        </w:rPr>
        <w:t xml:space="preserve"> אופנים</w:t>
      </w:r>
      <w:r w:rsidRPr="00AB6EC6">
        <w:rPr>
          <w:rFonts w:hint="cs"/>
          <w:rtl/>
        </w:rPr>
        <w:t xml:space="preserve">, </w:t>
      </w:r>
      <w:r w:rsidRPr="00AB6EC6">
        <w:rPr>
          <w:rtl/>
        </w:rPr>
        <w:t>אראלים</w:t>
      </w:r>
      <w:r w:rsidRPr="00AB6EC6">
        <w:rPr>
          <w:rFonts w:hint="cs"/>
          <w:rtl/>
        </w:rPr>
        <w:t xml:space="preserve">, </w:t>
      </w:r>
      <w:r w:rsidRPr="00AB6EC6">
        <w:rPr>
          <w:rtl/>
        </w:rPr>
        <w:t>חשמלים</w:t>
      </w:r>
      <w:r w:rsidRPr="00AB6EC6">
        <w:rPr>
          <w:rFonts w:hint="cs"/>
          <w:rtl/>
        </w:rPr>
        <w:t xml:space="preserve">, </w:t>
      </w:r>
      <w:r w:rsidRPr="00AB6EC6">
        <w:rPr>
          <w:rtl/>
        </w:rPr>
        <w:t>שרפים</w:t>
      </w:r>
      <w:r w:rsidRPr="00AB6EC6">
        <w:rPr>
          <w:rFonts w:hint="cs"/>
          <w:rtl/>
        </w:rPr>
        <w:t xml:space="preserve">, </w:t>
      </w:r>
      <w:r w:rsidRPr="00AB6EC6">
        <w:rPr>
          <w:rtl/>
        </w:rPr>
        <w:t>מלאכים</w:t>
      </w:r>
      <w:r w:rsidRPr="00AB6EC6">
        <w:rPr>
          <w:rFonts w:hint="cs"/>
          <w:rtl/>
        </w:rPr>
        <w:t xml:space="preserve">, </w:t>
      </w:r>
      <w:r w:rsidRPr="00AB6EC6">
        <w:rPr>
          <w:rtl/>
        </w:rPr>
        <w:t>אל</w:t>
      </w:r>
      <w:r w:rsidRPr="00AB6EC6">
        <w:rPr>
          <w:rFonts w:hint="cs"/>
          <w:rtl/>
        </w:rPr>
        <w:t>ק</w:t>
      </w:r>
      <w:r w:rsidRPr="00AB6EC6">
        <w:rPr>
          <w:rtl/>
        </w:rPr>
        <w:t>ים</w:t>
      </w:r>
      <w:r w:rsidRPr="00AB6EC6">
        <w:rPr>
          <w:rFonts w:hint="cs"/>
          <w:rtl/>
        </w:rPr>
        <w:t>,</w:t>
      </w:r>
      <w:r w:rsidRPr="00AB6EC6">
        <w:rPr>
          <w:rtl/>
        </w:rPr>
        <w:t xml:space="preserve"> בני אל</w:t>
      </w:r>
      <w:r w:rsidRPr="00AB6EC6">
        <w:rPr>
          <w:rFonts w:hint="cs"/>
          <w:rtl/>
        </w:rPr>
        <w:t>ק</w:t>
      </w:r>
      <w:r w:rsidRPr="00AB6EC6">
        <w:rPr>
          <w:rtl/>
        </w:rPr>
        <w:t>ים</w:t>
      </w:r>
      <w:r w:rsidRPr="00AB6EC6">
        <w:rPr>
          <w:rFonts w:hint="cs"/>
          <w:rtl/>
        </w:rPr>
        <w:t>,</w:t>
      </w:r>
      <w:r w:rsidRPr="00AB6EC6">
        <w:rPr>
          <w:rtl/>
        </w:rPr>
        <w:t xml:space="preserve"> כרובים</w:t>
      </w:r>
      <w:r w:rsidRPr="00AB6EC6">
        <w:rPr>
          <w:rFonts w:hint="cs"/>
          <w:rtl/>
        </w:rPr>
        <w:t>,</w:t>
      </w:r>
      <w:r w:rsidRPr="00AB6EC6">
        <w:rPr>
          <w:rtl/>
        </w:rPr>
        <w:t xml:space="preserve"> אישים</w:t>
      </w:r>
      <w:r w:rsidRPr="00AB6EC6">
        <w:rPr>
          <w:rFonts w:hint="cs"/>
          <w:rtl/>
        </w:rPr>
        <w:t>.</w:t>
      </w:r>
    </w:p>
    <w:p w:rsidR="00AB6EC6" w:rsidRPr="00AB6EC6" w:rsidRDefault="00AB6EC6" w:rsidP="00F146A6">
      <w:pPr>
        <w:pStyle w:val="a3"/>
        <w:rPr>
          <w:rtl/>
        </w:rPr>
      </w:pPr>
      <w:r w:rsidRPr="00AB6EC6">
        <w:rPr>
          <w:rFonts w:hint="cs"/>
          <w:rtl/>
        </w:rPr>
        <w:t>וצ"ע איך מתאים זה עם המבואר בדא"ח, דשרפים הם במדריגה נעלית יותר מחיות הקודש ואופנים? והאם אפשר לומר דמדרשות חלוקות הם, והמבואר בדא"ח מיוסד על מ"ש בחז"ל במקום אחר?</w:t>
      </w:r>
    </w:p>
    <w:p w:rsidR="00AB6EC6" w:rsidRPr="00AB6EC6" w:rsidRDefault="00AB6EC6" w:rsidP="00F146A6">
      <w:pPr>
        <w:pStyle w:val="a3"/>
        <w:rPr>
          <w:rtl/>
        </w:rPr>
      </w:pPr>
      <w:r w:rsidRPr="00AB6EC6">
        <w:rPr>
          <w:rFonts w:hint="cs"/>
          <w:rtl/>
        </w:rPr>
        <w:t>ואבקש מקוראי הגליון להאיר עיני בזה.</w:t>
      </w:r>
      <w:bookmarkStart w:id="152" w:name="_Toc26492291"/>
      <w:r>
        <w:rPr>
          <w:rFonts w:ascii="Nymphette" w:eastAsia="Times New Roman" w:hAnsi="Nymphette" w:cs="Times New Roman"/>
          <w:sz w:val="44"/>
          <w:szCs w:val="44"/>
          <w:rtl/>
        </w:rPr>
        <w:tab/>
      </w:r>
    </w:p>
    <w:p w:rsidR="000836F8" w:rsidRDefault="000836F8" w:rsidP="00AB6EC6">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AB6EC6" w:rsidRDefault="00AB6EC6" w:rsidP="00AB6EC6">
      <w:pPr>
        <w:pStyle w:val="a0"/>
        <w:rPr>
          <w:shd w:val="clear" w:color="auto" w:fill="FFFFFF"/>
          <w:rtl/>
        </w:rPr>
      </w:pPr>
      <w:bookmarkStart w:id="153" w:name="_Toc43963119"/>
      <w:r w:rsidRPr="00640279">
        <w:rPr>
          <w:shd w:val="clear" w:color="auto" w:fill="FFFFFF"/>
          <w:rtl/>
        </w:rPr>
        <w:t>העיקר הוא ההרגל</w:t>
      </w:r>
      <w:bookmarkEnd w:id="153"/>
    </w:p>
    <w:p w:rsidR="00AB6EC6" w:rsidRDefault="00AB6EC6" w:rsidP="00F146A6">
      <w:pPr>
        <w:pStyle w:val="a"/>
        <w:rPr>
          <w:shd w:val="clear" w:color="auto" w:fill="FFFFFF"/>
          <w:rtl/>
        </w:rPr>
      </w:pPr>
      <w:bookmarkStart w:id="154" w:name="_Toc43963120"/>
      <w:r>
        <w:rPr>
          <w:rFonts w:hint="cs"/>
          <w:shd w:val="clear" w:color="auto" w:fill="FFFFFF"/>
          <w:rtl/>
        </w:rPr>
        <w:t>הרב מנחם מענדל מישולבין</w:t>
      </w:r>
      <w:bookmarkEnd w:id="154"/>
    </w:p>
    <w:p w:rsidR="00AB6EC6" w:rsidRPr="00640279" w:rsidRDefault="00AB6EC6" w:rsidP="00AB6EC6">
      <w:pPr>
        <w:pStyle w:val="a1"/>
        <w:rPr>
          <w:rFonts w:ascii="Times New Roman" w:hAnsi="Times New Roman" w:cs="Times New Roman"/>
          <w:sz w:val="24"/>
          <w:szCs w:val="24"/>
        </w:rPr>
      </w:pPr>
      <w:r>
        <w:rPr>
          <w:rFonts w:hint="cs"/>
          <w:shd w:val="clear" w:color="auto" w:fill="FFFFFF"/>
          <w:rtl/>
        </w:rPr>
        <w:t>כולל שע"י בית חב"ד דגרעניטש</w:t>
      </w:r>
    </w:p>
    <w:p w:rsidR="00AB6EC6" w:rsidRPr="00640279" w:rsidRDefault="00AB6EC6" w:rsidP="00F146A6">
      <w:pPr>
        <w:pStyle w:val="a3"/>
        <w:rPr>
          <w:rFonts w:ascii="Times New Roman" w:hAnsi="Times New Roman" w:cs="Times New Roman"/>
        </w:rPr>
      </w:pPr>
      <w:r w:rsidRPr="00640279">
        <w:rPr>
          <w:shd w:val="clear" w:color="auto" w:fill="FFFFFF"/>
          <w:rtl/>
        </w:rPr>
        <w:t>בתניא פמ"ב בסופו כותב: העיקר הוא ההרגל להרגיל דעתו ומחשבתו תמיד להיות קבוע בלבו ומוחו תמיד אשר כל מה שרואה בעיניו השמים והארץ ומלואה הכל הם לבושים החיצונים של המלך הקב"ה וע"י זה יזכור תמיד על פנימיותם וחיותם וזה נכלל ג"כ בלשון אמונה שהוא לשון רגילות שמרגיל האדם את עצמו כמו אומן המאמן ידיו וכו'.</w:t>
      </w:r>
      <w:r w:rsidRPr="00640279">
        <w:rPr>
          <w:rFonts w:ascii="Cambria" w:hAnsi="Cambria" w:cs="Cambria" w:hint="cs"/>
          <w:shd w:val="clear" w:color="auto" w:fill="FFFFFF"/>
          <w:rtl/>
        </w:rPr>
        <w:t> </w:t>
      </w:r>
    </w:p>
    <w:p w:rsidR="00AB6EC6" w:rsidRPr="00640279" w:rsidRDefault="00AB6EC6" w:rsidP="00F146A6">
      <w:pPr>
        <w:pStyle w:val="a3"/>
        <w:rPr>
          <w:rFonts w:ascii="Times New Roman" w:hAnsi="Times New Roman" w:cs="Times New Roman"/>
        </w:rPr>
      </w:pPr>
      <w:r w:rsidRPr="00640279">
        <w:rPr>
          <w:shd w:val="clear" w:color="auto" w:fill="FFFFFF"/>
          <w:rtl/>
        </w:rPr>
        <w:t>ואז מוסיף שלא מספיק הרגל והתבוננות זה אלא:</w:t>
      </w:r>
    </w:p>
    <w:p w:rsidR="00AB6EC6" w:rsidRPr="00640279" w:rsidRDefault="00AB6EC6" w:rsidP="00F146A6">
      <w:pPr>
        <w:pStyle w:val="a3"/>
        <w:rPr>
          <w:rFonts w:ascii="Times New Roman" w:hAnsi="Times New Roman" w:cs="Times New Roman"/>
          <w:rtl/>
        </w:rPr>
      </w:pPr>
      <w:r w:rsidRPr="00640279">
        <w:rPr>
          <w:shd w:val="clear" w:color="auto" w:fill="FFFFFF"/>
          <w:rtl/>
        </w:rPr>
        <w:t>"וגם להיות לזכרון תמיד לשון חז"ל קבלת עול מלכות שמים שהוא כענין שום תשים עליך מלך"</w:t>
      </w:r>
    </w:p>
    <w:p w:rsidR="00AB6EC6" w:rsidRPr="00640279" w:rsidRDefault="00AB6EC6" w:rsidP="00F146A6">
      <w:pPr>
        <w:pStyle w:val="a3"/>
        <w:rPr>
          <w:rFonts w:ascii="Times New Roman" w:hAnsi="Times New Roman" w:cs="Times New Roman"/>
        </w:rPr>
      </w:pPr>
      <w:r w:rsidRPr="00640279">
        <w:rPr>
          <w:shd w:val="clear" w:color="auto" w:fill="FFFFFF"/>
          <w:rtl/>
        </w:rPr>
        <w:t>וצריך ביאור מדוע לא מספיק הרגל וקביעת מחשבה זו. ומדוע צריך גם קבלת עול.</w:t>
      </w:r>
    </w:p>
    <w:p w:rsidR="00AB6EC6" w:rsidRPr="00640279" w:rsidRDefault="00AB6EC6" w:rsidP="00F146A6">
      <w:pPr>
        <w:pStyle w:val="a3"/>
        <w:rPr>
          <w:rFonts w:ascii="Times New Roman" w:hAnsi="Times New Roman" w:cs="Times New Roman"/>
        </w:rPr>
      </w:pPr>
      <w:r w:rsidRPr="00640279">
        <w:rPr>
          <w:shd w:val="clear" w:color="auto" w:fill="FFFFFF"/>
          <w:rtl/>
        </w:rPr>
        <w:t>כ"ק אדמו"ר בהערה בשיעורים בספר התניא מסביר (ע"פ הבנת הכותב) שסוף כל סוף התבוננות זו תלויה בשכלו של אדם, והשכל אינו מושל בכל אדם בשוה, וגם ההתבוננות אינו שוה בכל אדם, ומי ששכלו מושל עליו במדה פחותה הרי לא יעזור התבוננות בכל עת, כי אם לבו יתלהב ביותר לא יצליח שכלו לשלוט על לבו, ומי שלא התבונן שעה מספקת ובעומק הנדרש גם הוא לא יצליח לשלוט על מדותיו. ויוצא מזה שאי אפשר להיות תלוי בשכל והתבוננות השכל לבדו.</w:t>
      </w:r>
    </w:p>
    <w:p w:rsidR="00AB6EC6" w:rsidRPr="00640279" w:rsidRDefault="00AB6EC6" w:rsidP="00F146A6">
      <w:pPr>
        <w:pStyle w:val="a3"/>
        <w:rPr>
          <w:rFonts w:ascii="Times New Roman" w:hAnsi="Times New Roman" w:cs="Times New Roman"/>
          <w:rtl/>
        </w:rPr>
      </w:pPr>
      <w:r w:rsidRPr="00640279">
        <w:rPr>
          <w:shd w:val="clear" w:color="auto" w:fill="FFFFFF"/>
          <w:rtl/>
        </w:rPr>
        <w:lastRenderedPageBreak/>
        <w:t>עוד טעם כותב כ"ק אדמו"ר שלא בכל עת מסוגל האדם להתבוננות,</w:t>
      </w:r>
      <w:r w:rsidRPr="00640279">
        <w:rPr>
          <w:rFonts w:ascii="Cambria" w:hAnsi="Cambria" w:cs="Cambria" w:hint="cs"/>
          <w:shd w:val="clear" w:color="auto" w:fill="FFFFFF"/>
          <w:rtl/>
        </w:rPr>
        <w:t> </w:t>
      </w:r>
    </w:p>
    <w:p w:rsidR="00AB6EC6" w:rsidRPr="00640279" w:rsidRDefault="00AB6EC6" w:rsidP="00F146A6">
      <w:pPr>
        <w:pStyle w:val="a3"/>
        <w:rPr>
          <w:rFonts w:ascii="Times New Roman" w:hAnsi="Times New Roman" w:cs="Times New Roman"/>
        </w:rPr>
      </w:pPr>
      <w:r w:rsidRPr="00640279">
        <w:rPr>
          <w:shd w:val="clear" w:color="auto" w:fill="FFFFFF"/>
          <w:rtl/>
        </w:rPr>
        <w:t>ומפני כל הנ"ל צריך האדם להיות תלוי בדבר שאינו משתנה משעה לשעה, והוא קבלת עול מתוך אמונה טהורה.</w:t>
      </w:r>
    </w:p>
    <w:p w:rsidR="00AB6EC6" w:rsidRPr="00640279" w:rsidRDefault="00AB6EC6" w:rsidP="00F146A6">
      <w:pPr>
        <w:pStyle w:val="a3"/>
        <w:rPr>
          <w:rFonts w:ascii="Times New Roman" w:hAnsi="Times New Roman" w:cs="Times New Roman"/>
        </w:rPr>
      </w:pPr>
      <w:r w:rsidRPr="00640279">
        <w:rPr>
          <w:shd w:val="clear" w:color="auto" w:fill="FFFFFF"/>
          <w:rtl/>
        </w:rPr>
        <w:t xml:space="preserve">ויש לעיין, דלכאורה אדה"ז מדגיש כאן שהמטרה </w:t>
      </w:r>
      <w:r w:rsidRPr="00640279">
        <w:rPr>
          <w:b/>
          <w:bCs/>
          <w:shd w:val="clear" w:color="auto" w:fill="FFFFFF"/>
          <w:rtl/>
        </w:rPr>
        <w:t>אינו</w:t>
      </w:r>
      <w:r w:rsidRPr="00640279">
        <w:rPr>
          <w:shd w:val="clear" w:color="auto" w:fill="FFFFFF"/>
          <w:rtl/>
        </w:rPr>
        <w:t xml:space="preserve"> ההתבוננות עצמה אלא בלשון אדה"ז "העיקר הוא </w:t>
      </w:r>
      <w:r w:rsidRPr="00640279">
        <w:rPr>
          <w:b/>
          <w:bCs/>
          <w:shd w:val="clear" w:color="auto" w:fill="FFFFFF"/>
          <w:rtl/>
        </w:rPr>
        <w:t>ההרגל</w:t>
      </w:r>
      <w:r w:rsidRPr="00640279">
        <w:rPr>
          <w:shd w:val="clear" w:color="auto" w:fill="FFFFFF"/>
          <w:rtl/>
        </w:rPr>
        <w:t xml:space="preserve">". והרגל אינו דבר שצריך להתבוננות בכל עת לקיימו, כי כבר חי בעצמו ואינו תלוי בהתבוננות. וכן ההרגל אינו כמו השכל ששליטתו משתנה משעה משא"כ ההרגל שליטתו </w:t>
      </w:r>
      <w:r w:rsidRPr="00640279">
        <w:rPr>
          <w:b/>
          <w:bCs/>
          <w:shd w:val="clear" w:color="auto" w:fill="FFFFFF"/>
          <w:rtl/>
        </w:rPr>
        <w:t>מוחלטת</w:t>
      </w:r>
      <w:r w:rsidRPr="00640279">
        <w:rPr>
          <w:shd w:val="clear" w:color="auto" w:fill="FFFFFF"/>
          <w:rtl/>
        </w:rPr>
        <w:t xml:space="preserve"> וכמ"ש אדה"ז לעיל פי"ד "ההרגל על כל דבר שלטון ונעשה טבע שני".</w:t>
      </w:r>
      <w:r w:rsidRPr="00640279">
        <w:rPr>
          <w:rFonts w:ascii="Cambria" w:hAnsi="Cambria" w:cs="Cambria" w:hint="cs"/>
          <w:shd w:val="clear" w:color="auto" w:fill="FFFFFF"/>
          <w:rtl/>
        </w:rPr>
        <w:t> </w:t>
      </w:r>
    </w:p>
    <w:p w:rsidR="00AB6EC6" w:rsidRPr="00640279" w:rsidRDefault="00AB6EC6" w:rsidP="00F146A6">
      <w:pPr>
        <w:pStyle w:val="a3"/>
        <w:rPr>
          <w:rFonts w:ascii="Times New Roman" w:hAnsi="Times New Roman" w:cs="Times New Roman"/>
          <w:rtl/>
        </w:rPr>
      </w:pPr>
      <w:r w:rsidRPr="00640279">
        <w:rPr>
          <w:shd w:val="clear" w:color="auto" w:fill="FFFFFF"/>
          <w:rtl/>
        </w:rPr>
        <w:t xml:space="preserve">ומפורש הדבר בפט"ו "וכן אף מי שאינו מתמיד בלמודו בטבעו רק שהרגיל עצמו ללמוד בהתמדה גדולה ונעשה ההרגל לו טבע שני די לו באהבה מסותרת זו אא"כ רוצה ללמוד יותר מרגילותו", דהיינו שמתמיד זה </w:t>
      </w:r>
      <w:r w:rsidRPr="00640279">
        <w:rPr>
          <w:b/>
          <w:bCs/>
          <w:shd w:val="clear" w:color="auto" w:fill="FFFFFF"/>
          <w:rtl/>
        </w:rPr>
        <w:t>אינו צריך לשום התבוננות</w:t>
      </w:r>
      <w:r w:rsidRPr="00640279">
        <w:rPr>
          <w:shd w:val="clear" w:color="auto" w:fill="FFFFFF"/>
          <w:rtl/>
        </w:rPr>
        <w:t xml:space="preserve"> ודי לו באהבה מסותרת מפני </w:t>
      </w:r>
      <w:r w:rsidRPr="00640279">
        <w:rPr>
          <w:b/>
          <w:bCs/>
          <w:shd w:val="clear" w:color="auto" w:fill="FFFFFF"/>
          <w:rtl/>
        </w:rPr>
        <w:t xml:space="preserve">שהרגיל עצמו </w:t>
      </w:r>
      <w:r w:rsidRPr="00640279">
        <w:rPr>
          <w:shd w:val="clear" w:color="auto" w:fill="FFFFFF"/>
          <w:rtl/>
        </w:rPr>
        <w:t>ללמוד בהתמדה גדולה.</w:t>
      </w:r>
    </w:p>
    <w:p w:rsidR="00AB6EC6" w:rsidRPr="00640279" w:rsidRDefault="00AB6EC6" w:rsidP="00F146A6">
      <w:pPr>
        <w:pStyle w:val="a3"/>
        <w:rPr>
          <w:rFonts w:ascii="Times New Roman" w:hAnsi="Times New Roman" w:cs="Times New Roman"/>
        </w:rPr>
      </w:pPr>
      <w:r w:rsidRPr="00640279">
        <w:rPr>
          <w:shd w:val="clear" w:color="auto" w:fill="FFFFFF"/>
          <w:rtl/>
        </w:rPr>
        <w:t>וא"כ מדוע כאן בפמ"ב כותב שאינו מספיק ההרגל אלא צריך גם קבלת עול.</w:t>
      </w:r>
    </w:p>
    <w:p w:rsidR="00AB6EC6" w:rsidRPr="00640279" w:rsidRDefault="00AB6EC6" w:rsidP="00F146A6">
      <w:pPr>
        <w:pStyle w:val="a3"/>
        <w:rPr>
          <w:rFonts w:ascii="Times New Roman" w:hAnsi="Times New Roman" w:cs="Times New Roman"/>
        </w:rPr>
      </w:pPr>
      <w:r w:rsidRPr="00640279">
        <w:rPr>
          <w:shd w:val="clear" w:color="auto" w:fill="FFFFFF"/>
          <w:rtl/>
        </w:rPr>
        <w:t xml:space="preserve">לכאורה היה אפשר לבאר הדבר ע"פ מ"ש בלקו"ת בהעלותך ל, ב: הדרך הגורם לפשע ומרד הוא פריקת עול מלכות שמים והיינו </w:t>
      </w:r>
      <w:r w:rsidRPr="00640279">
        <w:rPr>
          <w:b/>
          <w:bCs/>
          <w:shd w:val="clear" w:color="auto" w:fill="FFFFFF"/>
          <w:rtl/>
        </w:rPr>
        <w:t>לפי שאינו נראה לעיני בשר</w:t>
      </w:r>
      <w:r w:rsidRPr="00640279">
        <w:rPr>
          <w:shd w:val="clear" w:color="auto" w:fill="FFFFFF"/>
          <w:rtl/>
        </w:rPr>
        <w:t xml:space="preserve"> כמו מלך בשר ודם.</w:t>
      </w:r>
    </w:p>
    <w:p w:rsidR="00AB6EC6" w:rsidRPr="00640279" w:rsidRDefault="00AB6EC6" w:rsidP="00F146A6">
      <w:pPr>
        <w:pStyle w:val="a3"/>
        <w:rPr>
          <w:rFonts w:ascii="Times New Roman" w:hAnsi="Times New Roman" w:cs="Times New Roman"/>
        </w:rPr>
      </w:pPr>
      <w:r w:rsidRPr="00640279">
        <w:rPr>
          <w:shd w:val="clear" w:color="auto" w:fill="FFFFFF"/>
          <w:rtl/>
        </w:rPr>
        <w:t>וביאור הדבר, היות ואינו יכול לראות את הדבר שהוא ירא ממנו שהוא הקב"ה ממילא לא יספיק על זה שום הרגל או התבוננות וצריך דוקא קבלת עול, ואף שיכול לראות את השמים והרגיל עצמו לחשוב שהוא לבושי המלך מ"מ הרי סוף סוף אינו רואה את המלך.</w:t>
      </w:r>
      <w:r w:rsidRPr="00640279">
        <w:rPr>
          <w:rFonts w:ascii="Cambria" w:hAnsi="Cambria" w:cs="Cambria" w:hint="cs"/>
          <w:shd w:val="clear" w:color="auto" w:fill="FFFFFF"/>
          <w:rtl/>
        </w:rPr>
        <w:t> </w:t>
      </w:r>
    </w:p>
    <w:p w:rsidR="00AB6EC6" w:rsidRPr="00640279" w:rsidRDefault="00AB6EC6" w:rsidP="00F146A6">
      <w:pPr>
        <w:pStyle w:val="a3"/>
        <w:rPr>
          <w:rFonts w:ascii="Times New Roman" w:hAnsi="Times New Roman" w:cs="Times New Roman"/>
          <w:rtl/>
        </w:rPr>
      </w:pPr>
      <w:r w:rsidRPr="00640279">
        <w:rPr>
          <w:shd w:val="clear" w:color="auto" w:fill="FFFFFF"/>
          <w:rtl/>
        </w:rPr>
        <w:t>ובאותיות אחרות: הרגל הוא לענין מעשה, מרגיל עצמו ללמוד הרבה כנ"ל פט"ו, מרגיל עצמו למאס תאות כנ"ל פי"ד. וגם כאן הוא מרגיל עצמו לחשוב דבר מסוים שהשמים הם לבושי הקב"ה. אבל עד כמה יפעול עליו מחשבה זו אי אפשר לדעת, כי הרי זה אינו מכח ההרגל אלא כח כחו.</w:t>
      </w:r>
    </w:p>
    <w:p w:rsidR="00AB6EC6" w:rsidRPr="00640279" w:rsidRDefault="00AB6EC6" w:rsidP="00F146A6">
      <w:pPr>
        <w:pStyle w:val="a3"/>
        <w:rPr>
          <w:rFonts w:ascii="Times New Roman" w:hAnsi="Times New Roman" w:cs="Times New Roman"/>
        </w:rPr>
      </w:pPr>
      <w:r w:rsidRPr="00640279">
        <w:rPr>
          <w:shd w:val="clear" w:color="auto" w:fill="FFFFFF"/>
          <w:rtl/>
        </w:rPr>
        <w:t>והיה אפשר להקשות דהרי לעיל פי"ד שהרגיל עצמו לחשוב על אשה שהיא חמת מלאה כו', וגם הוא לכאורה הוא דבר שבלתי נראה לעין, ודומה לההתבוננות כאן פמ"ב שחושב על השמים שהם לבושי המלך, ורק שהרגיל את לבו להרגיש כן, וא"כ איך במה שונה ההרגל הזה. אך בפשטות יש לתרץ שמאיסותה של האשה הוא דבר שנתפס בחוש וכו' כדאיתא בשבת שם שמתאר עליה דברים אמיתים וגלויים לכל. משא"כ הקב"ה שמציאותו אינו נתפס בחוש הראות.</w:t>
      </w:r>
    </w:p>
    <w:p w:rsidR="00AB6EC6" w:rsidRPr="00640279" w:rsidRDefault="00AB6EC6" w:rsidP="00F146A6">
      <w:pPr>
        <w:pStyle w:val="a3"/>
        <w:rPr>
          <w:rFonts w:ascii="Times New Roman" w:hAnsi="Times New Roman" w:cs="Times New Roman"/>
        </w:rPr>
      </w:pPr>
      <w:r w:rsidRPr="00640279">
        <w:rPr>
          <w:shd w:val="clear" w:color="auto" w:fill="FFFFFF"/>
          <w:rtl/>
        </w:rPr>
        <w:t xml:space="preserve">אך אחרי הדקדוק בלשון כ"ק אדמו"ר בהערה הנ"ל, נראה שמפרש שמחשבה זו </w:t>
      </w:r>
      <w:r w:rsidRPr="00640279">
        <w:rPr>
          <w:b/>
          <w:bCs/>
          <w:shd w:val="clear" w:color="auto" w:fill="FFFFFF"/>
          <w:rtl/>
        </w:rPr>
        <w:t>עצמה</w:t>
      </w:r>
      <w:r w:rsidRPr="00640279">
        <w:rPr>
          <w:shd w:val="clear" w:color="auto" w:fill="FFFFFF"/>
          <w:rtl/>
        </w:rPr>
        <w:t xml:space="preserve"> (שהשמים הם לבושי המלך) גם כשנעשה לו כהרגל הוא עדיין </w:t>
      </w:r>
      <w:r w:rsidRPr="00640279">
        <w:rPr>
          <w:b/>
          <w:bCs/>
          <w:shd w:val="clear" w:color="auto" w:fill="FFFFFF"/>
          <w:rtl/>
        </w:rPr>
        <w:t xml:space="preserve">התבוננות </w:t>
      </w:r>
      <w:r w:rsidRPr="00640279">
        <w:rPr>
          <w:b/>
          <w:bCs/>
          <w:shd w:val="clear" w:color="auto" w:fill="FFFFFF"/>
          <w:rtl/>
        </w:rPr>
        <w:lastRenderedPageBreak/>
        <w:t>שכלית</w:t>
      </w:r>
      <w:r w:rsidRPr="00640279">
        <w:rPr>
          <w:shd w:val="clear" w:color="auto" w:fill="FFFFFF"/>
          <w:rtl/>
        </w:rPr>
        <w:t>, "ולא בכל עת יכול כאו"א להיות במעמד ומצב של התבוננות שכלית". והיינו שלומד שגם מחשבה זו גופא לא רק פעולותיה תלויה במעמד ומצב האדם, ולכן ישתנה משעה לשעה, גם אחרי שנעשה לו כרגילות. ודוקא קבלת עול הוא תמידי. ואינו תלוי במצב האדם</w:t>
      </w:r>
    </w:p>
    <w:p w:rsidR="00AB6EC6" w:rsidRPr="00640279" w:rsidRDefault="00AB6EC6" w:rsidP="00F146A6">
      <w:pPr>
        <w:pStyle w:val="a3"/>
        <w:rPr>
          <w:rFonts w:ascii="Times New Roman" w:hAnsi="Times New Roman" w:cs="Times New Roman"/>
        </w:rPr>
      </w:pPr>
      <w:r w:rsidRPr="00640279">
        <w:rPr>
          <w:shd w:val="clear" w:color="auto" w:fill="FFFFFF"/>
          <w:rtl/>
        </w:rPr>
        <w:t>ואולי יש לומר הטעם בזה מדוע נשתנה הרגל המחשבה שמשתנה לפי מעמד ומצב האדם, משא"כ ההרגל ללמוד הרבה או ההרגל למא</w:t>
      </w:r>
      <w:r>
        <w:rPr>
          <w:rFonts w:hint="cs"/>
          <w:shd w:val="clear" w:color="auto" w:fill="FFFFFF"/>
          <w:rtl/>
        </w:rPr>
        <w:t>ו</w:t>
      </w:r>
      <w:r w:rsidRPr="00640279">
        <w:rPr>
          <w:shd w:val="clear" w:color="auto" w:fill="FFFFFF"/>
          <w:rtl/>
        </w:rPr>
        <w:t>ס רע שאינו משתנה ונעשה כטבע.</w:t>
      </w:r>
    </w:p>
    <w:p w:rsidR="00AB6EC6" w:rsidRPr="00640279" w:rsidRDefault="00AB6EC6" w:rsidP="00F146A6">
      <w:pPr>
        <w:pStyle w:val="a3"/>
        <w:rPr>
          <w:rFonts w:ascii="Times New Roman" w:hAnsi="Times New Roman" w:cs="Times New Roman"/>
          <w:rtl/>
        </w:rPr>
      </w:pPr>
      <w:r w:rsidRPr="00640279">
        <w:rPr>
          <w:shd w:val="clear" w:color="auto" w:fill="FFFFFF"/>
          <w:rtl/>
        </w:rPr>
        <w:t>אצל אדם גשמי וחומרי לא יתכן הרגל המחשבה באופן דקבוע בל תמוט. וכמפורש לעיל בפט"ז שמחשבה כשלעצמו גבהו דרכיהם למעלה מעלה מן המעשה. ובפרט שכאן בפמ"ב מדובר בכאו"א מישראל גם מי שרחוק מאוד מיראה בהתגלות לבו, וממילא היראה היא רק במחשבתו לבד.</w:t>
      </w:r>
      <w:r w:rsidRPr="00640279">
        <w:rPr>
          <w:rFonts w:ascii="Cambria" w:hAnsi="Cambria" w:cs="Cambria" w:hint="cs"/>
          <w:shd w:val="clear" w:color="auto" w:fill="FFFFFF"/>
          <w:rtl/>
        </w:rPr>
        <w:t> </w:t>
      </w:r>
    </w:p>
    <w:p w:rsidR="00AB6EC6" w:rsidRPr="00640279" w:rsidRDefault="00AB6EC6" w:rsidP="00F146A6">
      <w:pPr>
        <w:pStyle w:val="a3"/>
        <w:rPr>
          <w:rFonts w:ascii="Times New Roman" w:hAnsi="Times New Roman" w:cs="Times New Roman"/>
          <w:rtl/>
        </w:rPr>
      </w:pPr>
      <w:r w:rsidRPr="00640279">
        <w:rPr>
          <w:shd w:val="clear" w:color="auto" w:fill="FFFFFF"/>
          <w:rtl/>
        </w:rPr>
        <w:t>היות ומחשבה הוא רוחני מאד לגבי הרגש ומעשה האדם לכן אינו יכול להרגיל עצמו בזה באופן תמידי כטבע שני.</w:t>
      </w:r>
    </w:p>
    <w:p w:rsidR="00AB6EC6" w:rsidRPr="00640279" w:rsidRDefault="00AB6EC6" w:rsidP="00F146A6">
      <w:pPr>
        <w:pStyle w:val="a3"/>
        <w:rPr>
          <w:rFonts w:ascii="Times New Roman" w:hAnsi="Times New Roman" w:cs="Times New Roman"/>
          <w:rtl/>
        </w:rPr>
      </w:pPr>
      <w:r w:rsidRPr="00640279">
        <w:rPr>
          <w:shd w:val="clear" w:color="auto" w:fill="FFFFFF"/>
          <w:rtl/>
        </w:rPr>
        <w:t>משא"כ ההרגל ללמוד הרבה שבפט"ו וההרגל למאס הרע דבפרק י"ד שהוא קשור לרגש ומעשה האדם שם שפיר שייך הרגל קבוע כמו טבע שני.</w:t>
      </w:r>
    </w:p>
    <w:p w:rsidR="00364372" w:rsidRDefault="00364372" w:rsidP="0036437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B240FE" w:rsidRDefault="00B240FE" w:rsidP="007128D2">
      <w:pPr>
        <w:pStyle w:val="a0"/>
        <w:rPr>
          <w:rFonts w:eastAsia="Arial Unicode MS"/>
          <w:rtl/>
        </w:rPr>
      </w:pPr>
      <w:bookmarkStart w:id="155" w:name="_Toc43963121"/>
      <w:r>
        <w:rPr>
          <w:rFonts w:eastAsia="Arial Unicode MS" w:hint="cs"/>
          <w:rtl/>
        </w:rPr>
        <w:t>אביי ורבא</w:t>
      </w:r>
      <w:bookmarkEnd w:id="155"/>
    </w:p>
    <w:p w:rsidR="007128D2" w:rsidRPr="00364372" w:rsidRDefault="007128D2" w:rsidP="00F146A6">
      <w:pPr>
        <w:pStyle w:val="a"/>
        <w:rPr>
          <w:rtl/>
        </w:rPr>
      </w:pPr>
      <w:bookmarkStart w:id="156" w:name="_Toc43963122"/>
      <w:r w:rsidRPr="00364372">
        <w:rPr>
          <w:rFonts w:hint="cs"/>
          <w:rtl/>
        </w:rPr>
        <w:t>הרב בנימין אפרים ביטון</w:t>
      </w:r>
      <w:bookmarkEnd w:id="156"/>
    </w:p>
    <w:p w:rsidR="007128D2" w:rsidRDefault="007128D2" w:rsidP="007128D2">
      <w:pPr>
        <w:pStyle w:val="a1"/>
        <w:rPr>
          <w:rtl/>
        </w:rPr>
      </w:pPr>
      <w:r w:rsidRPr="00C60FEE">
        <w:rPr>
          <w:rFonts w:hint="cs"/>
          <w:rtl/>
        </w:rPr>
        <w:t xml:space="preserve">שליח כ"ק אדמו"ר </w:t>
      </w:r>
      <w:r w:rsidRPr="00C60FEE">
        <w:rPr>
          <w:rtl/>
        </w:rPr>
        <w:t>–</w:t>
      </w:r>
      <w:r w:rsidRPr="00C60FEE">
        <w:rPr>
          <w:rFonts w:hint="cs"/>
          <w:rtl/>
        </w:rPr>
        <w:t xml:space="preserve"> וונקובר ב.ק. קנדה</w:t>
      </w:r>
    </w:p>
    <w:p w:rsidR="00B240FE" w:rsidRDefault="00B240FE" w:rsidP="00F146A6">
      <w:pPr>
        <w:pStyle w:val="11"/>
        <w:bidi/>
        <w:rPr>
          <w:rFonts w:cs="Arial Unicode MS"/>
          <w:rtl/>
        </w:rPr>
      </w:pPr>
      <w:r>
        <w:rPr>
          <w:rFonts w:hint="cs"/>
          <w:rtl/>
        </w:rPr>
        <w:t>מקיף הקרוב ומקיף הרחוק</w:t>
      </w:r>
    </w:p>
    <w:p w:rsidR="00B240FE" w:rsidRPr="007128D2" w:rsidRDefault="00B240FE" w:rsidP="00F146A6">
      <w:pPr>
        <w:pStyle w:val="a3"/>
        <w:rPr>
          <w:rtl/>
        </w:rPr>
      </w:pPr>
      <w:r w:rsidRPr="007128D2">
        <w:rPr>
          <w:rFonts w:hint="cs"/>
          <w:rtl/>
        </w:rPr>
        <w:t>א</w:t>
      </w:r>
      <w:r w:rsidRPr="007128D2">
        <w:rPr>
          <w:rtl/>
        </w:rPr>
        <w:t xml:space="preserve">. </w:t>
      </w:r>
      <w:r w:rsidRPr="007128D2">
        <w:rPr>
          <w:rFonts w:hint="cs"/>
          <w:rtl/>
        </w:rPr>
        <w:t>ב׳תורת לוי יצחק׳ עמ״ס קידושין עמ׳ קלז ואילך מבאר הגאון רבי לוי יצחק זצ״ל יסוד פלוגתתם דאביי ורבא בכ״מ בש״ס בהלכה ובאגדה</w:t>
      </w:r>
      <w:r w:rsidRPr="007128D2">
        <w:rPr>
          <w:rtl/>
        </w:rPr>
        <w:t xml:space="preserve">, </w:t>
      </w:r>
      <w:r w:rsidRPr="007128D2">
        <w:rPr>
          <w:rFonts w:hint="cs"/>
          <w:rtl/>
        </w:rPr>
        <w:t>והוא דאזלי בזה לשיטתייהו הכללית במהותם ומדריגתם ע״ד הסוד</w:t>
      </w:r>
      <w:r w:rsidRPr="007128D2">
        <w:rPr>
          <w:rtl/>
        </w:rPr>
        <w:t xml:space="preserve">, </w:t>
      </w:r>
      <w:r w:rsidRPr="007128D2">
        <w:rPr>
          <w:rFonts w:hint="cs"/>
          <w:rtl/>
        </w:rPr>
        <w:t>דשורש נשמת אביי היה מבחי׳ ״מקיף הרחוק״ משא״כ שורש נשמת רבא דהיה מבחי׳ ״מקיף הקרוב״</w:t>
      </w:r>
      <w:r w:rsidRPr="007128D2">
        <w:rPr>
          <w:rtl/>
        </w:rPr>
        <w:t xml:space="preserve">, </w:t>
      </w:r>
      <w:r w:rsidRPr="007128D2">
        <w:rPr>
          <w:rFonts w:hint="cs"/>
          <w:rtl/>
        </w:rPr>
        <w:t>ומבאר דעפ״ז נחלקו בכמה ענינים</w:t>
      </w:r>
      <w:r w:rsidRPr="007128D2">
        <w:rPr>
          <w:rtl/>
        </w:rPr>
        <w:t xml:space="preserve">, </w:t>
      </w:r>
      <w:r w:rsidRPr="007128D2">
        <w:rPr>
          <w:rFonts w:hint="cs"/>
          <w:rtl/>
        </w:rPr>
        <w:t>כולל גם באלו הפלוגתות דיע״ל קג״ם שבהן נפסקה ההלכה כאביי</w:t>
      </w:r>
      <w:r w:rsidRPr="007128D2">
        <w:rPr>
          <w:rtl/>
        </w:rPr>
        <w:t xml:space="preserve">, </w:t>
      </w:r>
      <w:r w:rsidRPr="007128D2">
        <w:rPr>
          <w:rFonts w:hint="cs"/>
          <w:rtl/>
        </w:rPr>
        <w:t>יעויי״ש בארוכה</w:t>
      </w:r>
      <w:r w:rsidRPr="007128D2">
        <w:rPr>
          <w:rtl/>
        </w:rPr>
        <w:t>.</w:t>
      </w:r>
    </w:p>
    <w:p w:rsidR="00B240FE" w:rsidRPr="007128D2" w:rsidRDefault="00B240FE" w:rsidP="00F146A6">
      <w:pPr>
        <w:pStyle w:val="a3"/>
        <w:rPr>
          <w:rtl/>
        </w:rPr>
      </w:pPr>
      <w:r>
        <w:rPr>
          <w:rFonts w:hint="cs"/>
          <w:rtl/>
        </w:rPr>
        <w:t>ונקודת ביאור הדברים</w:t>
      </w:r>
      <w:r w:rsidRPr="007128D2">
        <w:rPr>
          <w:rtl/>
        </w:rPr>
        <w:t xml:space="preserve">, </w:t>
      </w:r>
      <w:r>
        <w:rPr>
          <w:rFonts w:hint="cs"/>
          <w:rtl/>
        </w:rPr>
        <w:t>דהנה בתורת הסוד מבואר דבכללות ישנן ב׳ דרגות ובחינות באלקות</w:t>
      </w:r>
      <w:r w:rsidRPr="007128D2">
        <w:rPr>
          <w:rtl/>
        </w:rPr>
        <w:t xml:space="preserve">, </w:t>
      </w:r>
      <w:r>
        <w:rPr>
          <w:rFonts w:hint="cs"/>
          <w:rtl/>
        </w:rPr>
        <w:t>הא׳ בחי׳ אור ״מקיף״ שהוא אור אלוקי שלמעלה מתפיסא והשגה</w:t>
      </w:r>
      <w:r w:rsidRPr="007128D2">
        <w:rPr>
          <w:rtl/>
        </w:rPr>
        <w:t xml:space="preserve">, </w:t>
      </w:r>
      <w:r>
        <w:rPr>
          <w:rFonts w:hint="cs"/>
          <w:rtl/>
        </w:rPr>
        <w:t>ואינו נמשך ומתלבש במדריגות שלמטה ממנו בפנימיות אלא הוא נשאר בבחי׳ מקיף מלמעלה</w:t>
      </w:r>
      <w:r w:rsidRPr="007128D2">
        <w:rPr>
          <w:rtl/>
        </w:rPr>
        <w:t xml:space="preserve">, </w:t>
      </w:r>
      <w:r>
        <w:rPr>
          <w:rFonts w:hint="cs"/>
          <w:rtl/>
        </w:rPr>
        <w:t>והב׳ בחי׳ אור ״פנימי״ שהוא אור אלוקי שיש בו תפיסא ואחיזה</w:t>
      </w:r>
      <w:r w:rsidRPr="007128D2">
        <w:rPr>
          <w:rtl/>
        </w:rPr>
        <w:t xml:space="preserve">, </w:t>
      </w:r>
      <w:r>
        <w:rPr>
          <w:rFonts w:hint="cs"/>
          <w:rtl/>
        </w:rPr>
        <w:t>ויורד ונמשך ומתלבש במדריגות שלמטה ממנו</w:t>
      </w:r>
      <w:r w:rsidRPr="007128D2">
        <w:rPr>
          <w:rtl/>
        </w:rPr>
        <w:t xml:space="preserve"> </w:t>
      </w:r>
      <w:r>
        <w:rPr>
          <w:rFonts w:hint="cs"/>
          <w:rtl/>
        </w:rPr>
        <w:t>בפנימיות</w:t>
      </w:r>
      <w:r w:rsidRPr="007128D2">
        <w:rPr>
          <w:rtl/>
        </w:rPr>
        <w:t>.</w:t>
      </w:r>
    </w:p>
    <w:p w:rsidR="00B240FE" w:rsidRPr="007128D2" w:rsidRDefault="00B240FE" w:rsidP="00F146A6">
      <w:pPr>
        <w:pStyle w:val="a3"/>
        <w:rPr>
          <w:rtl/>
        </w:rPr>
      </w:pPr>
      <w:r>
        <w:rPr>
          <w:rFonts w:hint="cs"/>
          <w:rtl/>
        </w:rPr>
        <w:lastRenderedPageBreak/>
        <w:t>אמנם בפרטיות גם בבחי׳ אור מקיף גופא מצינו בזה ב׳ דרגות</w:t>
      </w:r>
      <w:r w:rsidRPr="007128D2">
        <w:rPr>
          <w:rtl/>
        </w:rPr>
        <w:t xml:space="preserve">, </w:t>
      </w:r>
      <w:r>
        <w:rPr>
          <w:rFonts w:hint="cs"/>
          <w:rtl/>
        </w:rPr>
        <w:t>הא׳ בחי׳ ״מקיף הקרוב״ והב׳ בחי׳ ״מקיף הרחוק״</w:t>
      </w:r>
      <w:r w:rsidRPr="007128D2">
        <w:rPr>
          <w:rtl/>
        </w:rPr>
        <w:t xml:space="preserve">, </w:t>
      </w:r>
      <w:r>
        <w:rPr>
          <w:rFonts w:hint="cs"/>
          <w:rtl/>
        </w:rPr>
        <w:t>וזלה״ק בתורת לוי״צ שם עמ׳ קלח ״והנה יש ב׳ בחינות מקיף</w:t>
      </w:r>
      <w:r w:rsidRPr="007128D2">
        <w:rPr>
          <w:rtl/>
        </w:rPr>
        <w:t xml:space="preserve">, </w:t>
      </w:r>
      <w:r>
        <w:rPr>
          <w:rFonts w:hint="cs"/>
          <w:rtl/>
        </w:rPr>
        <w:t>א׳ מקיף הרחוק שאין בו שום אחיזה</w:t>
      </w:r>
      <w:r w:rsidRPr="007128D2">
        <w:rPr>
          <w:rtl/>
        </w:rPr>
        <w:t xml:space="preserve">, </w:t>
      </w:r>
      <w:r>
        <w:rPr>
          <w:rFonts w:hint="cs"/>
          <w:rtl/>
        </w:rPr>
        <w:t>ואין לו שייכות להאור פנימי</w:t>
      </w:r>
      <w:r w:rsidRPr="007128D2">
        <w:rPr>
          <w:rtl/>
        </w:rPr>
        <w:t xml:space="preserve">, </w:t>
      </w:r>
      <w:r>
        <w:rPr>
          <w:rFonts w:hint="cs"/>
          <w:rtl/>
        </w:rPr>
        <w:t>שלא נמשך ממנו אור פנימי וכו׳</w:t>
      </w:r>
      <w:r w:rsidRPr="007128D2">
        <w:rPr>
          <w:rtl/>
        </w:rPr>
        <w:t xml:space="preserve">, </w:t>
      </w:r>
      <w:r>
        <w:rPr>
          <w:rFonts w:hint="cs"/>
          <w:rtl/>
        </w:rPr>
        <w:t>ב׳ מקיף הקרוב שיש בו קצת אחיזה ויש לו שייכות לאור פנימי</w:t>
      </w:r>
      <w:r w:rsidRPr="007128D2">
        <w:rPr>
          <w:rtl/>
        </w:rPr>
        <w:t xml:space="preserve">, </w:t>
      </w:r>
      <w:r>
        <w:rPr>
          <w:rFonts w:hint="cs"/>
          <w:rtl/>
        </w:rPr>
        <w:t>שממנו נמשך אח״כ אור פנימי״</w:t>
      </w:r>
      <w:r w:rsidRPr="007128D2">
        <w:rPr>
          <w:rtl/>
        </w:rPr>
        <w:t xml:space="preserve">, </w:t>
      </w:r>
      <w:r>
        <w:rPr>
          <w:rFonts w:hint="cs"/>
          <w:rtl/>
        </w:rPr>
        <w:t>עכלה״ק</w:t>
      </w:r>
      <w:r w:rsidRPr="007128D2">
        <w:rPr>
          <w:rtl/>
        </w:rPr>
        <w:t>.</w:t>
      </w:r>
    </w:p>
    <w:p w:rsidR="00B240FE" w:rsidRPr="007128D2" w:rsidRDefault="00B240FE" w:rsidP="00F146A6">
      <w:pPr>
        <w:pStyle w:val="a3"/>
        <w:rPr>
          <w:rtl/>
        </w:rPr>
      </w:pPr>
      <w:r>
        <w:rPr>
          <w:rFonts w:hint="cs"/>
          <w:rtl/>
        </w:rPr>
        <w:t>ומבואר ד״מקיף הקרוב״ עם היותו בכללות בחי׳ אור ״מקיף״ שהוא למעלה מתפיסא ואחיזה וכו׳</w:t>
      </w:r>
      <w:r w:rsidRPr="007128D2">
        <w:rPr>
          <w:rtl/>
        </w:rPr>
        <w:t xml:space="preserve">, </w:t>
      </w:r>
      <w:r>
        <w:rPr>
          <w:rFonts w:hint="cs"/>
          <w:rtl/>
        </w:rPr>
        <w:t>מ״מ יש בו ״אחיזה קצת״ עכ״פ</w:t>
      </w:r>
      <w:r w:rsidRPr="007128D2">
        <w:rPr>
          <w:rtl/>
        </w:rPr>
        <w:t xml:space="preserve">, </w:t>
      </w:r>
      <w:r>
        <w:rPr>
          <w:rFonts w:hint="cs"/>
          <w:rtl/>
        </w:rPr>
        <w:t>ויש לו איזושהי ״שייכות״ להאור פנימי</w:t>
      </w:r>
      <w:r w:rsidRPr="007128D2">
        <w:rPr>
          <w:rtl/>
        </w:rPr>
        <w:t xml:space="preserve">, </w:t>
      </w:r>
      <w:r>
        <w:rPr>
          <w:rFonts w:hint="cs"/>
          <w:rtl/>
        </w:rPr>
        <w:t>ואף יתכן כי ממנו יומשך ויסתעף אח״כ אור פנימי</w:t>
      </w:r>
      <w:r w:rsidRPr="007128D2">
        <w:rPr>
          <w:rtl/>
        </w:rPr>
        <w:t xml:space="preserve">, </w:t>
      </w:r>
      <w:r>
        <w:rPr>
          <w:rFonts w:hint="cs"/>
          <w:rtl/>
        </w:rPr>
        <w:t>משא״כ בחי׳ ״מקיף הרחוק״ שהוא בבחי׳ מקיף לגמרי</w:t>
      </w:r>
      <w:r w:rsidRPr="007128D2">
        <w:rPr>
          <w:rtl/>
        </w:rPr>
        <w:t xml:space="preserve">, </w:t>
      </w:r>
      <w:r>
        <w:rPr>
          <w:rFonts w:hint="cs"/>
          <w:rtl/>
        </w:rPr>
        <w:t>שאין בו שום אחיזה כלל</w:t>
      </w:r>
      <w:r w:rsidRPr="007128D2">
        <w:rPr>
          <w:rtl/>
        </w:rPr>
        <w:t xml:space="preserve">, </w:t>
      </w:r>
      <w:r>
        <w:rPr>
          <w:rFonts w:hint="cs"/>
          <w:rtl/>
        </w:rPr>
        <w:t>ואין לבחי׳ זו שום שייכות להאור פנימי</w:t>
      </w:r>
      <w:r w:rsidRPr="007128D2">
        <w:rPr>
          <w:rtl/>
        </w:rPr>
        <w:t xml:space="preserve">, </w:t>
      </w:r>
      <w:r>
        <w:rPr>
          <w:rFonts w:hint="cs"/>
          <w:rtl/>
        </w:rPr>
        <w:t>ולא יומשך ממנו אור פנימי לעולם</w:t>
      </w:r>
      <w:r w:rsidRPr="007128D2">
        <w:rPr>
          <w:rtl/>
        </w:rPr>
        <w:t>.</w:t>
      </w:r>
    </w:p>
    <w:p w:rsidR="00B240FE" w:rsidRPr="007128D2" w:rsidRDefault="00B240FE" w:rsidP="00F146A6">
      <w:pPr>
        <w:pStyle w:val="11"/>
        <w:bidi/>
        <w:rPr>
          <w:rtl/>
        </w:rPr>
      </w:pPr>
      <w:r w:rsidRPr="007128D2">
        <w:rPr>
          <w:rFonts w:hint="cs"/>
          <w:rtl/>
        </w:rPr>
        <w:t>אות מ׳ סתומה לעומת אות ס׳</w:t>
      </w:r>
    </w:p>
    <w:p w:rsidR="00B240FE" w:rsidRPr="007128D2" w:rsidRDefault="00B240FE" w:rsidP="00F146A6">
      <w:pPr>
        <w:pStyle w:val="a3"/>
        <w:rPr>
          <w:rtl/>
        </w:rPr>
      </w:pPr>
      <w:r>
        <w:rPr>
          <w:rFonts w:hint="cs"/>
          <w:rtl/>
        </w:rPr>
        <w:t>ב</w:t>
      </w:r>
      <w:r w:rsidRPr="007128D2">
        <w:rPr>
          <w:rtl/>
        </w:rPr>
        <w:t xml:space="preserve">. </w:t>
      </w:r>
      <w:r>
        <w:rPr>
          <w:rFonts w:hint="cs"/>
          <w:rtl/>
        </w:rPr>
        <w:t>ומבאר הגאון רלוי״צ זצ״ל שזהו גם החילוק בין אות מ׳ סתומה לאות ס׳ ע״פ תורת הסוד</w:t>
      </w:r>
      <w:r w:rsidRPr="007128D2">
        <w:rPr>
          <w:rtl/>
        </w:rPr>
        <w:t xml:space="preserve">, </w:t>
      </w:r>
      <w:r>
        <w:rPr>
          <w:rFonts w:hint="cs"/>
          <w:rtl/>
        </w:rPr>
        <w:t>שאם היותן שתיהן בגדר אותיות סתומות</w:t>
      </w:r>
      <w:r w:rsidRPr="007128D2">
        <w:rPr>
          <w:rtl/>
        </w:rPr>
        <w:t xml:space="preserve">, </w:t>
      </w:r>
      <w:r>
        <w:rPr>
          <w:rFonts w:hint="cs"/>
          <w:rtl/>
        </w:rPr>
        <w:t>מ״מ יש חילוק ביניהן</w:t>
      </w:r>
      <w:r w:rsidRPr="007128D2">
        <w:rPr>
          <w:rtl/>
        </w:rPr>
        <w:t xml:space="preserve">, </w:t>
      </w:r>
      <w:r>
        <w:rPr>
          <w:rFonts w:hint="cs"/>
          <w:rtl/>
        </w:rPr>
        <w:t>וזלה״ק שם ״מקיף הרחוק וכו׳ והוא כמו אות ס׳ שהוא סתום לעולם ועגול מכל צד</w:t>
      </w:r>
      <w:r w:rsidRPr="007128D2">
        <w:rPr>
          <w:rtl/>
        </w:rPr>
        <w:t xml:space="preserve">, </w:t>
      </w:r>
      <w:r>
        <w:rPr>
          <w:rFonts w:hint="cs"/>
          <w:rtl/>
        </w:rPr>
        <w:t>שאין בו שום אחיזה</w:t>
      </w:r>
      <w:r w:rsidRPr="007128D2">
        <w:rPr>
          <w:rtl/>
        </w:rPr>
        <w:t xml:space="preserve">, </w:t>
      </w:r>
      <w:r>
        <w:rPr>
          <w:rFonts w:hint="cs"/>
          <w:rtl/>
        </w:rPr>
        <w:t>והוא סתום לעולם</w:t>
      </w:r>
      <w:r w:rsidRPr="007128D2">
        <w:rPr>
          <w:rtl/>
        </w:rPr>
        <w:t xml:space="preserve">, </w:t>
      </w:r>
      <w:r>
        <w:rPr>
          <w:rFonts w:hint="cs"/>
          <w:rtl/>
        </w:rPr>
        <w:t>שאינו נפתח</w:t>
      </w:r>
      <w:r w:rsidRPr="007128D2">
        <w:rPr>
          <w:rtl/>
        </w:rPr>
        <w:t xml:space="preserve">, </w:t>
      </w:r>
      <w:r>
        <w:rPr>
          <w:rFonts w:hint="cs"/>
          <w:rtl/>
        </w:rPr>
        <w:t>שענין פתיחה מורה על המשכה בפנימיות״</w:t>
      </w:r>
      <w:r w:rsidRPr="007128D2">
        <w:rPr>
          <w:rtl/>
        </w:rPr>
        <w:t>.</w:t>
      </w:r>
    </w:p>
    <w:p w:rsidR="00B240FE" w:rsidRPr="007128D2" w:rsidRDefault="00B240FE" w:rsidP="00F146A6">
      <w:pPr>
        <w:pStyle w:val="a3"/>
        <w:rPr>
          <w:rtl/>
        </w:rPr>
      </w:pPr>
      <w:r>
        <w:rPr>
          <w:rFonts w:hint="cs"/>
          <w:rtl/>
        </w:rPr>
        <w:t>ובהמשך שם ״מקיף הקרוב וכו׳ והוא כמו אות מ׳ סתומה</w:t>
      </w:r>
      <w:r w:rsidRPr="007128D2">
        <w:rPr>
          <w:rtl/>
        </w:rPr>
        <w:t xml:space="preserve">, </w:t>
      </w:r>
      <w:r>
        <w:rPr>
          <w:rFonts w:hint="cs"/>
          <w:rtl/>
        </w:rPr>
        <w:t>שאם שהוא סתום שמורה על בחי׳ מקיף שהוא בהעלם</w:t>
      </w:r>
      <w:r w:rsidRPr="007128D2">
        <w:rPr>
          <w:rtl/>
        </w:rPr>
        <w:t xml:space="preserve">, </w:t>
      </w:r>
      <w:r>
        <w:rPr>
          <w:rFonts w:hint="cs"/>
          <w:rtl/>
        </w:rPr>
        <w:t>אך הרי הוא מרובע שמורה שיש לו התיישבות</w:t>
      </w:r>
      <w:r w:rsidRPr="007128D2">
        <w:rPr>
          <w:rtl/>
        </w:rPr>
        <w:t xml:space="preserve">, </w:t>
      </w:r>
      <w:r>
        <w:rPr>
          <w:rFonts w:hint="cs"/>
          <w:rtl/>
        </w:rPr>
        <w:t>ויש בו אחיזה קצת</w:t>
      </w:r>
      <w:r w:rsidRPr="007128D2">
        <w:rPr>
          <w:rtl/>
        </w:rPr>
        <w:t xml:space="preserve">, </w:t>
      </w:r>
      <w:r>
        <w:rPr>
          <w:rFonts w:hint="cs"/>
          <w:rtl/>
        </w:rPr>
        <w:t>וממנו יומשך אח״כ בחי׳ אור פנימי</w:t>
      </w:r>
      <w:r w:rsidRPr="007128D2">
        <w:rPr>
          <w:rtl/>
        </w:rPr>
        <w:t xml:space="preserve">, </w:t>
      </w:r>
      <w:r>
        <w:rPr>
          <w:rFonts w:hint="cs"/>
          <w:rtl/>
        </w:rPr>
        <w:t>והוא מה שמ׳ סתומה יכולה להפתח ויעשה ממנו מ׳ פתוחה</w:t>
      </w:r>
      <w:r w:rsidRPr="007128D2">
        <w:rPr>
          <w:rtl/>
        </w:rPr>
        <w:t xml:space="preserve">, </w:t>
      </w:r>
      <w:r>
        <w:rPr>
          <w:rFonts w:hint="cs"/>
          <w:rtl/>
        </w:rPr>
        <w:t>שפתוחה מורה על שנמשך המשכה פנימית״</w:t>
      </w:r>
      <w:r w:rsidRPr="007128D2">
        <w:rPr>
          <w:rtl/>
        </w:rPr>
        <w:t xml:space="preserve">, </w:t>
      </w:r>
      <w:r>
        <w:rPr>
          <w:rFonts w:hint="cs"/>
          <w:rtl/>
        </w:rPr>
        <w:t>עכלה״ק</w:t>
      </w:r>
      <w:r w:rsidRPr="007128D2">
        <w:rPr>
          <w:rtl/>
        </w:rPr>
        <w:t>.</w:t>
      </w:r>
    </w:p>
    <w:p w:rsidR="00B240FE" w:rsidRPr="007128D2" w:rsidRDefault="00B240FE" w:rsidP="00F146A6">
      <w:pPr>
        <w:pStyle w:val="a3"/>
        <w:rPr>
          <w:rtl/>
        </w:rPr>
      </w:pPr>
      <w:r>
        <w:rPr>
          <w:rFonts w:hint="cs"/>
          <w:rtl/>
        </w:rPr>
        <w:t>וביאור הענין</w:t>
      </w:r>
      <w:r w:rsidRPr="007128D2">
        <w:rPr>
          <w:rtl/>
        </w:rPr>
        <w:t xml:space="preserve">, </w:t>
      </w:r>
      <w:r>
        <w:rPr>
          <w:rFonts w:hint="cs"/>
          <w:rtl/>
        </w:rPr>
        <w:t>דבחי׳ אות סתומה בכלל</w:t>
      </w:r>
      <w:r w:rsidRPr="007128D2">
        <w:rPr>
          <w:rtl/>
        </w:rPr>
        <w:t xml:space="preserve">, </w:t>
      </w:r>
      <w:r>
        <w:rPr>
          <w:rFonts w:hint="cs"/>
          <w:rtl/>
        </w:rPr>
        <w:t>דוגמת אות מ׳ סתומה או אות ס׳</w:t>
      </w:r>
      <w:r w:rsidRPr="007128D2">
        <w:rPr>
          <w:rtl/>
        </w:rPr>
        <w:t xml:space="preserve">, </w:t>
      </w:r>
      <w:r>
        <w:rPr>
          <w:rFonts w:hint="cs"/>
          <w:rtl/>
        </w:rPr>
        <w:t>שצורת האות מקיפה את כל החלל שבפנים ואין בה כל פתח</w:t>
      </w:r>
      <w:r w:rsidRPr="007128D2">
        <w:rPr>
          <w:rtl/>
        </w:rPr>
        <w:t xml:space="preserve">, </w:t>
      </w:r>
      <w:r>
        <w:rPr>
          <w:rFonts w:hint="cs"/>
          <w:rtl/>
        </w:rPr>
        <w:t>מורה ע״ד הסוד על בחי׳ אור מקיף</w:t>
      </w:r>
      <w:r w:rsidRPr="007128D2">
        <w:rPr>
          <w:rtl/>
        </w:rPr>
        <w:t xml:space="preserve">, </w:t>
      </w:r>
      <w:r>
        <w:rPr>
          <w:rFonts w:hint="cs"/>
          <w:rtl/>
        </w:rPr>
        <w:t>שהוא אור שאין בו תפיסא ואחיזה כנ״ל</w:t>
      </w:r>
      <w:r w:rsidRPr="007128D2">
        <w:rPr>
          <w:rtl/>
        </w:rPr>
        <w:t xml:space="preserve">, </w:t>
      </w:r>
      <w:r>
        <w:rPr>
          <w:rFonts w:hint="cs"/>
          <w:rtl/>
        </w:rPr>
        <w:t>והיינו אור שלמעלה מגילוי</w:t>
      </w:r>
      <w:r w:rsidRPr="007128D2">
        <w:rPr>
          <w:rtl/>
        </w:rPr>
        <w:t xml:space="preserve">. </w:t>
      </w:r>
    </w:p>
    <w:p w:rsidR="00B240FE" w:rsidRPr="007128D2" w:rsidRDefault="00B240FE" w:rsidP="00F146A6">
      <w:pPr>
        <w:pStyle w:val="a3"/>
        <w:rPr>
          <w:rtl/>
        </w:rPr>
      </w:pPr>
      <w:r>
        <w:rPr>
          <w:rFonts w:hint="cs"/>
          <w:rtl/>
        </w:rPr>
        <w:t>דענין הפתיחה מורה על ענין הגילוי</w:t>
      </w:r>
      <w:r w:rsidRPr="007128D2">
        <w:rPr>
          <w:rtl/>
        </w:rPr>
        <w:t xml:space="preserve">, </w:t>
      </w:r>
      <w:r>
        <w:rPr>
          <w:rFonts w:hint="cs"/>
          <w:rtl/>
        </w:rPr>
        <w:t>והיינו בחי׳ אור פנימי שהוא מתגלה ונמשך בפנימיות</w:t>
      </w:r>
      <w:r w:rsidRPr="007128D2">
        <w:rPr>
          <w:rtl/>
        </w:rPr>
        <w:t xml:space="preserve">, </w:t>
      </w:r>
      <w:r>
        <w:rPr>
          <w:rFonts w:hint="cs"/>
          <w:rtl/>
        </w:rPr>
        <w:t>משא״כ אות סתומה מורה על זה שהאור נשאר בבחי׳ העלם ומקיף מלמעלה ואינו נפתח ומתגלה</w:t>
      </w:r>
      <w:r w:rsidRPr="007128D2">
        <w:rPr>
          <w:rtl/>
        </w:rPr>
        <w:t xml:space="preserve">, </w:t>
      </w:r>
      <w:r>
        <w:rPr>
          <w:rFonts w:hint="cs"/>
          <w:rtl/>
        </w:rPr>
        <w:t>ונמצא דאות פתוחה כדוגמת אות מ׳ פתוחה</w:t>
      </w:r>
      <w:r w:rsidRPr="007128D2">
        <w:rPr>
          <w:rtl/>
        </w:rPr>
        <w:t xml:space="preserve">, </w:t>
      </w:r>
      <w:r>
        <w:rPr>
          <w:rFonts w:hint="cs"/>
          <w:rtl/>
        </w:rPr>
        <w:t>מורה על בחי׳ אור פנימי</w:t>
      </w:r>
      <w:r w:rsidRPr="007128D2">
        <w:rPr>
          <w:rtl/>
        </w:rPr>
        <w:t xml:space="preserve">, </w:t>
      </w:r>
      <w:r>
        <w:rPr>
          <w:rFonts w:hint="cs"/>
          <w:rtl/>
        </w:rPr>
        <w:t>משא״כ אות סתומה כדוגמת אות מ׳ סתומה או אות ס׳</w:t>
      </w:r>
      <w:r w:rsidRPr="007128D2">
        <w:rPr>
          <w:rtl/>
        </w:rPr>
        <w:t xml:space="preserve">, </w:t>
      </w:r>
      <w:r>
        <w:rPr>
          <w:rFonts w:hint="cs"/>
          <w:rtl/>
        </w:rPr>
        <w:t>מורה בכללות על בחי׳ אור מקיף</w:t>
      </w:r>
      <w:r w:rsidRPr="007128D2">
        <w:rPr>
          <w:rtl/>
        </w:rPr>
        <w:t>.</w:t>
      </w:r>
    </w:p>
    <w:p w:rsidR="00B240FE" w:rsidRPr="007128D2" w:rsidRDefault="00B240FE" w:rsidP="00F146A6">
      <w:pPr>
        <w:pStyle w:val="a3"/>
        <w:rPr>
          <w:rtl/>
        </w:rPr>
      </w:pPr>
      <w:r>
        <w:rPr>
          <w:rFonts w:hint="cs"/>
          <w:rtl/>
        </w:rPr>
        <w:t>ג</w:t>
      </w:r>
      <w:r w:rsidRPr="007128D2">
        <w:rPr>
          <w:rtl/>
        </w:rPr>
        <w:t xml:space="preserve">. </w:t>
      </w:r>
      <w:r>
        <w:rPr>
          <w:rFonts w:hint="cs"/>
          <w:rtl/>
        </w:rPr>
        <w:t>אמנם בפרטיות</w:t>
      </w:r>
      <w:r w:rsidRPr="007128D2">
        <w:rPr>
          <w:rtl/>
        </w:rPr>
        <w:t xml:space="preserve">, </w:t>
      </w:r>
      <w:r>
        <w:rPr>
          <w:rFonts w:hint="cs"/>
          <w:rtl/>
        </w:rPr>
        <w:t>באור מקיף גופא</w:t>
      </w:r>
      <w:r w:rsidRPr="007128D2">
        <w:rPr>
          <w:rtl/>
        </w:rPr>
        <w:t xml:space="preserve">, </w:t>
      </w:r>
      <w:r>
        <w:rPr>
          <w:rFonts w:hint="cs"/>
          <w:rtl/>
        </w:rPr>
        <w:t>חלוקות אות מ׳ סתומה מאות ס׳</w:t>
      </w:r>
      <w:r w:rsidRPr="007128D2">
        <w:rPr>
          <w:rtl/>
        </w:rPr>
        <w:t xml:space="preserve">, </w:t>
      </w:r>
      <w:r>
        <w:rPr>
          <w:rFonts w:hint="cs"/>
          <w:rtl/>
        </w:rPr>
        <w:t>דאות מ׳ סתומה מורה על בחי׳ ״מקיף הקרוב״</w:t>
      </w:r>
      <w:r w:rsidRPr="007128D2">
        <w:rPr>
          <w:rtl/>
        </w:rPr>
        <w:t xml:space="preserve">, </w:t>
      </w:r>
      <w:r>
        <w:rPr>
          <w:rFonts w:hint="cs"/>
          <w:rtl/>
        </w:rPr>
        <w:t>משא״כ אות ס׳ שמורה על בחי׳ ״מקיף הרחוק״</w:t>
      </w:r>
      <w:r w:rsidRPr="007128D2">
        <w:rPr>
          <w:rtl/>
        </w:rPr>
        <w:t>.</w:t>
      </w:r>
    </w:p>
    <w:p w:rsidR="00B240FE" w:rsidRPr="007128D2" w:rsidRDefault="00B240FE" w:rsidP="00F146A6">
      <w:pPr>
        <w:pStyle w:val="a3"/>
        <w:rPr>
          <w:rtl/>
        </w:rPr>
      </w:pPr>
      <w:r>
        <w:rPr>
          <w:rFonts w:hint="cs"/>
          <w:rtl/>
        </w:rPr>
        <w:t>והדבר מתבטא בב׳ ענינים</w:t>
      </w:r>
      <w:r w:rsidRPr="007128D2">
        <w:rPr>
          <w:rtl/>
        </w:rPr>
        <w:t xml:space="preserve">, </w:t>
      </w:r>
      <w:r>
        <w:rPr>
          <w:rFonts w:hint="cs"/>
          <w:rtl/>
        </w:rPr>
        <w:t>הא׳ דאות מ׳ סתומה</w:t>
      </w:r>
      <w:r w:rsidRPr="007128D2">
        <w:rPr>
          <w:rtl/>
        </w:rPr>
        <w:t xml:space="preserve">, </w:t>
      </w:r>
      <w:r>
        <w:rPr>
          <w:rFonts w:hint="cs"/>
          <w:rtl/>
        </w:rPr>
        <w:t xml:space="preserve">עם היותה סתומה שמורה </w:t>
      </w:r>
      <w:r>
        <w:rPr>
          <w:rFonts w:hint="cs"/>
          <w:rtl/>
        </w:rPr>
        <w:lastRenderedPageBreak/>
        <w:t>בכללות על בחי׳ המקיף כנ״ל</w:t>
      </w:r>
      <w:r w:rsidRPr="007128D2">
        <w:rPr>
          <w:rtl/>
        </w:rPr>
        <w:t xml:space="preserve">, </w:t>
      </w:r>
      <w:r>
        <w:rPr>
          <w:rFonts w:hint="cs"/>
          <w:rtl/>
        </w:rPr>
        <w:t>הרי היא מרובעת</w:t>
      </w:r>
      <w:r w:rsidRPr="007128D2">
        <w:rPr>
          <w:rtl/>
        </w:rPr>
        <w:t xml:space="preserve">, </w:t>
      </w:r>
      <w:r>
        <w:rPr>
          <w:rFonts w:hint="cs"/>
          <w:rtl/>
        </w:rPr>
        <w:t>משא״כ אות ס׳ שהיא בצורה עגולה</w:t>
      </w:r>
      <w:r w:rsidRPr="007128D2">
        <w:rPr>
          <w:rtl/>
        </w:rPr>
        <w:t xml:space="preserve">, </w:t>
      </w:r>
      <w:r>
        <w:rPr>
          <w:rFonts w:hint="cs"/>
          <w:rtl/>
        </w:rPr>
        <w:t>ומבואר דענין הריבוע מורה על זה שהאור ״יש לו התיישבות ויש בו אחיזה קצת״ עכ״פ</w:t>
      </w:r>
      <w:r w:rsidRPr="007128D2">
        <w:rPr>
          <w:rtl/>
        </w:rPr>
        <w:t xml:space="preserve">, </w:t>
      </w:r>
      <w:r>
        <w:rPr>
          <w:rFonts w:hint="cs"/>
          <w:rtl/>
        </w:rPr>
        <w:t>והיינו משום דהריבוע מוגדר בנקודה דהתחלה וסוף</w:t>
      </w:r>
      <w:r w:rsidRPr="007128D2">
        <w:rPr>
          <w:rtl/>
        </w:rPr>
        <w:t xml:space="preserve">, </w:t>
      </w:r>
      <w:r>
        <w:rPr>
          <w:rFonts w:hint="cs"/>
          <w:rtl/>
        </w:rPr>
        <w:t>וא״כ יש בו איזשהי אחיזה ותפיסא</w:t>
      </w:r>
      <w:r w:rsidRPr="007128D2">
        <w:rPr>
          <w:rtl/>
        </w:rPr>
        <w:t xml:space="preserve">, </w:t>
      </w:r>
      <w:r>
        <w:rPr>
          <w:rFonts w:hint="cs"/>
          <w:rtl/>
        </w:rPr>
        <w:t>שניתן להגדיר עכ״פ ההתחלה והסוף של הענין</w:t>
      </w:r>
      <w:r w:rsidRPr="007128D2">
        <w:rPr>
          <w:rtl/>
        </w:rPr>
        <w:t xml:space="preserve">, </w:t>
      </w:r>
      <w:r>
        <w:rPr>
          <w:rFonts w:hint="cs"/>
          <w:rtl/>
        </w:rPr>
        <w:t>משא״כ ענין העיגול מורה על בחי׳ ״שאין בו שום אחיזה״ כלל</w:t>
      </w:r>
      <w:r w:rsidRPr="007128D2">
        <w:rPr>
          <w:rtl/>
        </w:rPr>
        <w:t xml:space="preserve">, </w:t>
      </w:r>
      <w:r>
        <w:rPr>
          <w:rFonts w:hint="cs"/>
          <w:rtl/>
        </w:rPr>
        <w:t>דוגמת הצורה העגולה שאין בה נקודה דהתחלה וסוף וממילא שהיא למעלה מתפיסא והגדרה לגמרי</w:t>
      </w:r>
      <w:r w:rsidRPr="007128D2">
        <w:rPr>
          <w:rtl/>
        </w:rPr>
        <w:t>.</w:t>
      </w:r>
    </w:p>
    <w:p w:rsidR="00B240FE" w:rsidRPr="007128D2" w:rsidRDefault="00B240FE" w:rsidP="00F146A6">
      <w:pPr>
        <w:pStyle w:val="a3"/>
        <w:rPr>
          <w:rtl/>
        </w:rPr>
      </w:pPr>
      <w:r>
        <w:rPr>
          <w:rFonts w:hint="cs"/>
          <w:rtl/>
        </w:rPr>
        <w:t>וזהו דאות מ׳ סתומה מורה על בחי׳ ״מקיף הקרוב״</w:t>
      </w:r>
      <w:r w:rsidRPr="007128D2">
        <w:rPr>
          <w:rtl/>
        </w:rPr>
        <w:t xml:space="preserve">, </w:t>
      </w:r>
      <w:r>
        <w:rPr>
          <w:rFonts w:hint="cs"/>
          <w:rtl/>
        </w:rPr>
        <w:t>דעם היותה סתומה ולמעלה מגילוי</w:t>
      </w:r>
      <w:r w:rsidRPr="007128D2">
        <w:rPr>
          <w:rtl/>
        </w:rPr>
        <w:t xml:space="preserve">, </w:t>
      </w:r>
      <w:r>
        <w:rPr>
          <w:rFonts w:hint="cs"/>
          <w:rtl/>
        </w:rPr>
        <w:t>בחי׳ אור מקיף</w:t>
      </w:r>
      <w:r w:rsidRPr="007128D2">
        <w:rPr>
          <w:rtl/>
        </w:rPr>
        <w:t xml:space="preserve">, </w:t>
      </w:r>
      <w:r>
        <w:rPr>
          <w:rFonts w:hint="cs"/>
          <w:rtl/>
        </w:rPr>
        <w:t>מ״מ יש בה איזושהי תפיסא ואחיזה</w:t>
      </w:r>
      <w:r w:rsidRPr="007128D2">
        <w:rPr>
          <w:rtl/>
        </w:rPr>
        <w:t xml:space="preserve">, </w:t>
      </w:r>
      <w:r>
        <w:rPr>
          <w:rFonts w:hint="cs"/>
          <w:rtl/>
        </w:rPr>
        <w:t>שניתן להגדיר עכ״פ הנקודה דהתחלה וסוף</w:t>
      </w:r>
      <w:r w:rsidRPr="007128D2">
        <w:rPr>
          <w:rtl/>
        </w:rPr>
        <w:t xml:space="preserve">, </w:t>
      </w:r>
      <w:r>
        <w:rPr>
          <w:rFonts w:hint="cs"/>
          <w:rtl/>
        </w:rPr>
        <w:t>משא״כ אות ס׳ שהיא בבחי׳ ״מקיף הרחוק״ שאין בה שום אחיזה כלל</w:t>
      </w:r>
      <w:r w:rsidRPr="007128D2">
        <w:rPr>
          <w:rtl/>
        </w:rPr>
        <w:t xml:space="preserve">. </w:t>
      </w:r>
    </w:p>
    <w:p w:rsidR="00B240FE" w:rsidRPr="007128D2" w:rsidRDefault="00B240FE" w:rsidP="00F146A6">
      <w:pPr>
        <w:pStyle w:val="a3"/>
        <w:rPr>
          <w:rtl/>
        </w:rPr>
      </w:pPr>
      <w:r>
        <w:rPr>
          <w:rFonts w:hint="cs"/>
          <w:rtl/>
        </w:rPr>
        <w:t>והב׳ דבאות מ׳ איכא ב׳ צורות ואופנים</w:t>
      </w:r>
      <w:r w:rsidRPr="007128D2">
        <w:rPr>
          <w:rtl/>
        </w:rPr>
        <w:t xml:space="preserve">, </w:t>
      </w:r>
      <w:r>
        <w:rPr>
          <w:rFonts w:hint="cs"/>
          <w:rtl/>
        </w:rPr>
        <w:t>מ׳ פתוחה ומ׳ סתומה</w:t>
      </w:r>
      <w:r w:rsidRPr="007128D2">
        <w:rPr>
          <w:rtl/>
        </w:rPr>
        <w:t xml:space="preserve">, </w:t>
      </w:r>
      <w:r>
        <w:rPr>
          <w:rFonts w:hint="cs"/>
          <w:rtl/>
        </w:rPr>
        <w:t>משא״כ אות ס׳ שהיא אות סתומה בלבד</w:t>
      </w:r>
      <w:r w:rsidRPr="007128D2">
        <w:rPr>
          <w:rtl/>
        </w:rPr>
        <w:t xml:space="preserve">, </w:t>
      </w:r>
      <w:r>
        <w:rPr>
          <w:rFonts w:hint="cs"/>
          <w:rtl/>
        </w:rPr>
        <w:t>וגם ענין זה מורה ומרמז על מהות החילוק שביניהן ע״ד הסוד</w:t>
      </w:r>
      <w:r w:rsidRPr="007128D2">
        <w:rPr>
          <w:rtl/>
        </w:rPr>
        <w:t xml:space="preserve">, </w:t>
      </w:r>
      <w:r>
        <w:rPr>
          <w:rFonts w:hint="cs"/>
          <w:rtl/>
        </w:rPr>
        <w:t>דאות מ׳ סתומה מורה על בחי׳ מקיף הקרוב ש״יש לו שייכות לאור פנימי</w:t>
      </w:r>
      <w:r w:rsidRPr="007128D2">
        <w:rPr>
          <w:rtl/>
        </w:rPr>
        <w:t xml:space="preserve">, </w:t>
      </w:r>
      <w:r>
        <w:rPr>
          <w:rFonts w:hint="cs"/>
          <w:rtl/>
        </w:rPr>
        <w:t>שממנו נמשך אח״כ אור פנימי״</w:t>
      </w:r>
      <w:r w:rsidRPr="007128D2">
        <w:rPr>
          <w:rtl/>
        </w:rPr>
        <w:t xml:space="preserve">, </w:t>
      </w:r>
      <w:r>
        <w:rPr>
          <w:rFonts w:hint="cs"/>
          <w:rtl/>
        </w:rPr>
        <w:t>וזהו אפוא כי מאות מ׳ סתומה ניתן להיפתח ולעשות ממנה אות מ׳ פתוחה</w:t>
      </w:r>
      <w:r w:rsidRPr="007128D2">
        <w:rPr>
          <w:rtl/>
        </w:rPr>
        <w:t xml:space="preserve">, </w:t>
      </w:r>
      <w:r>
        <w:rPr>
          <w:rFonts w:hint="cs"/>
          <w:rtl/>
        </w:rPr>
        <w:t>דענין הפתיחה מורה על ענין הגילוי וההמשכה בפנימיות כנ״ל</w:t>
      </w:r>
      <w:r w:rsidRPr="007128D2">
        <w:rPr>
          <w:rtl/>
        </w:rPr>
        <w:t xml:space="preserve">, </w:t>
      </w:r>
      <w:r>
        <w:rPr>
          <w:rFonts w:hint="cs"/>
          <w:rtl/>
        </w:rPr>
        <w:t>והיינו מה שמבחי׳ האור דמקיף הקרוב יכול לבוא ולהתגלות אח״כ אור פנימי וכנ״ל</w:t>
      </w:r>
      <w:r w:rsidRPr="007128D2">
        <w:rPr>
          <w:rtl/>
        </w:rPr>
        <w:t xml:space="preserve">. </w:t>
      </w:r>
    </w:p>
    <w:p w:rsidR="00B240FE" w:rsidRPr="007128D2" w:rsidRDefault="00B240FE" w:rsidP="00F146A6">
      <w:pPr>
        <w:pStyle w:val="a3"/>
        <w:rPr>
          <w:rtl/>
        </w:rPr>
      </w:pPr>
      <w:r>
        <w:rPr>
          <w:rFonts w:hint="cs"/>
          <w:rtl/>
        </w:rPr>
        <w:t>משא״כ אות ס׳ שמורה על בחי׳ מקיף הרחוק ש״אין לו שייכות להאור פנימי</w:t>
      </w:r>
      <w:r w:rsidRPr="007128D2">
        <w:rPr>
          <w:rtl/>
        </w:rPr>
        <w:t xml:space="preserve">, </w:t>
      </w:r>
      <w:r>
        <w:rPr>
          <w:rFonts w:hint="cs"/>
          <w:rtl/>
        </w:rPr>
        <w:t>שלא נמשך ממנו אור פנימי״</w:t>
      </w:r>
      <w:r w:rsidRPr="007128D2">
        <w:rPr>
          <w:rtl/>
        </w:rPr>
        <w:t xml:space="preserve">, </w:t>
      </w:r>
      <w:r>
        <w:rPr>
          <w:rFonts w:hint="cs"/>
          <w:rtl/>
        </w:rPr>
        <w:t>וענין זה מתבטא ונרמז בצורת האות ס׳ ש״הוא סתום לעולם״</w:t>
      </w:r>
      <w:r w:rsidRPr="007128D2">
        <w:rPr>
          <w:rtl/>
        </w:rPr>
        <w:t xml:space="preserve">, </w:t>
      </w:r>
      <w:r>
        <w:rPr>
          <w:rFonts w:hint="cs"/>
          <w:rtl/>
        </w:rPr>
        <w:t>והיינו שלא ניתן להיפתח ולהתגלות ולבוא בפנימיות לעולם</w:t>
      </w:r>
      <w:r w:rsidRPr="007128D2">
        <w:rPr>
          <w:rtl/>
        </w:rPr>
        <w:t>.</w:t>
      </w:r>
    </w:p>
    <w:p w:rsidR="00B240FE" w:rsidRPr="007128D2" w:rsidRDefault="00B240FE" w:rsidP="00F146A6">
      <w:pPr>
        <w:pStyle w:val="11"/>
        <w:bidi/>
        <w:rPr>
          <w:rtl/>
        </w:rPr>
      </w:pPr>
      <w:r w:rsidRPr="007128D2">
        <w:rPr>
          <w:rFonts w:hint="cs"/>
          <w:rtl/>
        </w:rPr>
        <w:t>שורש נשמתם דאביי ורבא</w:t>
      </w:r>
    </w:p>
    <w:p w:rsidR="00B240FE" w:rsidRPr="007128D2" w:rsidRDefault="00B240FE" w:rsidP="00F146A6">
      <w:pPr>
        <w:pStyle w:val="a3"/>
        <w:rPr>
          <w:rtl/>
        </w:rPr>
      </w:pPr>
      <w:r>
        <w:rPr>
          <w:rFonts w:hint="cs"/>
          <w:rtl/>
        </w:rPr>
        <w:t>ד</w:t>
      </w:r>
      <w:r w:rsidRPr="007128D2">
        <w:rPr>
          <w:rtl/>
        </w:rPr>
        <w:t xml:space="preserve">. </w:t>
      </w:r>
      <w:r>
        <w:rPr>
          <w:rFonts w:hint="cs"/>
          <w:rtl/>
        </w:rPr>
        <w:t>וביסוד הדברים מבאר הרלוי״צ זצ״ל דזהו יסוד החילוק דאביי ורבא במהותם ומדריגתם ע״ד הסוד</w:t>
      </w:r>
      <w:r w:rsidRPr="007128D2">
        <w:rPr>
          <w:rtl/>
        </w:rPr>
        <w:t xml:space="preserve">, </w:t>
      </w:r>
      <w:r>
        <w:rPr>
          <w:rFonts w:hint="cs"/>
          <w:rtl/>
        </w:rPr>
        <w:t>וזלה״ק שם ״והנה אביי שייך לבחי׳ מקיף הרחוק</w:t>
      </w:r>
      <w:r w:rsidRPr="007128D2">
        <w:rPr>
          <w:rtl/>
        </w:rPr>
        <w:t xml:space="preserve">, </w:t>
      </w:r>
      <w:r>
        <w:rPr>
          <w:rFonts w:hint="cs"/>
          <w:rtl/>
        </w:rPr>
        <w:t>אות ס׳ שהוא עגול</w:t>
      </w:r>
      <w:r w:rsidRPr="007128D2">
        <w:rPr>
          <w:rtl/>
        </w:rPr>
        <w:t xml:space="preserve">, </w:t>
      </w:r>
      <w:r>
        <w:rPr>
          <w:rFonts w:hint="cs"/>
          <w:rtl/>
        </w:rPr>
        <w:t>ורבא שייך לבחי׳ מקיף הקרוב</w:t>
      </w:r>
      <w:r w:rsidRPr="007128D2">
        <w:rPr>
          <w:rtl/>
        </w:rPr>
        <w:t xml:space="preserve">, </w:t>
      </w:r>
      <w:r>
        <w:rPr>
          <w:rFonts w:hint="cs"/>
          <w:rtl/>
        </w:rPr>
        <w:t>אות מ׳ שהוא מרובע״</w:t>
      </w:r>
      <w:r w:rsidRPr="007128D2">
        <w:rPr>
          <w:rtl/>
        </w:rPr>
        <w:t xml:space="preserve">, </w:t>
      </w:r>
      <w:r>
        <w:rPr>
          <w:rFonts w:hint="cs"/>
          <w:rtl/>
        </w:rPr>
        <w:t>והיינו דשורש נשמת אביי היה מבחי׳ ״מקיף הרחוק״ ושורש נשמת רבא היה מבחי׳ ״מקיף הקרוב״</w:t>
      </w:r>
      <w:r w:rsidRPr="004820B2">
        <w:rPr>
          <w:vertAlign w:val="superscript"/>
        </w:rPr>
        <w:footnoteReference w:id="168"/>
      </w:r>
      <w:r w:rsidRPr="007128D2">
        <w:rPr>
          <w:rtl/>
        </w:rPr>
        <w:t>.</w:t>
      </w:r>
    </w:p>
    <w:p w:rsidR="00B240FE" w:rsidRPr="007128D2" w:rsidRDefault="00B240FE" w:rsidP="00F146A6">
      <w:pPr>
        <w:pStyle w:val="a3"/>
        <w:rPr>
          <w:rtl/>
        </w:rPr>
      </w:pPr>
      <w:r>
        <w:rPr>
          <w:rFonts w:hint="cs"/>
          <w:rtl/>
        </w:rPr>
        <w:lastRenderedPageBreak/>
        <w:t>ומביא הרלוי״צ זצ״ל ב׳ הוכחות לזה ממאורעות חייהם דאביי ורבא באגדה</w:t>
      </w:r>
      <w:r w:rsidRPr="007128D2">
        <w:rPr>
          <w:rtl/>
        </w:rPr>
        <w:t xml:space="preserve">, </w:t>
      </w:r>
      <w:r>
        <w:rPr>
          <w:rFonts w:hint="cs"/>
          <w:rtl/>
        </w:rPr>
        <w:t>הא׳ מסיפור ימי ילדותם והב׳ ממספר שנות חייהם</w:t>
      </w:r>
      <w:r w:rsidRPr="007128D2">
        <w:rPr>
          <w:rtl/>
        </w:rPr>
        <w:t xml:space="preserve">, </w:t>
      </w:r>
      <w:r>
        <w:rPr>
          <w:rFonts w:hint="cs"/>
          <w:rtl/>
        </w:rPr>
        <w:t>דהנה איתא בברכות מח</w:t>
      </w:r>
      <w:r w:rsidRPr="007128D2">
        <w:rPr>
          <w:rtl/>
        </w:rPr>
        <w:t xml:space="preserve">, </w:t>
      </w:r>
      <w:r>
        <w:rPr>
          <w:rFonts w:hint="cs"/>
          <w:rtl/>
        </w:rPr>
        <w:t>א</w:t>
      </w:r>
      <w:r w:rsidRPr="004820B2">
        <w:rPr>
          <w:vertAlign w:val="superscript"/>
        </w:rPr>
        <w:footnoteReference w:id="169"/>
      </w:r>
      <w:r w:rsidRPr="004820B2">
        <w:rPr>
          <w:rFonts w:hint="cs"/>
          <w:vertAlign w:val="superscript"/>
          <w:rtl/>
        </w:rPr>
        <w:t xml:space="preserve"> </w:t>
      </w:r>
      <w:r>
        <w:rPr>
          <w:rFonts w:hint="cs"/>
          <w:rtl/>
        </w:rPr>
        <w:t>״אביי ורבא הוו יתבי קמיה דרבה</w:t>
      </w:r>
      <w:r w:rsidRPr="007128D2">
        <w:rPr>
          <w:rtl/>
        </w:rPr>
        <w:t>,</w:t>
      </w:r>
      <w:r>
        <w:rPr>
          <w:rFonts w:hint="cs"/>
          <w:rtl/>
        </w:rPr>
        <w:t xml:space="preserve"> אמר להו רבה למי מברכין</w:t>
      </w:r>
      <w:r w:rsidRPr="007128D2">
        <w:rPr>
          <w:rtl/>
        </w:rPr>
        <w:t>,</w:t>
      </w:r>
      <w:r>
        <w:rPr>
          <w:rFonts w:hint="cs"/>
          <w:rtl/>
        </w:rPr>
        <w:t xml:space="preserve"> אמרי ליה לרחמנא</w:t>
      </w:r>
      <w:r w:rsidRPr="007128D2">
        <w:rPr>
          <w:rtl/>
        </w:rPr>
        <w:t>,</w:t>
      </w:r>
      <w:r>
        <w:rPr>
          <w:rFonts w:hint="cs"/>
          <w:rtl/>
        </w:rPr>
        <w:t xml:space="preserve"> ורחמנא היכא יתיב</w:t>
      </w:r>
      <w:r w:rsidRPr="007128D2">
        <w:rPr>
          <w:rtl/>
        </w:rPr>
        <w:t>,</w:t>
      </w:r>
      <w:r>
        <w:rPr>
          <w:rFonts w:hint="cs"/>
          <w:rtl/>
        </w:rPr>
        <w:t xml:space="preserve"> רבא אחוי לשמי טללא</w:t>
      </w:r>
      <w:r w:rsidRPr="007128D2">
        <w:rPr>
          <w:rtl/>
        </w:rPr>
        <w:t>,</w:t>
      </w:r>
      <w:r>
        <w:rPr>
          <w:rFonts w:hint="cs"/>
          <w:rtl/>
        </w:rPr>
        <w:t xml:space="preserve"> אביי נפק לברא אחוי כלפי שמיא</w:t>
      </w:r>
      <w:r w:rsidRPr="007128D2">
        <w:rPr>
          <w:rtl/>
        </w:rPr>
        <w:t>,</w:t>
      </w:r>
      <w:r>
        <w:rPr>
          <w:rFonts w:hint="cs"/>
          <w:rtl/>
        </w:rPr>
        <w:t xml:space="preserve"> אמר להו רבה תרווייכו רבנן הויתו</w:t>
      </w:r>
      <w:r w:rsidRPr="007128D2">
        <w:rPr>
          <w:rtl/>
        </w:rPr>
        <w:t>,</w:t>
      </w:r>
      <w:r>
        <w:rPr>
          <w:rFonts w:hint="cs"/>
          <w:rtl/>
        </w:rPr>
        <w:t xml:space="preserve"> היינו דאמרי אינשי בוצין בוצין מקטפיה ידיע״</w:t>
      </w:r>
      <w:r w:rsidRPr="007128D2">
        <w:rPr>
          <w:rtl/>
        </w:rPr>
        <w:t xml:space="preserve">. </w:t>
      </w:r>
    </w:p>
    <w:p w:rsidR="00B240FE" w:rsidRPr="007128D2" w:rsidRDefault="00B240FE" w:rsidP="00F146A6">
      <w:pPr>
        <w:pStyle w:val="a3"/>
        <w:rPr>
          <w:rtl/>
        </w:rPr>
      </w:pPr>
      <w:r>
        <w:rPr>
          <w:rFonts w:hint="cs"/>
          <w:rtl/>
        </w:rPr>
        <w:t>ומבואר דעל שאלת רבה</w:t>
      </w:r>
      <w:r w:rsidRPr="007128D2">
        <w:rPr>
          <w:rtl/>
        </w:rPr>
        <w:t xml:space="preserve">, </w:t>
      </w:r>
      <w:r>
        <w:rPr>
          <w:rFonts w:hint="cs"/>
          <w:rtl/>
        </w:rPr>
        <w:t>רבם של אביי ורבא</w:t>
      </w:r>
      <w:r w:rsidRPr="007128D2">
        <w:rPr>
          <w:rtl/>
        </w:rPr>
        <w:t xml:space="preserve">, </w:t>
      </w:r>
      <w:r>
        <w:rPr>
          <w:rFonts w:hint="cs"/>
          <w:rtl/>
        </w:rPr>
        <w:t>״למי מברכין וכו׳ ורחמנא היכא יתיב״</w:t>
      </w:r>
      <w:r w:rsidRPr="007128D2">
        <w:rPr>
          <w:rtl/>
        </w:rPr>
        <w:t xml:space="preserve">, </w:t>
      </w:r>
      <w:r>
        <w:rPr>
          <w:rFonts w:hint="cs"/>
          <w:rtl/>
        </w:rPr>
        <w:t>השיבו בב׳ אופנים</w:t>
      </w:r>
      <w:r w:rsidRPr="007128D2">
        <w:rPr>
          <w:rtl/>
        </w:rPr>
        <w:t xml:space="preserve">, </w:t>
      </w:r>
      <w:r>
        <w:rPr>
          <w:rFonts w:hint="cs"/>
          <w:rtl/>
        </w:rPr>
        <w:t>דרבא הראה והצביע על תקרת הבית</w:t>
      </w:r>
      <w:r w:rsidRPr="007128D2">
        <w:rPr>
          <w:rtl/>
        </w:rPr>
        <w:t xml:space="preserve">, </w:t>
      </w:r>
      <w:r>
        <w:rPr>
          <w:rFonts w:hint="cs"/>
          <w:rtl/>
        </w:rPr>
        <w:t>משא״כ אביי יצא החוצה והראה על השמים</w:t>
      </w:r>
      <w:r w:rsidRPr="007128D2">
        <w:rPr>
          <w:rtl/>
        </w:rPr>
        <w:t xml:space="preserve">. </w:t>
      </w:r>
      <w:r>
        <w:rPr>
          <w:rFonts w:hint="cs"/>
          <w:rtl/>
        </w:rPr>
        <w:t>ולכאורה לפי פשוטו צ״ב</w:t>
      </w:r>
      <w:r w:rsidRPr="007128D2">
        <w:rPr>
          <w:rtl/>
        </w:rPr>
        <w:t xml:space="preserve">, </w:t>
      </w:r>
      <w:r>
        <w:rPr>
          <w:rFonts w:hint="cs"/>
          <w:rtl/>
        </w:rPr>
        <w:t>מהו יסוד החילוק בזה בין אביי לרבא</w:t>
      </w:r>
      <w:r w:rsidRPr="007128D2">
        <w:rPr>
          <w:rtl/>
        </w:rPr>
        <w:t xml:space="preserve">, </w:t>
      </w:r>
      <w:r>
        <w:rPr>
          <w:rFonts w:hint="cs"/>
          <w:rtl/>
        </w:rPr>
        <w:t>ומדוע נטה רבא להראות על תקרת הבית ואביי לשמים דווקא וצ״ב</w:t>
      </w:r>
      <w:r w:rsidRPr="004820B2">
        <w:rPr>
          <w:vertAlign w:val="superscript"/>
        </w:rPr>
        <w:footnoteReference w:id="170"/>
      </w:r>
      <w:r w:rsidRPr="007128D2">
        <w:rPr>
          <w:rtl/>
        </w:rPr>
        <w:t>.</w:t>
      </w:r>
    </w:p>
    <w:p w:rsidR="00B240FE" w:rsidRPr="007128D2" w:rsidRDefault="00B240FE" w:rsidP="00F146A6">
      <w:pPr>
        <w:pStyle w:val="11"/>
        <w:bidi/>
        <w:rPr>
          <w:rtl/>
        </w:rPr>
      </w:pPr>
      <w:r w:rsidRPr="007128D2">
        <w:rPr>
          <w:rFonts w:hint="cs"/>
          <w:rtl/>
        </w:rPr>
        <w:t>תקרת הבית או השמים</w:t>
      </w:r>
    </w:p>
    <w:p w:rsidR="00B240FE" w:rsidRPr="007128D2" w:rsidRDefault="00B240FE" w:rsidP="00F146A6">
      <w:pPr>
        <w:pStyle w:val="a3"/>
        <w:rPr>
          <w:rtl/>
        </w:rPr>
      </w:pPr>
      <w:r>
        <w:rPr>
          <w:rFonts w:hint="cs"/>
          <w:rtl/>
        </w:rPr>
        <w:t>ה</w:t>
      </w:r>
      <w:r w:rsidRPr="007128D2">
        <w:rPr>
          <w:rtl/>
        </w:rPr>
        <w:t xml:space="preserve">. </w:t>
      </w:r>
      <w:r>
        <w:rPr>
          <w:rFonts w:hint="cs"/>
          <w:rtl/>
        </w:rPr>
        <w:t xml:space="preserve">ומבאר הרלוי״צ זצ״ל דמענתם של אביי ורבא בזה נעוצה ויסודה במהותם </w:t>
      </w:r>
      <w:r>
        <w:rPr>
          <w:rFonts w:hint="cs"/>
          <w:rtl/>
        </w:rPr>
        <w:lastRenderedPageBreak/>
        <w:t xml:space="preserve">ומדריגתם </w:t>
      </w:r>
      <w:r w:rsidRPr="007128D2">
        <w:rPr>
          <w:rtl/>
        </w:rPr>
        <w:t xml:space="preserve">– </w:t>
      </w:r>
      <w:r>
        <w:rPr>
          <w:rFonts w:hint="cs"/>
          <w:rtl/>
        </w:rPr>
        <w:t xml:space="preserve">ב״לשיטתייהו״ שלהם </w:t>
      </w:r>
      <w:r w:rsidRPr="007128D2">
        <w:rPr>
          <w:rtl/>
        </w:rPr>
        <w:t xml:space="preserve">– </w:t>
      </w:r>
      <w:r>
        <w:rPr>
          <w:rFonts w:hint="cs"/>
          <w:rtl/>
        </w:rPr>
        <w:t>ע״ד הסוד</w:t>
      </w:r>
      <w:r w:rsidRPr="007128D2">
        <w:rPr>
          <w:rtl/>
        </w:rPr>
        <w:t xml:space="preserve">, </w:t>
      </w:r>
      <w:r>
        <w:rPr>
          <w:rFonts w:hint="cs"/>
          <w:rtl/>
        </w:rPr>
        <w:t>וזלה״ק שם עמ׳ קלט ״הרי רבא אחוי לתקרת הבית שהוא מקיף הקרוב</w:t>
      </w:r>
      <w:r w:rsidRPr="007128D2">
        <w:rPr>
          <w:rtl/>
        </w:rPr>
        <w:t xml:space="preserve">, </w:t>
      </w:r>
      <w:r>
        <w:rPr>
          <w:rFonts w:hint="cs"/>
          <w:rtl/>
        </w:rPr>
        <w:t xml:space="preserve">ובית בכלל הוא מרובע </w:t>
      </w:r>
      <w:r w:rsidRPr="007128D2">
        <w:rPr>
          <w:rtl/>
        </w:rPr>
        <w:t>(</w:t>
      </w:r>
      <w:r>
        <w:rPr>
          <w:rFonts w:hint="cs"/>
          <w:rtl/>
        </w:rPr>
        <w:t>וכמו לענין נגעי בתים צ״ל שהבית יהי׳ מרובע</w:t>
      </w:r>
      <w:r w:rsidRPr="007128D2">
        <w:rPr>
          <w:rtl/>
        </w:rPr>
        <w:t xml:space="preserve">, </w:t>
      </w:r>
      <w:r>
        <w:rPr>
          <w:rFonts w:hint="cs"/>
          <w:rtl/>
        </w:rPr>
        <w:t>כדאיתא בנגעים רפי״ב ע״ש</w:t>
      </w:r>
      <w:r w:rsidRPr="007128D2">
        <w:rPr>
          <w:rtl/>
        </w:rPr>
        <w:t xml:space="preserve">), </w:t>
      </w:r>
      <w:r>
        <w:rPr>
          <w:rFonts w:hint="cs"/>
          <w:rtl/>
        </w:rPr>
        <w:t>והיינו כמו המקיף דמ׳ סתומה</w:t>
      </w:r>
      <w:r w:rsidRPr="007128D2">
        <w:rPr>
          <w:rtl/>
        </w:rPr>
        <w:t>.</w:t>
      </w:r>
    </w:p>
    <w:p w:rsidR="00B240FE" w:rsidRPr="007128D2" w:rsidRDefault="00B240FE" w:rsidP="00F146A6">
      <w:pPr>
        <w:pStyle w:val="a3"/>
        <w:rPr>
          <w:rtl/>
        </w:rPr>
      </w:pPr>
      <w:r>
        <w:rPr>
          <w:rFonts w:hint="cs"/>
          <w:rtl/>
        </w:rPr>
        <w:t>ואביי אחוי כלפי שמיא</w:t>
      </w:r>
      <w:r w:rsidRPr="007128D2">
        <w:rPr>
          <w:rtl/>
        </w:rPr>
        <w:t xml:space="preserve">, </w:t>
      </w:r>
      <w:r>
        <w:rPr>
          <w:rFonts w:hint="cs"/>
          <w:rtl/>
        </w:rPr>
        <w:t>מה ששמים הוא בחי׳ מקיף</w:t>
      </w:r>
      <w:r w:rsidRPr="007128D2">
        <w:rPr>
          <w:rtl/>
        </w:rPr>
        <w:t xml:space="preserve">, </w:t>
      </w:r>
      <w:r>
        <w:rPr>
          <w:rFonts w:hint="cs"/>
          <w:rtl/>
        </w:rPr>
        <w:t>מובן שהוא בחי׳ מקיף הרחוק</w:t>
      </w:r>
      <w:r w:rsidRPr="007128D2">
        <w:rPr>
          <w:rtl/>
        </w:rPr>
        <w:t xml:space="preserve">, </w:t>
      </w:r>
      <w:r>
        <w:rPr>
          <w:rFonts w:hint="cs"/>
          <w:rtl/>
        </w:rPr>
        <w:t xml:space="preserve">כמ״ש </w:t>
      </w:r>
      <w:r w:rsidRPr="007128D2">
        <w:rPr>
          <w:rtl/>
        </w:rPr>
        <w:t>(</w:t>
      </w:r>
      <w:r>
        <w:rPr>
          <w:rFonts w:hint="cs"/>
          <w:rtl/>
        </w:rPr>
        <w:t>משלי כה</w:t>
      </w:r>
      <w:r w:rsidRPr="007128D2">
        <w:rPr>
          <w:rtl/>
        </w:rPr>
        <w:t xml:space="preserve">, </w:t>
      </w:r>
      <w:r>
        <w:rPr>
          <w:rFonts w:hint="cs"/>
          <w:rtl/>
        </w:rPr>
        <w:t>ג</w:t>
      </w:r>
      <w:r w:rsidRPr="007128D2">
        <w:rPr>
          <w:rtl/>
        </w:rPr>
        <w:t xml:space="preserve">) </w:t>
      </w:r>
      <w:r>
        <w:rPr>
          <w:rFonts w:hint="cs"/>
          <w:rtl/>
        </w:rPr>
        <w:t>שמים לרום</w:t>
      </w:r>
      <w:r w:rsidRPr="007128D2">
        <w:rPr>
          <w:rtl/>
        </w:rPr>
        <w:t xml:space="preserve">, </w:t>
      </w:r>
      <w:r>
        <w:rPr>
          <w:rFonts w:hint="cs"/>
          <w:rtl/>
        </w:rPr>
        <w:t xml:space="preserve">וכתיב </w:t>
      </w:r>
      <w:r w:rsidRPr="007128D2">
        <w:rPr>
          <w:rtl/>
        </w:rPr>
        <w:t>(</w:t>
      </w:r>
      <w:r>
        <w:rPr>
          <w:rFonts w:hint="cs"/>
          <w:rtl/>
        </w:rPr>
        <w:t>תהלים קג</w:t>
      </w:r>
      <w:r w:rsidRPr="007128D2">
        <w:rPr>
          <w:rtl/>
        </w:rPr>
        <w:t xml:space="preserve">, </w:t>
      </w:r>
      <w:r>
        <w:rPr>
          <w:rFonts w:hint="cs"/>
          <w:rtl/>
        </w:rPr>
        <w:t>יא</w:t>
      </w:r>
      <w:r w:rsidRPr="007128D2">
        <w:rPr>
          <w:rtl/>
        </w:rPr>
        <w:t xml:space="preserve">) </w:t>
      </w:r>
      <w:r>
        <w:rPr>
          <w:rFonts w:hint="cs"/>
          <w:rtl/>
        </w:rPr>
        <w:t>כגבוה שמים על הארץ</w:t>
      </w:r>
      <w:r w:rsidRPr="007128D2">
        <w:rPr>
          <w:rtl/>
        </w:rPr>
        <w:t xml:space="preserve">, </w:t>
      </w:r>
      <w:r>
        <w:rPr>
          <w:rFonts w:hint="cs"/>
          <w:rtl/>
        </w:rPr>
        <w:t>ושמים הם עיגולים</w:t>
      </w:r>
      <w:r w:rsidRPr="007128D2">
        <w:rPr>
          <w:rtl/>
        </w:rPr>
        <w:t xml:space="preserve">, </w:t>
      </w:r>
      <w:r>
        <w:rPr>
          <w:rFonts w:hint="cs"/>
          <w:rtl/>
        </w:rPr>
        <w:t>היינו כמו אות ס׳ הסתום שהוא עגול״</w:t>
      </w:r>
      <w:r w:rsidRPr="007128D2">
        <w:rPr>
          <w:rtl/>
        </w:rPr>
        <w:t xml:space="preserve">, </w:t>
      </w:r>
      <w:r>
        <w:rPr>
          <w:rFonts w:hint="cs"/>
          <w:rtl/>
        </w:rPr>
        <w:t>עכלה״ק</w:t>
      </w:r>
      <w:r w:rsidRPr="004820B2">
        <w:rPr>
          <w:vertAlign w:val="superscript"/>
        </w:rPr>
        <w:footnoteReference w:id="171"/>
      </w:r>
      <w:r w:rsidRPr="007128D2">
        <w:rPr>
          <w:rtl/>
        </w:rPr>
        <w:t>.</w:t>
      </w:r>
    </w:p>
    <w:p w:rsidR="00B240FE" w:rsidRPr="007128D2" w:rsidRDefault="00B240FE" w:rsidP="00F146A6">
      <w:pPr>
        <w:pStyle w:val="a3"/>
        <w:rPr>
          <w:rtl/>
        </w:rPr>
      </w:pPr>
      <w:r>
        <w:rPr>
          <w:rFonts w:hint="cs"/>
          <w:rtl/>
        </w:rPr>
        <w:t>כלומר</w:t>
      </w:r>
      <w:r w:rsidRPr="007128D2">
        <w:rPr>
          <w:rtl/>
        </w:rPr>
        <w:t xml:space="preserve">, </w:t>
      </w:r>
      <w:r>
        <w:rPr>
          <w:rFonts w:hint="cs"/>
          <w:rtl/>
        </w:rPr>
        <w:t>בחי׳ בית בכלל מורה על בחי׳ אור מקיף</w:t>
      </w:r>
      <w:r w:rsidRPr="007128D2">
        <w:rPr>
          <w:rtl/>
        </w:rPr>
        <w:t xml:space="preserve">, </w:t>
      </w:r>
      <w:r>
        <w:rPr>
          <w:rFonts w:hint="cs"/>
          <w:rtl/>
        </w:rPr>
        <w:t>שכן בשונה מלבוש האדם</w:t>
      </w:r>
      <w:r w:rsidRPr="007128D2">
        <w:rPr>
          <w:rtl/>
        </w:rPr>
        <w:t xml:space="preserve">, </w:t>
      </w:r>
      <w:r>
        <w:rPr>
          <w:rFonts w:hint="cs"/>
          <w:rtl/>
        </w:rPr>
        <w:t>הרי אין הבית נמדד ומותאם בהתאם למדת גופו של אדם</w:t>
      </w:r>
      <w:r w:rsidRPr="007128D2">
        <w:rPr>
          <w:rtl/>
        </w:rPr>
        <w:t xml:space="preserve">, </w:t>
      </w:r>
      <w:r>
        <w:rPr>
          <w:rFonts w:hint="cs"/>
          <w:rtl/>
        </w:rPr>
        <w:t>אלא הבית מקיף על האדם</w:t>
      </w:r>
      <w:r w:rsidRPr="007128D2">
        <w:rPr>
          <w:rtl/>
        </w:rPr>
        <w:t xml:space="preserve">, </w:t>
      </w:r>
      <w:r>
        <w:rPr>
          <w:rFonts w:hint="cs"/>
          <w:rtl/>
        </w:rPr>
        <w:t>אמנם לאידך הרי בשונה מהשמים</w:t>
      </w:r>
      <w:r w:rsidRPr="007128D2">
        <w:rPr>
          <w:rtl/>
        </w:rPr>
        <w:t xml:space="preserve">, </w:t>
      </w:r>
      <w:r>
        <w:rPr>
          <w:rFonts w:hint="cs"/>
          <w:rtl/>
        </w:rPr>
        <w:t>מקיף הבית הוא קרוב להאדם</w:t>
      </w:r>
      <w:r w:rsidRPr="007128D2">
        <w:rPr>
          <w:rtl/>
        </w:rPr>
        <w:t xml:space="preserve">, </w:t>
      </w:r>
      <w:r>
        <w:rPr>
          <w:rFonts w:hint="cs"/>
          <w:rtl/>
        </w:rPr>
        <w:t>משא״כ מקיף השמים שהוא מקיף נעלה וגבוה יותר ממקיף הבית</w:t>
      </w:r>
      <w:r w:rsidRPr="007128D2">
        <w:rPr>
          <w:rtl/>
        </w:rPr>
        <w:t xml:space="preserve">, </w:t>
      </w:r>
      <w:r>
        <w:rPr>
          <w:rFonts w:hint="cs"/>
          <w:rtl/>
        </w:rPr>
        <w:t>והרי הוא רחוק מהאדם</w:t>
      </w:r>
      <w:r w:rsidRPr="007128D2">
        <w:rPr>
          <w:rtl/>
        </w:rPr>
        <w:t xml:space="preserve">, </w:t>
      </w:r>
      <w:r>
        <w:rPr>
          <w:rFonts w:hint="cs"/>
          <w:rtl/>
        </w:rPr>
        <w:t>וזהו שענין תקרת הבית מורה</w:t>
      </w:r>
      <w:r w:rsidRPr="007128D2">
        <w:t xml:space="preserve"> </w:t>
      </w:r>
      <w:r>
        <w:rPr>
          <w:rFonts w:hint="cs"/>
          <w:rtl/>
        </w:rPr>
        <w:t>על בחי׳ ״מקיף הקרוב״</w:t>
      </w:r>
      <w:r w:rsidRPr="007128D2">
        <w:rPr>
          <w:rtl/>
        </w:rPr>
        <w:t xml:space="preserve">, </w:t>
      </w:r>
      <w:r>
        <w:rPr>
          <w:rFonts w:hint="cs"/>
          <w:rtl/>
        </w:rPr>
        <w:t>משא״כ השמים מורים על בחי׳ ״מקיף הרחוק״</w:t>
      </w:r>
      <w:r w:rsidRPr="007128D2">
        <w:rPr>
          <w:rtl/>
        </w:rPr>
        <w:t>.</w:t>
      </w:r>
    </w:p>
    <w:p w:rsidR="00B240FE" w:rsidRPr="007128D2" w:rsidRDefault="00B240FE" w:rsidP="00F146A6">
      <w:pPr>
        <w:pStyle w:val="a3"/>
        <w:rPr>
          <w:rtl/>
        </w:rPr>
      </w:pPr>
      <w:r>
        <w:rPr>
          <w:rFonts w:hint="cs"/>
          <w:rtl/>
        </w:rPr>
        <w:t>זאת ועוד</w:t>
      </w:r>
      <w:r w:rsidRPr="007128D2">
        <w:rPr>
          <w:rtl/>
        </w:rPr>
        <w:t xml:space="preserve">, </w:t>
      </w:r>
      <w:r>
        <w:rPr>
          <w:rFonts w:hint="cs"/>
          <w:rtl/>
        </w:rPr>
        <w:t>שתי בחי׳ אלו דמקיף הקרוב ומקיף הרחוק מתבטאות גם בצורתם של הבית והשמים</w:t>
      </w:r>
      <w:r w:rsidRPr="007128D2">
        <w:rPr>
          <w:rtl/>
        </w:rPr>
        <w:t xml:space="preserve">, </w:t>
      </w:r>
      <w:r>
        <w:rPr>
          <w:rFonts w:hint="cs"/>
          <w:rtl/>
        </w:rPr>
        <w:t>דהנה צורת הבית היא בדרך כלל מרובעת</w:t>
      </w:r>
      <w:r w:rsidRPr="007128D2">
        <w:rPr>
          <w:rtl/>
        </w:rPr>
        <w:t xml:space="preserve">, </w:t>
      </w:r>
      <w:r>
        <w:rPr>
          <w:rFonts w:hint="cs"/>
          <w:rtl/>
        </w:rPr>
        <w:t>וכ״ה גם בהלכה</w:t>
      </w:r>
      <w:r w:rsidRPr="007128D2">
        <w:rPr>
          <w:rtl/>
        </w:rPr>
        <w:t xml:space="preserve">, </w:t>
      </w:r>
      <w:r>
        <w:rPr>
          <w:rFonts w:hint="cs"/>
          <w:rtl/>
        </w:rPr>
        <w:t>וכדתנן בנגעים פי״ב מ״א ״בית עגול וכו׳ אינו מטמא בנגעים</w:t>
      </w:r>
      <w:r w:rsidRPr="007128D2">
        <w:rPr>
          <w:rtl/>
        </w:rPr>
        <w:t xml:space="preserve">, </w:t>
      </w:r>
      <w:r>
        <w:rPr>
          <w:rFonts w:hint="cs"/>
          <w:rtl/>
        </w:rPr>
        <w:t>ואם היה מרובע כו׳ מטמא״</w:t>
      </w:r>
      <w:r w:rsidRPr="007128D2">
        <w:rPr>
          <w:rtl/>
        </w:rPr>
        <w:t xml:space="preserve">, </w:t>
      </w:r>
      <w:r>
        <w:rPr>
          <w:rFonts w:hint="cs"/>
          <w:rtl/>
        </w:rPr>
        <w:t>הרי שגדר ״בית״</w:t>
      </w:r>
      <w:r w:rsidRPr="007128D2">
        <w:t xml:space="preserve"> </w:t>
      </w:r>
      <w:r>
        <w:rPr>
          <w:rFonts w:hint="cs"/>
          <w:rtl/>
        </w:rPr>
        <w:t>בהלכה הוא דווקא בבית מרובע</w:t>
      </w:r>
      <w:r w:rsidRPr="007128D2">
        <w:rPr>
          <w:rtl/>
        </w:rPr>
        <w:t xml:space="preserve">, </w:t>
      </w:r>
      <w:r>
        <w:rPr>
          <w:rFonts w:hint="cs"/>
          <w:rtl/>
        </w:rPr>
        <w:t>משא״כ השמים הרי הם עיגוליים</w:t>
      </w:r>
      <w:r w:rsidRPr="007128D2">
        <w:rPr>
          <w:rtl/>
        </w:rPr>
        <w:t xml:space="preserve">. </w:t>
      </w:r>
    </w:p>
    <w:p w:rsidR="00B240FE" w:rsidRPr="007128D2" w:rsidRDefault="00B240FE" w:rsidP="00F146A6">
      <w:pPr>
        <w:pStyle w:val="a3"/>
        <w:rPr>
          <w:rtl/>
        </w:rPr>
      </w:pPr>
      <w:r>
        <w:rPr>
          <w:rFonts w:hint="cs"/>
          <w:rtl/>
        </w:rPr>
        <w:t>ולהמבואר הרי צורת הריבוע שיש בו נקודה דהתחלה וסוף</w:t>
      </w:r>
      <w:r w:rsidRPr="007128D2">
        <w:rPr>
          <w:rtl/>
        </w:rPr>
        <w:t xml:space="preserve">, </w:t>
      </w:r>
      <w:r>
        <w:rPr>
          <w:rFonts w:hint="cs"/>
          <w:rtl/>
        </w:rPr>
        <w:t>מורה על בחי׳ מקיף הקרוב</w:t>
      </w:r>
      <w:r w:rsidRPr="007128D2">
        <w:rPr>
          <w:rtl/>
        </w:rPr>
        <w:t xml:space="preserve">, </w:t>
      </w:r>
      <w:r>
        <w:rPr>
          <w:rFonts w:hint="cs"/>
          <w:rtl/>
        </w:rPr>
        <w:t>ש״יש לו התיישבות ויש בו אחיזה קצת״ עכ״פ</w:t>
      </w:r>
      <w:r w:rsidRPr="007128D2">
        <w:rPr>
          <w:rtl/>
        </w:rPr>
        <w:t xml:space="preserve">, </w:t>
      </w:r>
      <w:r>
        <w:rPr>
          <w:rFonts w:hint="cs"/>
          <w:rtl/>
        </w:rPr>
        <w:t>דוגמת אות מ׳ סתומה כנ״ל</w:t>
      </w:r>
      <w:r w:rsidRPr="007128D2">
        <w:rPr>
          <w:rtl/>
        </w:rPr>
        <w:t xml:space="preserve">, </w:t>
      </w:r>
      <w:r>
        <w:rPr>
          <w:rFonts w:hint="cs"/>
          <w:rtl/>
        </w:rPr>
        <w:t>משא״כ צורת העיגול שאין בה נקודה דהתחלה וסוף</w:t>
      </w:r>
      <w:r w:rsidRPr="007128D2">
        <w:rPr>
          <w:rtl/>
        </w:rPr>
        <w:t xml:space="preserve">, </w:t>
      </w:r>
      <w:r>
        <w:rPr>
          <w:rFonts w:hint="cs"/>
          <w:rtl/>
        </w:rPr>
        <w:t>ה״ה מורה על בחי׳ מקיף הרחוק</w:t>
      </w:r>
      <w:r w:rsidRPr="007128D2">
        <w:rPr>
          <w:rtl/>
        </w:rPr>
        <w:t xml:space="preserve">, </w:t>
      </w:r>
      <w:r>
        <w:rPr>
          <w:rFonts w:hint="cs"/>
          <w:rtl/>
        </w:rPr>
        <w:t>״שאין בו שום אחיזה״</w:t>
      </w:r>
      <w:r w:rsidRPr="007128D2">
        <w:rPr>
          <w:rtl/>
        </w:rPr>
        <w:t xml:space="preserve">, </w:t>
      </w:r>
      <w:r>
        <w:rPr>
          <w:rFonts w:hint="cs"/>
          <w:rtl/>
        </w:rPr>
        <w:t>דוגמת אות ס׳</w:t>
      </w:r>
      <w:r w:rsidRPr="007128D2">
        <w:rPr>
          <w:rtl/>
        </w:rPr>
        <w:t xml:space="preserve">, </w:t>
      </w:r>
      <w:r>
        <w:rPr>
          <w:rFonts w:hint="cs"/>
          <w:rtl/>
        </w:rPr>
        <w:t>וכמוש״נ</w:t>
      </w:r>
      <w:r w:rsidRPr="007128D2">
        <w:rPr>
          <w:rtl/>
        </w:rPr>
        <w:t>.</w:t>
      </w:r>
    </w:p>
    <w:p w:rsidR="00B240FE" w:rsidRPr="007128D2" w:rsidRDefault="00B240FE" w:rsidP="00F146A6">
      <w:pPr>
        <w:pStyle w:val="a3"/>
        <w:rPr>
          <w:rtl/>
        </w:rPr>
      </w:pPr>
      <w:r>
        <w:rPr>
          <w:rFonts w:hint="cs"/>
          <w:rtl/>
        </w:rPr>
        <w:t>וזהו דעל שאלת רבה ״למי מברכין וכו׳ ורחמנא היכא יתיב״</w:t>
      </w:r>
      <w:r w:rsidRPr="007128D2">
        <w:rPr>
          <w:rtl/>
        </w:rPr>
        <w:t xml:space="preserve">, </w:t>
      </w:r>
      <w:r>
        <w:rPr>
          <w:rFonts w:hint="cs"/>
          <w:rtl/>
        </w:rPr>
        <w:t>השיבו כל אחד לפי מהותם וענינם</w:t>
      </w:r>
      <w:r w:rsidRPr="004820B2">
        <w:rPr>
          <w:vertAlign w:val="superscript"/>
        </w:rPr>
        <w:footnoteReference w:id="172"/>
      </w:r>
      <w:r w:rsidRPr="007128D2">
        <w:rPr>
          <w:rtl/>
        </w:rPr>
        <w:t xml:space="preserve">, </w:t>
      </w:r>
      <w:r>
        <w:rPr>
          <w:rFonts w:hint="cs"/>
          <w:rtl/>
        </w:rPr>
        <w:t>דרבא אחוי לתקרת הבית</w:t>
      </w:r>
      <w:r w:rsidRPr="007128D2">
        <w:rPr>
          <w:rtl/>
        </w:rPr>
        <w:t xml:space="preserve">, </w:t>
      </w:r>
      <w:r>
        <w:rPr>
          <w:rFonts w:hint="cs"/>
          <w:rtl/>
        </w:rPr>
        <w:t>היינו לבחי׳ ״מקיף הקרוב״</w:t>
      </w:r>
      <w:r w:rsidRPr="007128D2">
        <w:rPr>
          <w:rtl/>
        </w:rPr>
        <w:t xml:space="preserve">, </w:t>
      </w:r>
      <w:r>
        <w:rPr>
          <w:rFonts w:hint="cs"/>
          <w:rtl/>
        </w:rPr>
        <w:t xml:space="preserve">שכן מצד </w:t>
      </w:r>
      <w:r>
        <w:rPr>
          <w:rFonts w:hint="cs"/>
          <w:rtl/>
        </w:rPr>
        <w:lastRenderedPageBreak/>
        <w:t>מהותו ושורש נשמתו הרי הוא משתייך ונמשך מבחי׳ זו כנ״ל</w:t>
      </w:r>
      <w:r w:rsidRPr="007128D2">
        <w:rPr>
          <w:rtl/>
        </w:rPr>
        <w:t xml:space="preserve">, </w:t>
      </w:r>
      <w:r>
        <w:rPr>
          <w:rFonts w:hint="cs"/>
          <w:rtl/>
        </w:rPr>
        <w:t>ולכן התייחס רבא רק לדרגת האלקות שבבחי׳ מקיף הקרוב</w:t>
      </w:r>
      <w:r w:rsidRPr="007128D2">
        <w:rPr>
          <w:rtl/>
        </w:rPr>
        <w:t xml:space="preserve">, </w:t>
      </w:r>
      <w:r>
        <w:rPr>
          <w:rFonts w:hint="cs"/>
          <w:rtl/>
        </w:rPr>
        <w:t>בחי׳ תקרת הבית</w:t>
      </w:r>
      <w:r w:rsidRPr="007128D2">
        <w:rPr>
          <w:rtl/>
        </w:rPr>
        <w:t xml:space="preserve">, </w:t>
      </w:r>
      <w:r>
        <w:rPr>
          <w:rFonts w:hint="cs"/>
          <w:rtl/>
        </w:rPr>
        <w:t>משא״כ אביי הנה בהתאם למהותו ושורש נשמתו</w:t>
      </w:r>
      <w:r w:rsidRPr="007128D2">
        <w:rPr>
          <w:rtl/>
        </w:rPr>
        <w:t xml:space="preserve">, </w:t>
      </w:r>
      <w:r>
        <w:rPr>
          <w:rFonts w:hint="cs"/>
          <w:rtl/>
        </w:rPr>
        <w:t>יצא החוצה והראה לשמים</w:t>
      </w:r>
      <w:r w:rsidRPr="007128D2">
        <w:rPr>
          <w:rtl/>
        </w:rPr>
        <w:t xml:space="preserve">, </w:t>
      </w:r>
      <w:r>
        <w:rPr>
          <w:rFonts w:hint="cs"/>
          <w:rtl/>
        </w:rPr>
        <w:t>והיינו שהתייחס אביי לדרגת האלקות שבבחי׳ ״מקיף הרחוק״</w:t>
      </w:r>
      <w:r w:rsidRPr="007128D2">
        <w:rPr>
          <w:rtl/>
        </w:rPr>
        <w:t xml:space="preserve">, </w:t>
      </w:r>
      <w:r>
        <w:rPr>
          <w:rFonts w:hint="cs"/>
          <w:rtl/>
        </w:rPr>
        <w:t>שכן מצד מהותו הרי הוא משתייך ונמשך מדרגה אלוקית נעלה וגבוה יותר</w:t>
      </w:r>
      <w:r w:rsidRPr="007128D2">
        <w:rPr>
          <w:rtl/>
        </w:rPr>
        <w:t xml:space="preserve">, </w:t>
      </w:r>
      <w:r>
        <w:rPr>
          <w:rFonts w:hint="cs"/>
          <w:rtl/>
        </w:rPr>
        <w:t>בחי׳ שמים</w:t>
      </w:r>
      <w:r w:rsidRPr="004820B2">
        <w:rPr>
          <w:vertAlign w:val="superscript"/>
        </w:rPr>
        <w:footnoteReference w:id="173"/>
      </w:r>
      <w:r w:rsidRPr="007128D2">
        <w:rPr>
          <w:rtl/>
        </w:rPr>
        <w:t xml:space="preserve">. </w:t>
      </w:r>
    </w:p>
    <w:p w:rsidR="00B240FE" w:rsidRPr="007128D2" w:rsidRDefault="00B240FE" w:rsidP="00F146A6">
      <w:pPr>
        <w:pStyle w:val="11"/>
        <w:bidi/>
        <w:rPr>
          <w:rtl/>
        </w:rPr>
      </w:pPr>
      <w:r w:rsidRPr="007128D2">
        <w:rPr>
          <w:rFonts w:hint="cs"/>
          <w:rtl/>
        </w:rPr>
        <w:lastRenderedPageBreak/>
        <w:t>מספר שנות חייהם</w:t>
      </w:r>
    </w:p>
    <w:p w:rsidR="00B240FE" w:rsidRPr="007128D2" w:rsidRDefault="00B240FE" w:rsidP="00F146A6">
      <w:pPr>
        <w:pStyle w:val="a3"/>
        <w:rPr>
          <w:rtl/>
        </w:rPr>
      </w:pPr>
      <w:r>
        <w:rPr>
          <w:rFonts w:hint="cs"/>
          <w:rtl/>
        </w:rPr>
        <w:t>ו</w:t>
      </w:r>
      <w:r w:rsidRPr="007128D2">
        <w:rPr>
          <w:rtl/>
        </w:rPr>
        <w:t xml:space="preserve">. </w:t>
      </w:r>
      <w:r>
        <w:rPr>
          <w:rFonts w:hint="cs"/>
          <w:rtl/>
        </w:rPr>
        <w:t xml:space="preserve">ומוסיף עוד הרלוי״צ זצ״ל דהחילוק במהותם ומדריגתם דאביי ורבא מתבטא גם </w:t>
      </w:r>
      <w:r>
        <w:rPr>
          <w:rFonts w:hint="cs"/>
          <w:rtl/>
        </w:rPr>
        <w:lastRenderedPageBreak/>
        <w:t>במספר שנות חייהם</w:t>
      </w:r>
      <w:r w:rsidRPr="007128D2">
        <w:rPr>
          <w:rtl/>
        </w:rPr>
        <w:t xml:space="preserve">, </w:t>
      </w:r>
      <w:r>
        <w:rPr>
          <w:rFonts w:hint="cs"/>
          <w:rtl/>
        </w:rPr>
        <w:t>דאיתא בר״ה יח</w:t>
      </w:r>
      <w:r w:rsidRPr="007128D2">
        <w:rPr>
          <w:rtl/>
        </w:rPr>
        <w:t xml:space="preserve">, </w:t>
      </w:r>
      <w:r>
        <w:rPr>
          <w:rFonts w:hint="cs"/>
          <w:rtl/>
        </w:rPr>
        <w:t>א ״אביי ורבא</w:t>
      </w:r>
      <w:r w:rsidRPr="004820B2">
        <w:rPr>
          <w:vertAlign w:val="superscript"/>
        </w:rPr>
        <w:footnoteReference w:id="174"/>
      </w:r>
      <w:r w:rsidRPr="004820B2">
        <w:rPr>
          <w:rFonts w:hint="cs"/>
          <w:vertAlign w:val="superscript"/>
          <w:rtl/>
        </w:rPr>
        <w:t xml:space="preserve"> </w:t>
      </w:r>
      <w:r>
        <w:rPr>
          <w:rFonts w:hint="cs"/>
          <w:rtl/>
        </w:rPr>
        <w:t>מדבית עלי קאתו</w:t>
      </w:r>
      <w:r w:rsidRPr="007128D2">
        <w:rPr>
          <w:rtl/>
        </w:rPr>
        <w:t>,</w:t>
      </w:r>
      <w:r>
        <w:rPr>
          <w:rFonts w:hint="cs"/>
          <w:rtl/>
        </w:rPr>
        <w:t xml:space="preserve"> רבא דעסק בתורה חיה ארבעין שנין</w:t>
      </w:r>
      <w:r w:rsidRPr="007128D2">
        <w:rPr>
          <w:rtl/>
        </w:rPr>
        <w:t>,</w:t>
      </w:r>
      <w:r>
        <w:rPr>
          <w:rFonts w:hint="cs"/>
          <w:rtl/>
        </w:rPr>
        <w:t xml:space="preserve"> אביי דעסק בתורה ובגמילות חסדים חיה שיתין שנין״</w:t>
      </w:r>
      <w:r w:rsidRPr="007128D2">
        <w:rPr>
          <w:rtl/>
        </w:rPr>
        <w:t>.</w:t>
      </w:r>
    </w:p>
    <w:p w:rsidR="00B240FE" w:rsidRPr="007128D2" w:rsidRDefault="00B240FE" w:rsidP="00F146A6">
      <w:pPr>
        <w:pStyle w:val="a3"/>
        <w:rPr>
          <w:rtl/>
        </w:rPr>
      </w:pPr>
      <w:r>
        <w:rPr>
          <w:rFonts w:hint="cs"/>
          <w:rtl/>
        </w:rPr>
        <w:t>ומבאר דגם פרט זה עולה בקנה אחד עם מהותם ומדריגתם</w:t>
      </w:r>
      <w:r w:rsidRPr="007128D2">
        <w:rPr>
          <w:rtl/>
        </w:rPr>
        <w:t xml:space="preserve">, </w:t>
      </w:r>
      <w:r>
        <w:rPr>
          <w:rFonts w:hint="cs"/>
          <w:rtl/>
        </w:rPr>
        <w:t>וזלה״ק שם ״הרי שרבא חי מ׳ שנין</w:t>
      </w:r>
      <w:r w:rsidRPr="007128D2">
        <w:rPr>
          <w:rtl/>
        </w:rPr>
        <w:t xml:space="preserve">, </w:t>
      </w:r>
      <w:r>
        <w:rPr>
          <w:rFonts w:hint="cs"/>
          <w:rtl/>
        </w:rPr>
        <w:t>והוא שחיותו היתה לו ממ׳ דתבונה</w:t>
      </w:r>
      <w:r w:rsidRPr="007128D2">
        <w:rPr>
          <w:rtl/>
        </w:rPr>
        <w:t xml:space="preserve">, </w:t>
      </w:r>
      <w:r>
        <w:rPr>
          <w:rFonts w:hint="cs"/>
          <w:rtl/>
        </w:rPr>
        <w:t>בן מ׳ לבינה</w:t>
      </w:r>
      <w:r w:rsidRPr="007128D2">
        <w:rPr>
          <w:rtl/>
        </w:rPr>
        <w:t xml:space="preserve">, </w:t>
      </w:r>
      <w:r>
        <w:rPr>
          <w:rFonts w:hint="cs"/>
          <w:rtl/>
        </w:rPr>
        <w:t>ואביי חי ס׳ שנין</w:t>
      </w:r>
      <w:r w:rsidRPr="007128D2">
        <w:rPr>
          <w:rtl/>
        </w:rPr>
        <w:t xml:space="preserve">, </w:t>
      </w:r>
      <w:r>
        <w:rPr>
          <w:rFonts w:hint="cs"/>
          <w:rtl/>
        </w:rPr>
        <w:t>שחיותו נמשכה לו מס׳ דאימא עילאה</w:t>
      </w:r>
      <w:r w:rsidRPr="007128D2">
        <w:rPr>
          <w:rtl/>
        </w:rPr>
        <w:t xml:space="preserve">, </w:t>
      </w:r>
      <w:r>
        <w:rPr>
          <w:rFonts w:hint="cs"/>
          <w:rtl/>
        </w:rPr>
        <w:t>שהיה בבחי׳ בן ס׳ לזקנה״</w:t>
      </w:r>
      <w:r w:rsidRPr="007128D2">
        <w:rPr>
          <w:rtl/>
        </w:rPr>
        <w:t>.</w:t>
      </w:r>
    </w:p>
    <w:p w:rsidR="00B240FE" w:rsidRPr="007128D2" w:rsidRDefault="00B240FE" w:rsidP="00F146A6">
      <w:pPr>
        <w:pStyle w:val="a3"/>
        <w:rPr>
          <w:rtl/>
        </w:rPr>
      </w:pPr>
      <w:r>
        <w:rPr>
          <w:rFonts w:hint="cs"/>
          <w:rtl/>
        </w:rPr>
        <w:t>והיינו דחיותו ושורש נשמתו דרבא נמשכו מבחי׳ מקיף הקרוב</w:t>
      </w:r>
      <w:r w:rsidRPr="007128D2">
        <w:rPr>
          <w:rtl/>
        </w:rPr>
        <w:t xml:space="preserve">, </w:t>
      </w:r>
      <w:r>
        <w:rPr>
          <w:rFonts w:hint="cs"/>
          <w:rtl/>
        </w:rPr>
        <w:t xml:space="preserve">שהוא בחי׳ אות מ׳ סתומה </w:t>
      </w:r>
      <w:r w:rsidRPr="007128D2">
        <w:rPr>
          <w:rtl/>
        </w:rPr>
        <w:t>[</w:t>
      </w:r>
      <w:r>
        <w:rPr>
          <w:rFonts w:hint="cs"/>
          <w:rtl/>
        </w:rPr>
        <w:t>וע״ד הסוד היא מדריגת ״תבונה״</w:t>
      </w:r>
      <w:r w:rsidRPr="007128D2">
        <w:rPr>
          <w:rtl/>
        </w:rPr>
        <w:t xml:space="preserve">], </w:t>
      </w:r>
      <w:r>
        <w:rPr>
          <w:rFonts w:hint="cs"/>
          <w:rtl/>
        </w:rPr>
        <w:t>ולכן בהתאם לזה חי מ׳ שנה</w:t>
      </w:r>
      <w:r w:rsidRPr="007128D2">
        <w:rPr>
          <w:rtl/>
        </w:rPr>
        <w:t xml:space="preserve">, </w:t>
      </w:r>
      <w:r>
        <w:rPr>
          <w:rFonts w:hint="cs"/>
          <w:rtl/>
        </w:rPr>
        <w:t>משא״כ אביי שחיותו ושורש נשמתו נמשכו מבחי׳ מקיף הרחוק</w:t>
      </w:r>
      <w:r w:rsidRPr="007128D2">
        <w:rPr>
          <w:rtl/>
        </w:rPr>
        <w:t xml:space="preserve">, </w:t>
      </w:r>
      <w:r>
        <w:rPr>
          <w:rFonts w:hint="cs"/>
          <w:rtl/>
        </w:rPr>
        <w:t xml:space="preserve">שהוא בחי׳ אות ס׳ </w:t>
      </w:r>
      <w:r w:rsidRPr="007128D2">
        <w:rPr>
          <w:rtl/>
        </w:rPr>
        <w:t>[</w:t>
      </w:r>
      <w:r>
        <w:rPr>
          <w:rFonts w:hint="cs"/>
          <w:rtl/>
        </w:rPr>
        <w:t>וע״ד הסוד היא מדריגת ״אימא עילאה״</w:t>
      </w:r>
      <w:r w:rsidRPr="007128D2">
        <w:rPr>
          <w:rtl/>
        </w:rPr>
        <w:t xml:space="preserve">], </w:t>
      </w:r>
      <w:r>
        <w:rPr>
          <w:rFonts w:hint="cs"/>
          <w:rtl/>
        </w:rPr>
        <w:t>ולכן בהתאם לזה חי ס׳ שנה</w:t>
      </w:r>
      <w:r w:rsidRPr="007128D2">
        <w:rPr>
          <w:rtl/>
        </w:rPr>
        <w:t>.</w:t>
      </w:r>
    </w:p>
    <w:p w:rsidR="00B240FE" w:rsidRPr="007128D2" w:rsidRDefault="00B240FE" w:rsidP="00F146A6">
      <w:pPr>
        <w:pStyle w:val="11"/>
        <w:bidi/>
        <w:rPr>
          <w:rtl/>
        </w:rPr>
      </w:pPr>
      <w:r w:rsidRPr="007128D2">
        <w:rPr>
          <w:rFonts w:hint="cs"/>
          <w:rtl/>
        </w:rPr>
        <w:t>תורה בלבד או גם גמילות חסדים</w:t>
      </w:r>
    </w:p>
    <w:p w:rsidR="00B240FE" w:rsidRPr="007128D2" w:rsidRDefault="00B240FE" w:rsidP="00F146A6">
      <w:pPr>
        <w:pStyle w:val="a3"/>
        <w:rPr>
          <w:rtl/>
        </w:rPr>
      </w:pPr>
      <w:r>
        <w:rPr>
          <w:rFonts w:hint="cs"/>
          <w:rtl/>
        </w:rPr>
        <w:t>ז</w:t>
      </w:r>
      <w:r w:rsidRPr="007128D2">
        <w:rPr>
          <w:rtl/>
        </w:rPr>
        <w:t xml:space="preserve">. </w:t>
      </w:r>
      <w:r>
        <w:rPr>
          <w:rFonts w:hint="cs"/>
          <w:rtl/>
        </w:rPr>
        <w:t>ואולי יש להוסיף ולהמתיק חילוק זה גם בענין התעסקותם דאביי ורבא המובא בגמ׳ ר״ה שם בהקשר למספר שנות חייהם</w:t>
      </w:r>
      <w:r w:rsidRPr="007128D2">
        <w:rPr>
          <w:rtl/>
        </w:rPr>
        <w:t xml:space="preserve">, </w:t>
      </w:r>
      <w:r>
        <w:rPr>
          <w:rFonts w:hint="cs"/>
          <w:rtl/>
        </w:rPr>
        <w:t>דרבא ״עסק בתורה״ משא״כ אביי ״דעסק בתורה ובגמ״ח״</w:t>
      </w:r>
      <w:r w:rsidRPr="007128D2">
        <w:rPr>
          <w:rtl/>
        </w:rPr>
        <w:t xml:space="preserve">, </w:t>
      </w:r>
      <w:r>
        <w:rPr>
          <w:rFonts w:hint="cs"/>
          <w:rtl/>
        </w:rPr>
        <w:t>ויתכן לומר דגם פרט זה עולה בקנה עם מהותם ומדריגתם</w:t>
      </w:r>
      <w:r w:rsidRPr="004820B2">
        <w:rPr>
          <w:vertAlign w:val="superscript"/>
        </w:rPr>
        <w:footnoteReference w:id="175"/>
      </w:r>
      <w:r w:rsidRPr="007128D2">
        <w:rPr>
          <w:rtl/>
        </w:rPr>
        <w:t>.</w:t>
      </w:r>
    </w:p>
    <w:p w:rsidR="00B240FE" w:rsidRPr="007128D2" w:rsidRDefault="00B240FE" w:rsidP="00F146A6">
      <w:pPr>
        <w:pStyle w:val="a3"/>
        <w:rPr>
          <w:rtl/>
        </w:rPr>
      </w:pPr>
      <w:r>
        <w:rPr>
          <w:rFonts w:hint="cs"/>
          <w:rtl/>
        </w:rPr>
        <w:lastRenderedPageBreak/>
        <w:t>והיינו משום דתורה וגמ״ח הרי הם ב׳ קוים וב׳ דרכים שונים זה מזה לגמרי בעבודת ה׳ כידוע</w:t>
      </w:r>
      <w:r w:rsidRPr="007128D2">
        <w:rPr>
          <w:rtl/>
        </w:rPr>
        <w:t xml:space="preserve">, </w:t>
      </w:r>
      <w:r>
        <w:rPr>
          <w:rFonts w:hint="cs"/>
          <w:rtl/>
        </w:rPr>
        <w:t>ועפ״ז אולי י״ל דמצד מדריגת מקיף הקרוב</w:t>
      </w:r>
      <w:r w:rsidRPr="007128D2">
        <w:rPr>
          <w:rtl/>
        </w:rPr>
        <w:t xml:space="preserve">, </w:t>
      </w:r>
      <w:r>
        <w:rPr>
          <w:rFonts w:hint="cs"/>
          <w:rtl/>
        </w:rPr>
        <w:t>שאם שהוא מקיף מ״מ יש בו איזושהי הגדרה והגבלה עכ״פ</w:t>
      </w:r>
      <w:r w:rsidRPr="007128D2">
        <w:rPr>
          <w:rtl/>
        </w:rPr>
        <w:t xml:space="preserve">, </w:t>
      </w:r>
      <w:r>
        <w:rPr>
          <w:rFonts w:hint="cs"/>
          <w:rtl/>
        </w:rPr>
        <w:t>וכנ״ל דמדריגה זו מקבילה לענין הריבוע</w:t>
      </w:r>
      <w:r w:rsidRPr="007128D2">
        <w:rPr>
          <w:rtl/>
        </w:rPr>
        <w:t xml:space="preserve">, </w:t>
      </w:r>
      <w:r>
        <w:rPr>
          <w:rFonts w:hint="cs"/>
          <w:rtl/>
        </w:rPr>
        <w:t>שיש בו התיישבות ואחיזה ונקודה דהתחלה וסוף עכ״פ</w:t>
      </w:r>
      <w:r w:rsidRPr="007128D2">
        <w:rPr>
          <w:rtl/>
        </w:rPr>
        <w:t xml:space="preserve">, </w:t>
      </w:r>
      <w:r>
        <w:rPr>
          <w:rFonts w:hint="cs"/>
          <w:rtl/>
        </w:rPr>
        <w:t>הרי מצד מדריגה זו ניתן להתעסק רק בקו א׳ בלבד ולא בשני קוים שהם שונים זה מזה לגמרי</w:t>
      </w:r>
      <w:r w:rsidRPr="004820B2">
        <w:rPr>
          <w:vertAlign w:val="superscript"/>
        </w:rPr>
        <w:footnoteReference w:id="176"/>
      </w:r>
      <w:r w:rsidRPr="007128D2">
        <w:rPr>
          <w:rtl/>
        </w:rPr>
        <w:t xml:space="preserve">, </w:t>
      </w:r>
      <w:r>
        <w:rPr>
          <w:rFonts w:hint="cs"/>
          <w:rtl/>
        </w:rPr>
        <w:t>ועל כן בהתאם למדריגתו המוגבלת היה עסקו של רבא בקו א׳ דתורה בלבד</w:t>
      </w:r>
      <w:r w:rsidRPr="007128D2">
        <w:rPr>
          <w:rtl/>
        </w:rPr>
        <w:t>.</w:t>
      </w:r>
    </w:p>
    <w:p w:rsidR="00B240FE" w:rsidRPr="007128D2" w:rsidRDefault="00B240FE" w:rsidP="00F146A6">
      <w:pPr>
        <w:pStyle w:val="a3"/>
        <w:rPr>
          <w:rtl/>
        </w:rPr>
      </w:pPr>
      <w:r>
        <w:rPr>
          <w:rFonts w:hint="cs"/>
          <w:rtl/>
        </w:rPr>
        <w:t>משא״כ מצד מדריגת מקיף הרחוק</w:t>
      </w:r>
      <w:r w:rsidRPr="007128D2">
        <w:rPr>
          <w:rtl/>
        </w:rPr>
        <w:t xml:space="preserve">, </w:t>
      </w:r>
      <w:r>
        <w:rPr>
          <w:rFonts w:hint="cs"/>
          <w:rtl/>
        </w:rPr>
        <w:t>שהוא אור בלי גבול לגמרי</w:t>
      </w:r>
      <w:r w:rsidRPr="007128D2">
        <w:rPr>
          <w:rtl/>
        </w:rPr>
        <w:t xml:space="preserve">, </w:t>
      </w:r>
      <w:r>
        <w:rPr>
          <w:rFonts w:hint="cs"/>
          <w:rtl/>
        </w:rPr>
        <w:t>בחי׳ עיגול שאין בו שום אחיזה והגדרה ואין בו נקודה דהתחלה וסוף</w:t>
      </w:r>
      <w:r w:rsidRPr="007128D2">
        <w:rPr>
          <w:rtl/>
        </w:rPr>
        <w:t xml:space="preserve">, </w:t>
      </w:r>
      <w:r>
        <w:rPr>
          <w:rFonts w:hint="cs"/>
          <w:rtl/>
        </w:rPr>
        <w:t>הרי י״ל שמצד מדריגה זו ניתן לעסוק בו בשעה בשני קוים וענינים שונים לגמרי</w:t>
      </w:r>
      <w:r w:rsidRPr="007128D2">
        <w:rPr>
          <w:rtl/>
        </w:rPr>
        <w:t xml:space="preserve">, </w:t>
      </w:r>
      <w:r>
        <w:rPr>
          <w:rFonts w:hint="cs"/>
          <w:rtl/>
        </w:rPr>
        <w:t>גם בתורה וגם בגמ״ח</w:t>
      </w:r>
      <w:r w:rsidRPr="007128D2">
        <w:rPr>
          <w:rtl/>
        </w:rPr>
        <w:t xml:space="preserve">, </w:t>
      </w:r>
      <w:r>
        <w:rPr>
          <w:rFonts w:hint="cs"/>
          <w:rtl/>
        </w:rPr>
        <w:t>ולכן בהתאם למדריגתו הבל״ג היה עסקו של אביי בשני הקוים דתורה וגמ״ח</w:t>
      </w:r>
      <w:r w:rsidRPr="004820B2">
        <w:rPr>
          <w:vertAlign w:val="superscript"/>
        </w:rPr>
        <w:footnoteReference w:id="177"/>
      </w:r>
      <w:r w:rsidRPr="007128D2">
        <w:rPr>
          <w:rtl/>
        </w:rPr>
        <w:t>.</w:t>
      </w:r>
    </w:p>
    <w:p w:rsidR="00B240FE" w:rsidRPr="007128D2" w:rsidRDefault="00B240FE" w:rsidP="00F146A6">
      <w:pPr>
        <w:pStyle w:val="11"/>
        <w:bidi/>
        <w:rPr>
          <w:rtl/>
        </w:rPr>
      </w:pPr>
      <w:r w:rsidRPr="007128D2">
        <w:rPr>
          <w:rFonts w:hint="cs"/>
          <w:rtl/>
        </w:rPr>
        <w:t>פירוש שמותיהם</w:t>
      </w:r>
    </w:p>
    <w:p w:rsidR="00B240FE" w:rsidRPr="007128D2" w:rsidRDefault="00B240FE" w:rsidP="00F146A6">
      <w:pPr>
        <w:pStyle w:val="a3"/>
        <w:rPr>
          <w:rtl/>
        </w:rPr>
      </w:pPr>
      <w:r>
        <w:rPr>
          <w:rFonts w:hint="cs"/>
          <w:rtl/>
        </w:rPr>
        <w:t>ח</w:t>
      </w:r>
      <w:r w:rsidRPr="007128D2">
        <w:rPr>
          <w:rtl/>
        </w:rPr>
        <w:t xml:space="preserve">. </w:t>
      </w:r>
      <w:r>
        <w:rPr>
          <w:rFonts w:hint="cs"/>
          <w:rtl/>
        </w:rPr>
        <w:t>ומוסיף הרלוי״צ זצ״ל לקשר כל זה גם בפירוש שמותיהם של אביי ורבא ע״ד הסוד</w:t>
      </w:r>
      <w:r w:rsidRPr="007128D2">
        <w:rPr>
          <w:rtl/>
        </w:rPr>
        <w:t xml:space="preserve">, </w:t>
      </w:r>
      <w:r>
        <w:rPr>
          <w:rFonts w:hint="cs"/>
          <w:rtl/>
        </w:rPr>
        <w:t>וזלה״ק שם עמ׳ קמה ״ושמותיהם דאביי ורבא מורה על בחינתם</w:t>
      </w:r>
      <w:r w:rsidRPr="007128D2">
        <w:rPr>
          <w:rtl/>
        </w:rPr>
        <w:t xml:space="preserve">, </w:t>
      </w:r>
      <w:r>
        <w:rPr>
          <w:rFonts w:hint="cs"/>
          <w:rtl/>
        </w:rPr>
        <w:t>כי אביי הוא מלשון אב</w:t>
      </w:r>
      <w:r w:rsidRPr="004820B2">
        <w:rPr>
          <w:vertAlign w:val="superscript"/>
        </w:rPr>
        <w:footnoteReference w:id="178"/>
      </w:r>
      <w:r w:rsidRPr="007128D2">
        <w:rPr>
          <w:rtl/>
        </w:rPr>
        <w:t xml:space="preserve">, </w:t>
      </w:r>
      <w:r>
        <w:rPr>
          <w:rFonts w:hint="cs"/>
          <w:rtl/>
        </w:rPr>
        <w:t>הרומז על חכמה</w:t>
      </w:r>
      <w:r w:rsidRPr="007128D2">
        <w:rPr>
          <w:rtl/>
        </w:rPr>
        <w:t xml:space="preserve">, </w:t>
      </w:r>
      <w:r>
        <w:rPr>
          <w:rFonts w:hint="cs"/>
          <w:rtl/>
        </w:rPr>
        <w:t>והיינו חכמה דב״ן שהוא בינה עילאה וכו׳</w:t>
      </w:r>
      <w:r w:rsidRPr="007128D2">
        <w:rPr>
          <w:rtl/>
        </w:rPr>
        <w:t xml:space="preserve">, </w:t>
      </w:r>
      <w:r>
        <w:rPr>
          <w:rFonts w:hint="cs"/>
          <w:rtl/>
        </w:rPr>
        <w:t xml:space="preserve">ורבא הוא </w:t>
      </w:r>
      <w:r>
        <w:rPr>
          <w:rFonts w:hint="cs"/>
          <w:rtl/>
        </w:rPr>
        <w:lastRenderedPageBreak/>
        <w:t>מלשון רב וגדול</w:t>
      </w:r>
      <w:r w:rsidRPr="007128D2">
        <w:rPr>
          <w:rtl/>
        </w:rPr>
        <w:t xml:space="preserve">, </w:t>
      </w:r>
      <w:r>
        <w:rPr>
          <w:rFonts w:hint="cs"/>
          <w:rtl/>
        </w:rPr>
        <w:t>דהיינו התפשטות לאורך ורוחב</w:t>
      </w:r>
      <w:r w:rsidRPr="007128D2">
        <w:rPr>
          <w:rtl/>
        </w:rPr>
        <w:t xml:space="preserve">, </w:t>
      </w:r>
      <w:r>
        <w:rPr>
          <w:rFonts w:hint="cs"/>
          <w:rtl/>
        </w:rPr>
        <w:t>והוא ע״ד ה׳ ראשונה של שם המתפשט לאורך ורוחב</w:t>
      </w:r>
      <w:r w:rsidRPr="007128D2">
        <w:rPr>
          <w:rtl/>
        </w:rPr>
        <w:t xml:space="preserve">, </w:t>
      </w:r>
      <w:r>
        <w:rPr>
          <w:rFonts w:hint="cs"/>
          <w:rtl/>
        </w:rPr>
        <w:t>וה׳ ראשונה קאי על תבונה כידוע״</w:t>
      </w:r>
      <w:r w:rsidRPr="007128D2">
        <w:rPr>
          <w:rtl/>
        </w:rPr>
        <w:t xml:space="preserve">. </w:t>
      </w:r>
    </w:p>
    <w:p w:rsidR="00B240FE" w:rsidRPr="007128D2" w:rsidRDefault="00B240FE" w:rsidP="00F146A6">
      <w:pPr>
        <w:pStyle w:val="a3"/>
        <w:rPr>
          <w:rtl/>
        </w:rPr>
      </w:pPr>
      <w:r>
        <w:rPr>
          <w:rFonts w:hint="cs"/>
          <w:rtl/>
        </w:rPr>
        <w:t>והיינו דגם במשמעות השם שלהם מתבטא מהותם ושורש נשמתם וה״לשיטתייהו״ שלהם אם אזלינן בתר מקיף הקרוב הוא מקיף הרחוק</w:t>
      </w:r>
      <w:r w:rsidRPr="007128D2">
        <w:rPr>
          <w:rtl/>
        </w:rPr>
        <w:t xml:space="preserve">, </w:t>
      </w:r>
      <w:r>
        <w:rPr>
          <w:rFonts w:hint="cs"/>
          <w:rtl/>
        </w:rPr>
        <w:t>ד״רבא״ הוא מלשון ״רב״</w:t>
      </w:r>
      <w:r w:rsidRPr="007128D2">
        <w:rPr>
          <w:rtl/>
        </w:rPr>
        <w:t xml:space="preserve">, </w:t>
      </w:r>
      <w:r>
        <w:rPr>
          <w:rFonts w:hint="cs"/>
          <w:rtl/>
        </w:rPr>
        <w:t>שמורה על בחי׳ ״תבונה״</w:t>
      </w:r>
      <w:r w:rsidRPr="007128D2">
        <w:rPr>
          <w:rtl/>
        </w:rPr>
        <w:t xml:space="preserve">, </w:t>
      </w:r>
      <w:r>
        <w:rPr>
          <w:rFonts w:hint="cs"/>
          <w:rtl/>
        </w:rPr>
        <w:t>שהיא מדריגת מקיף הקרוב</w:t>
      </w:r>
      <w:r w:rsidRPr="007128D2">
        <w:rPr>
          <w:rtl/>
        </w:rPr>
        <w:t xml:space="preserve">, </w:t>
      </w:r>
      <w:r>
        <w:rPr>
          <w:rFonts w:hint="cs"/>
          <w:rtl/>
        </w:rPr>
        <w:t>משא״כ ״אביי״ הוא מלשון ״אב״</w:t>
      </w:r>
      <w:r w:rsidRPr="007128D2">
        <w:rPr>
          <w:rtl/>
        </w:rPr>
        <w:t xml:space="preserve">, </w:t>
      </w:r>
      <w:r>
        <w:rPr>
          <w:rFonts w:hint="cs"/>
          <w:rtl/>
        </w:rPr>
        <w:t>שמורה כידוע על בחי׳ החכמה</w:t>
      </w:r>
      <w:r w:rsidRPr="007128D2">
        <w:rPr>
          <w:rtl/>
        </w:rPr>
        <w:t xml:space="preserve">, </w:t>
      </w:r>
      <w:r>
        <w:rPr>
          <w:rFonts w:hint="cs"/>
          <w:rtl/>
        </w:rPr>
        <w:t>והכוונה לבחי׳ ״חכמה דב״ן״</w:t>
      </w:r>
      <w:r w:rsidRPr="007128D2">
        <w:rPr>
          <w:rtl/>
        </w:rPr>
        <w:t xml:space="preserve">, </w:t>
      </w:r>
      <w:r>
        <w:rPr>
          <w:rFonts w:hint="cs"/>
          <w:rtl/>
        </w:rPr>
        <w:t>שהיא מקבילה למדריגת ״בינה עילאה״</w:t>
      </w:r>
      <w:r w:rsidRPr="007128D2">
        <w:rPr>
          <w:rtl/>
        </w:rPr>
        <w:t xml:space="preserve">, </w:t>
      </w:r>
      <w:r>
        <w:rPr>
          <w:rFonts w:hint="cs"/>
          <w:rtl/>
        </w:rPr>
        <w:t>דהיינו מדריגת מקיף הרחוק</w:t>
      </w:r>
      <w:r w:rsidRPr="007128D2">
        <w:rPr>
          <w:rtl/>
        </w:rPr>
        <w:t xml:space="preserve">, </w:t>
      </w:r>
      <w:r>
        <w:rPr>
          <w:rFonts w:hint="cs"/>
          <w:rtl/>
        </w:rPr>
        <w:t>וכמוש״נ בדברי הרלוי״צ זצ״ל שם בארוכה</w:t>
      </w:r>
      <w:r w:rsidRPr="004820B2">
        <w:rPr>
          <w:vertAlign w:val="superscript"/>
        </w:rPr>
        <w:footnoteReference w:id="179"/>
      </w:r>
      <w:r w:rsidRPr="007128D2">
        <w:rPr>
          <w:rtl/>
        </w:rPr>
        <w:t>.</w:t>
      </w:r>
    </w:p>
    <w:p w:rsidR="00B240FE" w:rsidRPr="007128D2" w:rsidRDefault="00B240FE" w:rsidP="004820B2">
      <w:pPr>
        <w:pStyle w:val="a3"/>
        <w:jc w:val="center"/>
        <w:rPr>
          <w:rtl/>
        </w:rPr>
      </w:pPr>
      <w:r w:rsidRPr="007128D2">
        <w:rPr>
          <w:rtl/>
        </w:rPr>
        <w:lastRenderedPageBreak/>
        <w:t>*</w:t>
      </w:r>
    </w:p>
    <w:p w:rsidR="00B240FE" w:rsidRPr="007128D2" w:rsidRDefault="00B240FE" w:rsidP="00F146A6">
      <w:pPr>
        <w:pStyle w:val="a3"/>
        <w:rPr>
          <w:rtl/>
        </w:rPr>
      </w:pPr>
      <w:r>
        <w:rPr>
          <w:rFonts w:hint="cs"/>
          <w:rtl/>
        </w:rPr>
        <w:t>ט</w:t>
      </w:r>
      <w:r w:rsidRPr="007128D2">
        <w:rPr>
          <w:rtl/>
        </w:rPr>
        <w:t xml:space="preserve">. </w:t>
      </w:r>
      <w:r>
        <w:rPr>
          <w:rFonts w:hint="cs"/>
          <w:rtl/>
        </w:rPr>
        <w:t>והנה לאור הדברים</w:t>
      </w:r>
      <w:r w:rsidRPr="007128D2">
        <w:rPr>
          <w:rtl/>
        </w:rPr>
        <w:t xml:space="preserve">, </w:t>
      </w:r>
      <w:r>
        <w:rPr>
          <w:rFonts w:hint="cs"/>
          <w:rtl/>
        </w:rPr>
        <w:t>יבואר מעתה יסוד ה״לשיטתייהו״ דאביי ורבא בפלוגתתם בכ״מ בש״ס בנגלה ובנסתר</w:t>
      </w:r>
      <w:r w:rsidRPr="007128D2">
        <w:rPr>
          <w:rtl/>
        </w:rPr>
        <w:t xml:space="preserve">, </w:t>
      </w:r>
      <w:r>
        <w:rPr>
          <w:rFonts w:hint="cs"/>
          <w:rtl/>
        </w:rPr>
        <w:t>בהלכה ובאגדה</w:t>
      </w:r>
      <w:r w:rsidRPr="007128D2">
        <w:rPr>
          <w:rtl/>
        </w:rPr>
        <w:t xml:space="preserve">, </w:t>
      </w:r>
      <w:r>
        <w:rPr>
          <w:rFonts w:hint="cs"/>
          <w:rtl/>
        </w:rPr>
        <w:t>כולל גם בשש הפלוגתות דיע״ל קג״ם</w:t>
      </w:r>
      <w:r w:rsidRPr="007128D2">
        <w:rPr>
          <w:rtl/>
        </w:rPr>
        <w:t xml:space="preserve">, </w:t>
      </w:r>
      <w:r>
        <w:rPr>
          <w:rFonts w:hint="cs"/>
          <w:rtl/>
        </w:rPr>
        <w:t>וכמו כן יבואר הטעם הפנימי לקביעת ההלכה בדרך כלל כרבא ובאלו שש הפלוגתות דיע״ל קג״ם כאביי</w:t>
      </w:r>
      <w:r w:rsidRPr="007128D2">
        <w:rPr>
          <w:rtl/>
        </w:rPr>
        <w:t xml:space="preserve">, </w:t>
      </w:r>
      <w:r>
        <w:rPr>
          <w:rFonts w:hint="cs"/>
          <w:rtl/>
        </w:rPr>
        <w:t>ועוד חזון למועד בע״ה</w:t>
      </w:r>
      <w:r w:rsidRPr="007128D2">
        <w:rPr>
          <w:rtl/>
        </w:rPr>
        <w:t>.</w:t>
      </w:r>
    </w:p>
    <w:p w:rsidR="00364372" w:rsidRDefault="00364372" w:rsidP="007128D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7128D2" w:rsidRDefault="007128D2" w:rsidP="007128D2">
      <w:pPr>
        <w:pStyle w:val="a0"/>
        <w:rPr>
          <w:rtl/>
        </w:rPr>
      </w:pPr>
      <w:bookmarkStart w:id="157" w:name="_Toc43963123"/>
      <w:r w:rsidRPr="004C7933">
        <w:rPr>
          <w:rtl/>
        </w:rPr>
        <w:t>הה</w:t>
      </w:r>
      <w:r w:rsidRPr="007128D2">
        <w:rPr>
          <w:rStyle w:val="Char0"/>
          <w:rtl/>
        </w:rPr>
        <w:t>פ</w:t>
      </w:r>
      <w:r w:rsidRPr="004C7933">
        <w:rPr>
          <w:rtl/>
        </w:rPr>
        <w:t>רש בין הבטה וראי'</w:t>
      </w:r>
      <w:bookmarkEnd w:id="157"/>
    </w:p>
    <w:p w:rsidR="007128D2" w:rsidRDefault="007128D2" w:rsidP="00F146A6">
      <w:pPr>
        <w:pStyle w:val="a"/>
        <w:rPr>
          <w:rtl/>
        </w:rPr>
      </w:pPr>
      <w:bookmarkStart w:id="158" w:name="_Toc43963124"/>
      <w:r>
        <w:rPr>
          <w:rFonts w:hint="cs"/>
          <w:rtl/>
        </w:rPr>
        <w:t>הרב משה מרקוביץ</w:t>
      </w:r>
      <w:bookmarkEnd w:id="158"/>
    </w:p>
    <w:p w:rsidR="007128D2" w:rsidRDefault="007128D2" w:rsidP="007128D2">
      <w:pPr>
        <w:pStyle w:val="a1"/>
        <w:rPr>
          <w:rtl/>
        </w:rPr>
      </w:pPr>
      <w:r>
        <w:rPr>
          <w:rFonts w:hint="cs"/>
          <w:rtl/>
        </w:rPr>
        <w:t>ברוקלין, נ.י.</w:t>
      </w:r>
    </w:p>
    <w:p w:rsidR="007128D2" w:rsidRDefault="007128D2" w:rsidP="00F146A6">
      <w:pPr>
        <w:pStyle w:val="a3"/>
        <w:rPr>
          <w:rtl/>
        </w:rPr>
      </w:pPr>
      <w:r>
        <w:rPr>
          <w:rFonts w:hint="cs"/>
          <w:rtl/>
        </w:rPr>
        <w:t>בד"ה זכור ה' עטר"ת פרק א (ע' תקנו) בביאור הפסוק "הביטה וראה את חרפתנו", מביא  "ד</w:t>
      </w:r>
      <w:r w:rsidRPr="004C7933">
        <w:rPr>
          <w:rtl/>
        </w:rPr>
        <w:t>בזמן הגלות אנו מבקשים הביטה וראה שתהי' ראי' בבחינת הבטה עכ"פ. דההפרש בין הבטה וראי' הוא דהבטה היא מרחוק וראי' מקרוב, וכדאיתא במד"ר איכה ע"פ זה אר"פ הבטה מרחוק וכמ"ש הבט משמים וראה וראי' מקרוב וכמ"ש וירא כי לא יכול לו כו'. וזהו הבקשה שיהי' עכ"פ בחי' הבטה מרחוק כו'</w:t>
      </w:r>
      <w:r>
        <w:rPr>
          <w:rFonts w:hint="cs"/>
          <w:rtl/>
        </w:rPr>
        <w:t>"</w:t>
      </w:r>
      <w:r w:rsidRPr="004C7933">
        <w:rPr>
          <w:rtl/>
        </w:rPr>
        <w:t>.</w:t>
      </w:r>
    </w:p>
    <w:p w:rsidR="007128D2" w:rsidRDefault="007128D2" w:rsidP="00F146A6">
      <w:pPr>
        <w:pStyle w:val="a3"/>
        <w:rPr>
          <w:rtl/>
        </w:rPr>
      </w:pPr>
      <w:r>
        <w:rPr>
          <w:rFonts w:hint="cs"/>
          <w:rtl/>
        </w:rPr>
        <w:t>והעירני ח"א, דבמדרש רבא שם יש פלוגתא בדבר:</w:t>
      </w:r>
    </w:p>
    <w:p w:rsidR="007128D2" w:rsidRPr="00194522" w:rsidRDefault="007128D2" w:rsidP="00F146A6">
      <w:pPr>
        <w:pStyle w:val="a3"/>
        <w:rPr>
          <w:rtl/>
        </w:rPr>
      </w:pPr>
      <w:r w:rsidRPr="00194522">
        <w:t xml:space="preserve">' </w:t>
      </w:r>
      <w:r>
        <w:rPr>
          <w:rFonts w:hint="cs"/>
          <w:rtl/>
        </w:rPr>
        <w:t xml:space="preserve">ר' </w:t>
      </w:r>
      <w:r w:rsidRPr="00194522">
        <w:rPr>
          <w:rtl/>
        </w:rPr>
        <w:t>יודן אמר: הבטה מקרוב וראייה מרחוק. הבטה מקרוב, שנאמר: (מלכים א, יט): "ויבט והנה מראשותיו עוגת רצפים"; וראייה מרחוק שנאמר: (בראשית כ"ב) וירא את המקום מרחוק</w:t>
      </w:r>
      <w:r w:rsidRPr="00194522">
        <w:t>.</w:t>
      </w:r>
    </w:p>
    <w:p w:rsidR="007128D2" w:rsidRDefault="007128D2" w:rsidP="00F146A6">
      <w:pPr>
        <w:pStyle w:val="a3"/>
        <w:rPr>
          <w:rtl/>
        </w:rPr>
      </w:pPr>
      <w:r w:rsidRPr="00194522">
        <w:rPr>
          <w:rtl/>
        </w:rPr>
        <w:t>ר' פנחס אומר: הבטה מרחוק, שנאמר: (תהלים, פ): "הבט משמים וראה"; וראייה מקרוב, שנאמר: (בראשית, לב): "וירא כי לא יכול לו ויגע בכף ירכו".</w:t>
      </w:r>
    </w:p>
    <w:p w:rsidR="007128D2" w:rsidRDefault="007128D2" w:rsidP="00F146A6">
      <w:pPr>
        <w:pStyle w:val="a3"/>
        <w:rPr>
          <w:rtl/>
        </w:rPr>
      </w:pPr>
      <w:r>
        <w:rPr>
          <w:rFonts w:hint="cs"/>
          <w:rtl/>
        </w:rPr>
        <w:t>ועכצ"ל כוונת המאמר שכאן מבאר ע"פ חסידות לפי שיטת ר' פינחס. וק"ל.</w:t>
      </w:r>
    </w:p>
    <w:p w:rsidR="007128D2" w:rsidRDefault="00364372" w:rsidP="007128D2">
      <w:pPr>
        <w:bidi/>
        <w:spacing w:after="0" w:line="360" w:lineRule="auto"/>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7128D2" w:rsidRDefault="007128D2" w:rsidP="007128D2">
      <w:pPr>
        <w:pStyle w:val="a0"/>
        <w:rPr>
          <w:rtl/>
        </w:rPr>
      </w:pPr>
      <w:r w:rsidRPr="007128D2">
        <w:rPr>
          <w:rFonts w:hint="cs"/>
          <w:rtl/>
        </w:rPr>
        <w:lastRenderedPageBreak/>
        <w:t xml:space="preserve"> </w:t>
      </w:r>
      <w:bookmarkStart w:id="159" w:name="_Toc43963125"/>
      <w:r>
        <w:rPr>
          <w:rFonts w:hint="cs"/>
          <w:rtl/>
        </w:rPr>
        <w:t>ארבעים שנה במדבר תוצאה ממעשה העגל</w:t>
      </w:r>
      <w:bookmarkEnd w:id="159"/>
    </w:p>
    <w:p w:rsidR="007128D2" w:rsidRDefault="007128D2" w:rsidP="00F146A6">
      <w:pPr>
        <w:pStyle w:val="a"/>
        <w:rPr>
          <w:rtl/>
        </w:rPr>
      </w:pPr>
      <w:bookmarkStart w:id="160" w:name="_Toc43963126"/>
      <w:r>
        <w:rPr>
          <w:rFonts w:hint="cs"/>
          <w:rtl/>
        </w:rPr>
        <w:t>הנ"ל</w:t>
      </w:r>
      <w:bookmarkEnd w:id="160"/>
    </w:p>
    <w:p w:rsidR="007128D2" w:rsidRDefault="007128D2" w:rsidP="00F146A6">
      <w:pPr>
        <w:pStyle w:val="a3"/>
        <w:rPr>
          <w:rtl/>
        </w:rPr>
      </w:pPr>
      <w:r>
        <w:rPr>
          <w:rFonts w:hint="cs"/>
          <w:rtl/>
        </w:rPr>
        <w:t>בד"ה אלה מסעי עטר"ת (ע' תקנג) מביא דברי המדרש שמות רבה פרשה מב (אות ז): "ר' אליעזר בןיעקב אומר, כ"ט יום היו עם הקב"ה וי"א יום היו מתחשבין היאך לעשות העגל כמ"ש אחד עשר יום מחורב דרך הר שעיר, שעשו מעשה שעיר". וממשיך בהמאמר "וזהו שהי"א יום הן דרך להר שעיר, השם ישמרנו, ועלכן הוכרחו להתעכב ארבעים שנה".</w:t>
      </w:r>
    </w:p>
    <w:p w:rsidR="007128D2" w:rsidRPr="00194522" w:rsidRDefault="007128D2" w:rsidP="00F146A6">
      <w:pPr>
        <w:pStyle w:val="a3"/>
        <w:rPr>
          <w:rtl/>
        </w:rPr>
      </w:pPr>
      <w:r>
        <w:rPr>
          <w:rFonts w:hint="cs"/>
          <w:rtl/>
        </w:rPr>
        <w:t>והעירני ח"א, דלכאורה דבר זה אינו לפי פשוטו, דהא לפי פשוטו גזירת ארבעים שנה במדבר היא מחמת מעשה המרגלים ולא מחמת חטא העגל.</w:t>
      </w:r>
    </w:p>
    <w:p w:rsidR="007128D2" w:rsidRDefault="007128D2" w:rsidP="00F146A6">
      <w:pPr>
        <w:pStyle w:val="a3"/>
        <w:rPr>
          <w:rtl/>
        </w:rPr>
      </w:pPr>
      <w:r>
        <w:rPr>
          <w:rFonts w:hint="cs"/>
          <w:rtl/>
        </w:rPr>
        <w:t>ולכאורה צ"ל שבפנימיות העניין השפיע חטא העגל על בנ"י שיגיעו גם למצב דחטא המרגלים.</w:t>
      </w:r>
    </w:p>
    <w:p w:rsidR="00364372" w:rsidRDefault="00364372" w:rsidP="0036437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7128D2" w:rsidRPr="007C3023" w:rsidRDefault="007128D2" w:rsidP="007128D2">
      <w:pPr>
        <w:pStyle w:val="a0"/>
        <w:rPr>
          <w:color w:val="222222"/>
          <w:sz w:val="24"/>
          <w:szCs w:val="24"/>
        </w:rPr>
      </w:pPr>
      <w:bookmarkStart w:id="161" w:name="_Toc43963127"/>
      <w:r w:rsidRPr="007C3023">
        <w:rPr>
          <w:rtl/>
        </w:rPr>
        <w:t>כיוון השופר</w:t>
      </w:r>
      <w:r>
        <w:rPr>
          <w:rFonts w:hint="cs"/>
          <w:rtl/>
        </w:rPr>
        <w:t xml:space="preserve"> (גליון)</w:t>
      </w:r>
      <w:bookmarkEnd w:id="161"/>
    </w:p>
    <w:p w:rsidR="007128D2" w:rsidRDefault="007128D2" w:rsidP="00F146A6">
      <w:pPr>
        <w:pStyle w:val="a"/>
        <w:rPr>
          <w:rtl/>
        </w:rPr>
      </w:pPr>
      <w:bookmarkStart w:id="162" w:name="_Toc43963128"/>
      <w:r>
        <w:rPr>
          <w:rFonts w:hint="cs"/>
          <w:rtl/>
        </w:rPr>
        <w:t xml:space="preserve">הרב </w:t>
      </w:r>
      <w:r w:rsidRPr="007C3023">
        <w:rPr>
          <w:rtl/>
        </w:rPr>
        <w:t>משה רבינוביץ</w:t>
      </w:r>
      <w:bookmarkEnd w:id="162"/>
    </w:p>
    <w:p w:rsidR="007128D2" w:rsidRPr="007C3023" w:rsidRDefault="007128D2" w:rsidP="007128D2">
      <w:pPr>
        <w:pStyle w:val="a1"/>
        <w:rPr>
          <w:color w:val="222222"/>
          <w:sz w:val="24"/>
          <w:szCs w:val="24"/>
          <w:rtl/>
        </w:rPr>
      </w:pPr>
      <w:r w:rsidRPr="007C3023">
        <w:rPr>
          <w:rtl/>
        </w:rPr>
        <w:t>ברוקלין נ.י.</w:t>
      </w:r>
    </w:p>
    <w:p w:rsidR="007128D2" w:rsidRPr="007128D2" w:rsidRDefault="007128D2" w:rsidP="00F146A6">
      <w:pPr>
        <w:pStyle w:val="a3"/>
      </w:pPr>
      <w:r w:rsidRPr="007128D2">
        <w:rPr>
          <w:rtl/>
        </w:rPr>
        <w:t>בגיליון 1179 ע' 70 מתפלפל הרמ"מ אודות מ"ש בסה"מ עאת"ר: "ולפי זה ענין מן המיצר אל המרחב הוא מלמעלה למטה, דהתחלת ההמשכה הוא מן המיצר והולך ומתרחב, ולכן ע"פ הקבלה צ"ל צד הקצר דשופר למעלה והרחב למטה כמ"ש בפע"ח (וע"פ הנגלה צ"ל הרחב למעלה, וי"ל דהיינו כמשתנ"ל דמן המיצר אל המרחב הוא מלמטה למעלה)".</w:t>
      </w:r>
    </w:p>
    <w:p w:rsidR="007128D2" w:rsidRPr="007128D2" w:rsidRDefault="007128D2" w:rsidP="00F146A6">
      <w:pPr>
        <w:pStyle w:val="a3"/>
      </w:pPr>
      <w:r w:rsidRPr="007128D2">
        <w:rPr>
          <w:rtl/>
        </w:rPr>
        <w:t>יעו"ש תמיהתו.</w:t>
      </w:r>
      <w:r w:rsidRPr="007128D2">
        <w:rPr>
          <w:rFonts w:ascii="Cambria" w:hAnsi="Cambria" w:cs="Cambria" w:hint="cs"/>
          <w:rtl/>
        </w:rPr>
        <w:t> </w:t>
      </w:r>
    </w:p>
    <w:p w:rsidR="007128D2" w:rsidRPr="007128D2" w:rsidRDefault="007128D2" w:rsidP="00F146A6">
      <w:pPr>
        <w:pStyle w:val="a3"/>
      </w:pPr>
      <w:r w:rsidRPr="007128D2">
        <w:rPr>
          <w:rtl/>
        </w:rPr>
        <w:t>ולכאורה הביאור הוא פשוט למדי. ההפרש בין הנגלה והקבלה הוא איך מחזיקים את השופר - כלומר בכיוון מושפע כלפי מעלה או כלפי מטה.</w:t>
      </w:r>
      <w:r w:rsidRPr="007128D2">
        <w:rPr>
          <w:rFonts w:ascii="Cambria" w:hAnsi="Cambria" w:cs="Cambria" w:hint="cs"/>
          <w:rtl/>
        </w:rPr>
        <w:t> </w:t>
      </w:r>
    </w:p>
    <w:p w:rsidR="007128D2" w:rsidRPr="007128D2" w:rsidRDefault="007128D2" w:rsidP="00F146A6">
      <w:pPr>
        <w:pStyle w:val="a3"/>
        <w:rPr>
          <w:rtl/>
        </w:rPr>
      </w:pPr>
      <w:r w:rsidRPr="007128D2">
        <w:rPr>
          <w:rtl/>
        </w:rPr>
        <w:t xml:space="preserve">פה של התוקע - צד הקצר של השופר </w:t>
      </w:r>
      <w:r w:rsidRPr="007128D2">
        <w:rPr>
          <w:rFonts w:ascii="Times New Roman" w:hAnsi="Times New Roman" w:cs="Times New Roman" w:hint="cs"/>
          <w:rtl/>
        </w:rPr>
        <w:t>←</w:t>
      </w:r>
      <w:r w:rsidRPr="007128D2">
        <w:rPr>
          <w:rtl/>
        </w:rPr>
        <w:t xml:space="preserve"> פה הרחב של השופר.</w:t>
      </w:r>
      <w:r w:rsidRPr="007128D2">
        <w:rPr>
          <w:rFonts w:ascii="Cambria" w:hAnsi="Cambria" w:cs="Cambria" w:hint="cs"/>
          <w:rtl/>
        </w:rPr>
        <w:t> </w:t>
      </w:r>
    </w:p>
    <w:p w:rsidR="007128D2" w:rsidRPr="007128D2" w:rsidRDefault="007128D2" w:rsidP="00F146A6">
      <w:pPr>
        <w:pStyle w:val="a3"/>
        <w:rPr>
          <w:rtl/>
        </w:rPr>
      </w:pPr>
      <w:r w:rsidRPr="007128D2">
        <w:rPr>
          <w:rtl/>
        </w:rPr>
        <w:t xml:space="preserve">עפ"י נגלה מחזיקים את השופר ככה: </w:t>
      </w:r>
      <w:r w:rsidRPr="007128D2">
        <w:rPr>
          <w:rFonts w:ascii="Cambria Math" w:hAnsi="Cambria Math" w:cs="Cambria Math" w:hint="cs"/>
          <w:rtl/>
        </w:rPr>
        <w:t>↖</w:t>
      </w:r>
    </w:p>
    <w:p w:rsidR="007128D2" w:rsidRPr="007128D2" w:rsidRDefault="007128D2" w:rsidP="00F146A6">
      <w:pPr>
        <w:pStyle w:val="a3"/>
        <w:rPr>
          <w:rtl/>
        </w:rPr>
      </w:pPr>
      <w:r w:rsidRPr="007128D2">
        <w:rPr>
          <w:rtl/>
        </w:rPr>
        <w:t xml:space="preserve">עפ"י קבלה מחזיקים את השופר ככה: </w:t>
      </w:r>
      <w:r w:rsidRPr="007128D2">
        <w:rPr>
          <w:rFonts w:ascii="Cambria Math" w:hAnsi="Cambria Math" w:cs="Cambria Math" w:hint="cs"/>
          <w:rtl/>
        </w:rPr>
        <w:t>↙</w:t>
      </w:r>
      <w:r w:rsidRPr="007128D2">
        <w:rPr>
          <w:rtl/>
        </w:rPr>
        <w:t>.</w:t>
      </w:r>
      <w:r w:rsidRPr="007128D2">
        <w:rPr>
          <w:rFonts w:ascii="Cambria" w:hAnsi="Cambria" w:cs="Cambria" w:hint="cs"/>
          <w:rtl/>
        </w:rPr>
        <w:t> </w:t>
      </w:r>
      <w:r w:rsidRPr="007128D2">
        <w:rPr>
          <w:rtl/>
        </w:rPr>
        <w:t xml:space="preserve"> [</w:t>
      </w:r>
      <w:r w:rsidRPr="007128D2">
        <w:rPr>
          <w:rFonts w:hint="cs"/>
          <w:rtl/>
        </w:rPr>
        <w:t>לכיוון</w:t>
      </w:r>
      <w:r w:rsidRPr="007128D2">
        <w:rPr>
          <w:rtl/>
        </w:rPr>
        <w:t xml:space="preserve"> </w:t>
      </w:r>
      <w:r w:rsidRPr="007128D2">
        <w:rPr>
          <w:rFonts w:hint="cs"/>
          <w:rtl/>
        </w:rPr>
        <w:t>הזקן</w:t>
      </w:r>
      <w:r w:rsidRPr="007128D2">
        <w:rPr>
          <w:rtl/>
        </w:rPr>
        <w:t>]</w:t>
      </w:r>
      <w:r w:rsidRPr="007128D2">
        <w:rPr>
          <w:rFonts w:ascii="Cambria" w:hAnsi="Cambria" w:cs="Cambria" w:hint="cs"/>
          <w:rtl/>
        </w:rPr>
        <w:t> </w:t>
      </w:r>
    </w:p>
    <w:p w:rsidR="007128D2" w:rsidRPr="007128D2" w:rsidRDefault="007128D2" w:rsidP="00F146A6">
      <w:pPr>
        <w:pStyle w:val="a3"/>
      </w:pPr>
      <w:r w:rsidRPr="007128D2">
        <w:rPr>
          <w:rtl/>
        </w:rPr>
        <w:t xml:space="preserve">וכן הוא מפורש בשער הכוונת, שער ראש השנה ע' רסב: ואח"כ תכוין בענין השופר בעצמו כי הוא קצר למעלה, ורחב למטה, בסוד מן המצר קראתי י"ה, מקום </w:t>
      </w:r>
      <w:r w:rsidRPr="007128D2">
        <w:rPr>
          <w:rtl/>
        </w:rPr>
        <w:lastRenderedPageBreak/>
        <w:t>המצר, הוא מקום הקצר הנתון בפיו של התוקע. ומקום רחב הוא למטה, כי כן הוא בח' המקור שלו, שהוא הדיקנא דעתיקא,.....</w:t>
      </w:r>
    </w:p>
    <w:p w:rsidR="007128D2" w:rsidRPr="007128D2" w:rsidRDefault="007128D2" w:rsidP="00F146A6">
      <w:pPr>
        <w:pStyle w:val="a3"/>
        <w:rPr>
          <w:rtl/>
        </w:rPr>
      </w:pPr>
      <w:r w:rsidRPr="007128D2">
        <w:rPr>
          <w:rtl/>
        </w:rPr>
        <w:t>ולכן צריך שפיו הקצר והמצר, יהיה למעלה, בפיו של התוקע, ופה הרחב, יהיה למטה.</w:t>
      </w:r>
      <w:r w:rsidRPr="007128D2">
        <w:rPr>
          <w:rFonts w:ascii="Cambria" w:hAnsi="Cambria" w:cs="Cambria" w:hint="cs"/>
          <w:rtl/>
        </w:rPr>
        <w:t>   </w:t>
      </w:r>
    </w:p>
    <w:p w:rsidR="004820B2" w:rsidRPr="004820B2" w:rsidRDefault="00364372" w:rsidP="004820B2">
      <w:pPr>
        <w:tabs>
          <w:tab w:val="left" w:pos="2171"/>
          <w:tab w:val="center" w:pos="3096"/>
        </w:tabs>
        <w:bidi/>
        <w:spacing w:after="100" w:line="360" w:lineRule="auto"/>
        <w:ind w:firstLine="288"/>
        <w:jc w:val="center"/>
        <w:rPr>
          <w:rFonts w:ascii="Nymphette" w:eastAsia="Times New Roman" w:hAnsi="Nymphette" w:cs="Nymphette"/>
          <w:sz w:val="44"/>
          <w:szCs w:val="44"/>
        </w:rPr>
      </w:pPr>
      <w:r w:rsidRPr="000836F8">
        <w:rPr>
          <w:rFonts w:ascii="Nymphette" w:eastAsia="Times New Roman" w:hAnsi="Nymphette" w:cs="Nymphette"/>
          <w:sz w:val="44"/>
          <w:szCs w:val="44"/>
        </w:rPr>
        <w:t>g</w:t>
      </w:r>
    </w:p>
    <w:p w:rsidR="000836F8" w:rsidRDefault="004820B2" w:rsidP="004820B2">
      <w:pPr>
        <w:pStyle w:val="12"/>
        <w:tabs>
          <w:tab w:val="left" w:pos="1605"/>
        </w:tabs>
        <w:bidi w:val="0"/>
        <w:jc w:val="left"/>
        <w:rPr>
          <w:rtl/>
        </w:rPr>
      </w:pPr>
      <w:r>
        <w:tab/>
      </w:r>
      <w:bookmarkStart w:id="163" w:name="_Toc43963129"/>
      <w:r w:rsidR="000836F8" w:rsidRPr="000836F8">
        <w:rPr>
          <w:rFonts w:hint="cs"/>
          <w:rtl/>
        </w:rPr>
        <w:t>הלכה ומנהג</w:t>
      </w:r>
      <w:bookmarkEnd w:id="152"/>
      <w:bookmarkEnd w:id="163"/>
    </w:p>
    <w:p w:rsidR="001B37D0" w:rsidRDefault="001B37D0" w:rsidP="001B37D0">
      <w:pPr>
        <w:pStyle w:val="a0"/>
        <w:rPr>
          <w:rtl/>
        </w:rPr>
      </w:pPr>
      <w:bookmarkStart w:id="164" w:name="_Toc26492321"/>
      <w:bookmarkStart w:id="165" w:name="_Toc43963130"/>
      <w:r>
        <w:rPr>
          <w:rFonts w:hint="cs"/>
          <w:rtl/>
        </w:rPr>
        <w:t>כיסוי הטלית לראשו ורובו</w:t>
      </w:r>
      <w:bookmarkEnd w:id="165"/>
    </w:p>
    <w:p w:rsidR="001B37D0" w:rsidRPr="00C60FEE" w:rsidRDefault="001B37D0" w:rsidP="00F146A6">
      <w:pPr>
        <w:pStyle w:val="a"/>
        <w:rPr>
          <w:rtl/>
        </w:rPr>
      </w:pPr>
      <w:bookmarkStart w:id="166" w:name="_Toc43963131"/>
      <w:r w:rsidRPr="00C60FEE">
        <w:rPr>
          <w:rFonts w:hint="cs"/>
          <w:rtl/>
        </w:rPr>
        <w:t>הרב לוי יצחק ראסקין</w:t>
      </w:r>
      <w:bookmarkEnd w:id="166"/>
    </w:p>
    <w:p w:rsidR="001B37D0" w:rsidRPr="00C60FEE" w:rsidRDefault="001B37D0" w:rsidP="001B37D0">
      <w:pPr>
        <w:pStyle w:val="a1"/>
        <w:rPr>
          <w:rtl/>
        </w:rPr>
      </w:pPr>
      <w:r w:rsidRPr="00C60FEE">
        <w:rPr>
          <w:rFonts w:hint="cs"/>
          <w:rtl/>
        </w:rPr>
        <w:t>דומ"צ בקהילת ליובאוויטש, לונדון</w:t>
      </w:r>
    </w:p>
    <w:p w:rsidR="001B37D0" w:rsidRDefault="001B37D0" w:rsidP="00F146A6">
      <w:pPr>
        <w:pStyle w:val="a3"/>
        <w:rPr>
          <w:rtl/>
        </w:rPr>
      </w:pPr>
      <w:r>
        <w:rPr>
          <w:rFonts w:hint="cs"/>
          <w:rtl/>
        </w:rPr>
        <w:t>בשיחת ש"פ שלח תשל"ג (הנדמ"ח) סי"ד ואילך דן בהדיוק שהטלית צריכה להקיף ראשו ורובו. וראה שם בארוכה איך שמסיק מזה הוראה נפלאה לעבודת רוב בני אדם.</w:t>
      </w:r>
    </w:p>
    <w:p w:rsidR="001B37D0" w:rsidRDefault="001B37D0" w:rsidP="00F146A6">
      <w:pPr>
        <w:pStyle w:val="a3"/>
        <w:rPr>
          <w:rtl/>
        </w:rPr>
      </w:pPr>
      <w:r>
        <w:rPr>
          <w:rFonts w:hint="cs"/>
          <w:rtl/>
        </w:rPr>
        <w:t>בהערת המו"ל ציין על כך לשו"ע אדה"ז רסט"ז. אך המדובר שם הוא ב</w:t>
      </w:r>
      <w:r w:rsidRPr="00EF024C">
        <w:rPr>
          <w:rFonts w:hint="cs"/>
          <w:u w:val="single"/>
          <w:rtl/>
        </w:rPr>
        <w:t>שיעור</w:t>
      </w:r>
      <w:r>
        <w:rPr>
          <w:rFonts w:hint="cs"/>
          <w:rtl/>
        </w:rPr>
        <w:t xml:space="preserve"> הטלית להתחייב בציצית, כדתניא (מנחות מ ב): "טלית שהקטן מתכסה בו ראשו ורובו, והגדול יוצא בה דרך עראי, חייבת בציצית". ורק שאדה"ז הוסיף (ע"פ הסמ"ק סי' לא) שהמדובר בקטן שהגיע לחינוך מצות ציצית. ומזה מובן שגדול הלובש טלית כזאת, אע"פ שאינו מתכסה בה ראשו ורובו, מקיים מצות ציצית. אם כן איפה מצאנו שהטלית צריכה להקיף ראשו ורובו של הלובש?</w:t>
      </w:r>
    </w:p>
    <w:p w:rsidR="001B37D0" w:rsidRDefault="001B37D0" w:rsidP="00F146A6">
      <w:pPr>
        <w:pStyle w:val="a3"/>
        <w:rPr>
          <w:rtl/>
        </w:rPr>
      </w:pPr>
      <w:r>
        <w:rPr>
          <w:rFonts w:hint="cs"/>
          <w:rtl/>
        </w:rPr>
        <w:t xml:space="preserve">ואכן יש להתפלא על מה ששיערו חכמים למצוה של תורה לבני מצוה על יסוד שיעור המספיק לקטנים שהם מחויבים במצות רק משום חינוך, כאילו הטפל קובע על העיקר. כי בשאר דוכתי קאמרינן שאין הקטן מקיים המצוה משום חינוך כי אם באופן שהגדול הי' יוצא ידי חובתו בכך (כידוע השקו"ט אודות חינוך למצות לולב בלולב שאול </w:t>
      </w:r>
      <w:r>
        <w:rPr>
          <w:rtl/>
        </w:rPr>
        <w:t>–</w:t>
      </w:r>
      <w:r>
        <w:rPr>
          <w:rFonts w:hint="cs"/>
          <w:rtl/>
        </w:rPr>
        <w:t xml:space="preserve"> ראה ריטב"א סוכה ב ב, וש"נ למש"ב סי' תרנח ולשעה"צ שם). וילע"ע.</w:t>
      </w:r>
    </w:p>
    <w:p w:rsidR="001B37D0" w:rsidRDefault="001B37D0" w:rsidP="00F146A6">
      <w:pPr>
        <w:pStyle w:val="a3"/>
        <w:rPr>
          <w:rtl/>
        </w:rPr>
      </w:pPr>
      <w:r>
        <w:rPr>
          <w:rFonts w:hint="cs"/>
          <w:rtl/>
        </w:rPr>
        <w:t xml:space="preserve">אך העיקר מה שנתעוררתי בזה עתה הוא מחמת שנשאלתי על מנהגנו </w:t>
      </w:r>
      <w:r>
        <w:rPr>
          <w:rtl/>
        </w:rPr>
        <w:t>–</w:t>
      </w:r>
      <w:r>
        <w:rPr>
          <w:rFonts w:hint="cs"/>
          <w:rtl/>
        </w:rPr>
        <w:t xml:space="preserve"> ומנהג רוב החרדים לדבר ה' </w:t>
      </w:r>
      <w:r>
        <w:rPr>
          <w:rtl/>
        </w:rPr>
        <w:t>–</w:t>
      </w:r>
      <w:r>
        <w:rPr>
          <w:rFonts w:hint="cs"/>
          <w:rtl/>
        </w:rPr>
        <w:t xml:space="preserve"> ללבוש טליתות התלויות למטה מגבו עד שמגיעות קרוב עד הברכיים. ותינח מה שאנו לובשים טליתות </w:t>
      </w:r>
      <w:r w:rsidRPr="00497710">
        <w:rPr>
          <w:rFonts w:hint="cs"/>
          <w:u w:val="single"/>
          <w:rtl/>
        </w:rPr>
        <w:t>רחבות</w:t>
      </w:r>
      <w:r>
        <w:rPr>
          <w:rFonts w:hint="cs"/>
          <w:rtl/>
        </w:rPr>
        <w:t xml:space="preserve"> מאד, היינו בכדי שנוכל להתעטף כראוי בעטיפת הישמעאלים, שלזה צריך רוחב פי שלש וארבע של רוחב גב האיש. אבל מהי סיבת </w:t>
      </w:r>
      <w:r w:rsidRPr="002B7AC4">
        <w:rPr>
          <w:rFonts w:hint="cs"/>
          <w:u w:val="single"/>
          <w:rtl/>
        </w:rPr>
        <w:t>אורך</w:t>
      </w:r>
      <w:r>
        <w:rPr>
          <w:rFonts w:hint="cs"/>
          <w:rtl/>
        </w:rPr>
        <w:t xml:space="preserve"> הטלית (לאורך האדם, מראשו עד רגליו)? ובספרי תלמידי </w:t>
      </w:r>
      <w:r>
        <w:rPr>
          <w:rFonts w:hint="cs"/>
          <w:rtl/>
        </w:rPr>
        <w:lastRenderedPageBreak/>
        <w:t xml:space="preserve">האריז"ל (מצת שמורים; נגיד ומצוה) ביארו שהטלית צריכה לכסות עד החזה. ומשמע מדבריהם שלמטה מן החזה אין צורך בטלית כלל </w:t>
      </w:r>
      <w:r>
        <w:rPr>
          <w:rtl/>
        </w:rPr>
        <w:t>–</w:t>
      </w:r>
      <w:r>
        <w:rPr>
          <w:rFonts w:hint="cs"/>
          <w:rtl/>
        </w:rPr>
        <w:t xml:space="preserve"> גם בטלית גדול.</w:t>
      </w:r>
    </w:p>
    <w:p w:rsidR="001B37D0" w:rsidRDefault="001B37D0" w:rsidP="00F146A6">
      <w:pPr>
        <w:pStyle w:val="a3"/>
        <w:rPr>
          <w:rtl/>
        </w:rPr>
      </w:pPr>
      <w:r>
        <w:rPr>
          <w:rFonts w:hint="cs"/>
          <w:rtl/>
        </w:rPr>
        <w:t xml:space="preserve">אכן ממה שנקבע שיעור טלית לפי שיעור קטן בן ט' במצות ציצית </w:t>
      </w:r>
      <w:r>
        <w:rPr>
          <w:rtl/>
        </w:rPr>
        <w:t>–</w:t>
      </w:r>
      <w:r>
        <w:rPr>
          <w:rFonts w:hint="cs"/>
          <w:rtl/>
        </w:rPr>
        <w:t xml:space="preserve"> שהיא דוקא במתכסה בה ראשו ורובו (ואדה"ז מפרט דהיינו רוב אורך גופו ורוב רחבו), מזה יש להסיק שגם הגדול </w:t>
      </w:r>
      <w:r w:rsidRPr="000C059E">
        <w:rPr>
          <w:rFonts w:hint="cs"/>
          <w:u w:val="single"/>
          <w:rtl/>
        </w:rPr>
        <w:t>ראוי</w:t>
      </w:r>
      <w:r>
        <w:rPr>
          <w:rFonts w:hint="cs"/>
          <w:rtl/>
        </w:rPr>
        <w:t xml:space="preserve"> לו ללבוש טלית באופן שמתכסה בה ראשו ורובו.</w:t>
      </w:r>
    </w:p>
    <w:p w:rsidR="001B37D0" w:rsidRDefault="001B37D0" w:rsidP="00F146A6">
      <w:pPr>
        <w:pStyle w:val="a3"/>
        <w:rPr>
          <w:rtl/>
        </w:rPr>
      </w:pPr>
      <w:r>
        <w:rPr>
          <w:rFonts w:hint="cs"/>
          <w:rtl/>
        </w:rPr>
        <w:t>ולפי ההוראה בשיחה הנ"ל יש להמתיק קביעת השיעור בזה שהקטן "מתהלך לבדו בשוק", וגם בגדול תלה בזה ש"יוצא בה דרך עראי". כי מצות ציצית באה לקדש אופן התייחסות האדם ביציאתו לעולם, להגיע אל "בכל דרכיך דעהו". (בערוך השלחן (סי' טז) קישר שיעור בן ט' לזה שביאתו ביאה. וי"ל דה"ה, ואכ"מ). והיינו השיעור של "מתהלך לבדו בשוק", שהקדושה תחדור את השוק. ואולי גם השיעור לגדול ש"יוצא בה דרך עראי", שכאשר בנערותו התרגל להיות "ראשו ורובו" עטופים ב"פריסו דמצוה", אז יש לצפות "לכשיזקין" תהא יציאתו לשוק "דרך עראי", כי עיקרי מאוויו יהיו עבודת ה' ולימוד תורתו.</w:t>
      </w:r>
    </w:p>
    <w:p w:rsidR="001B37D0" w:rsidRDefault="001B37D0" w:rsidP="00F146A6">
      <w:pPr>
        <w:pStyle w:val="a3"/>
        <w:rPr>
          <w:rtl/>
        </w:rPr>
      </w:pPr>
      <w:r>
        <w:rPr>
          <w:rFonts w:hint="cs"/>
          <w:rtl/>
        </w:rPr>
        <w:t xml:space="preserve">והערה אחרונה: אחרי ההוראה הנפלאה בשיחה זו אודות כיסוי הטלית את כל ראשו ורוב גופו, יש לעיין בטעם שמצות סוכה גם היא נקבעה בשיעור "ראשו ורובו [ושלחנו]". ולא </w:t>
      </w:r>
      <w:r>
        <w:rPr>
          <w:rtl/>
        </w:rPr>
        <w:t>–</w:t>
      </w:r>
      <w:r>
        <w:rPr>
          <w:rFonts w:hint="cs"/>
          <w:rtl/>
        </w:rPr>
        <w:t xml:space="preserve"> כדמקשה בשיחה זו </w:t>
      </w:r>
      <w:r>
        <w:rPr>
          <w:rtl/>
        </w:rPr>
        <w:t>–</w:t>
      </w:r>
      <w:r>
        <w:rPr>
          <w:rFonts w:hint="cs"/>
          <w:rtl/>
        </w:rPr>
        <w:t xml:space="preserve"> כדמצינו במקוה שצ"ל מכסה את כולו, ולא סמכינן ביה ב'רובו ככולו'. ותן לחכם ויחכם עוד.</w:t>
      </w:r>
    </w:p>
    <w:p w:rsidR="001B37D0" w:rsidRDefault="000836F8" w:rsidP="00FE4765">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r w:rsidR="001B37D0" w:rsidRPr="001B37D0">
        <w:rPr>
          <w:rFonts w:ascii="Nymphette" w:eastAsia="Times New Roman" w:hAnsi="Nymphette" w:cs="Nymphette"/>
          <w:sz w:val="44"/>
          <w:szCs w:val="44"/>
        </w:rPr>
        <w:t xml:space="preserve"> </w:t>
      </w:r>
    </w:p>
    <w:p w:rsidR="00FE4765" w:rsidRDefault="00FE4765" w:rsidP="00FE4765">
      <w:pPr>
        <w:pStyle w:val="a0"/>
        <w:rPr>
          <w:rFonts w:cs="Nymphette"/>
          <w:rtl/>
        </w:rPr>
      </w:pPr>
      <w:bookmarkStart w:id="167" w:name="_Toc43963132"/>
      <w:r w:rsidRPr="00FE4765">
        <w:rPr>
          <w:rFonts w:hint="cs"/>
          <w:rtl/>
        </w:rPr>
        <w:t>נכרי</w:t>
      </w:r>
      <w:r w:rsidRPr="00FE4765">
        <w:rPr>
          <w:rtl/>
        </w:rPr>
        <w:t xml:space="preserve"> </w:t>
      </w:r>
      <w:r w:rsidRPr="00FE4765">
        <w:rPr>
          <w:rFonts w:hint="cs"/>
          <w:rtl/>
        </w:rPr>
        <w:t>שהוסיף</w:t>
      </w:r>
      <w:r w:rsidRPr="00FE4765">
        <w:rPr>
          <w:rtl/>
        </w:rPr>
        <w:t xml:space="preserve"> </w:t>
      </w:r>
      <w:r w:rsidRPr="00FE4765">
        <w:rPr>
          <w:rFonts w:hint="cs"/>
          <w:rtl/>
        </w:rPr>
        <w:t>נר</w:t>
      </w:r>
      <w:r w:rsidRPr="00FE4765">
        <w:rPr>
          <w:rtl/>
        </w:rPr>
        <w:t xml:space="preserve"> </w:t>
      </w:r>
      <w:r w:rsidRPr="00FE4765">
        <w:rPr>
          <w:rFonts w:hint="cs"/>
          <w:rtl/>
        </w:rPr>
        <w:t>בשביל</w:t>
      </w:r>
      <w:r w:rsidRPr="00FE4765">
        <w:rPr>
          <w:rtl/>
        </w:rPr>
        <w:t xml:space="preserve"> </w:t>
      </w:r>
      <w:r w:rsidRPr="00FE4765">
        <w:rPr>
          <w:rFonts w:hint="cs"/>
          <w:rtl/>
        </w:rPr>
        <w:t>ישראל</w:t>
      </w:r>
      <w:bookmarkEnd w:id="167"/>
    </w:p>
    <w:p w:rsidR="00FE4765" w:rsidRDefault="00FE4765" w:rsidP="00F146A6">
      <w:pPr>
        <w:pStyle w:val="a"/>
        <w:rPr>
          <w:rtl/>
        </w:rPr>
      </w:pPr>
      <w:bookmarkStart w:id="168" w:name="_Toc43963133"/>
      <w:r>
        <w:rPr>
          <w:rFonts w:hint="cs"/>
          <w:rtl/>
        </w:rPr>
        <w:t xml:space="preserve">הרב </w:t>
      </w:r>
      <w:r w:rsidRPr="00237169">
        <w:rPr>
          <w:rtl/>
        </w:rPr>
        <w:t>מאיר צירקינד</w:t>
      </w:r>
      <w:bookmarkEnd w:id="168"/>
    </w:p>
    <w:p w:rsidR="00FE4765" w:rsidRPr="00FE4765" w:rsidRDefault="00FE4765" w:rsidP="00FE4765">
      <w:pPr>
        <w:pStyle w:val="a1"/>
        <w:rPr>
          <w:lang w:val="en-GB"/>
        </w:rPr>
      </w:pPr>
      <w:r>
        <w:rPr>
          <w:rtl/>
          <w:lang w:val="en-GB"/>
        </w:rPr>
        <w:t>מיאמי</w:t>
      </w:r>
      <w:r>
        <w:rPr>
          <w:rFonts w:hint="cs"/>
          <w:rtl/>
          <w:lang w:val="en-GB"/>
        </w:rPr>
        <w:t>,</w:t>
      </w:r>
      <w:r>
        <w:rPr>
          <w:rtl/>
          <w:lang w:val="en-GB"/>
        </w:rPr>
        <w:t xml:space="preserve"> </w:t>
      </w:r>
      <w:r>
        <w:rPr>
          <w:rFonts w:hint="cs"/>
          <w:rtl/>
          <w:lang w:val="en-GB"/>
        </w:rPr>
        <w:t>פלורידה</w:t>
      </w:r>
    </w:p>
    <w:p w:rsidR="00FE4765" w:rsidRPr="00237169" w:rsidRDefault="00FE4765" w:rsidP="00F146A6">
      <w:pPr>
        <w:pStyle w:val="a3"/>
      </w:pPr>
      <w:r w:rsidRPr="00237169">
        <w:rPr>
          <w:rtl/>
        </w:rPr>
        <w:t>א. כתב כ"ק אדה"ז בשו"ע שלו (סי' רעו,יד): "וכן אם היה נר דולק מבעוד יום או לצורך נכרי או לצורך חולה ובא נכרי והוסיף עוד נר בשביל ישראל אין היתר להשתמש לאורו אלא בעוד שהנר הראשון דולק אבל לאחר שכבה הראשון אסור להשתמש לאור השני וכן אם הוסיף שמן בנר הדולק אין היתר להשתמש לאורו אלא עד בכדי שיכלה השמן שהיה בנר בתחלה ואח"כ אסור. ויש חולקין על זה ומתירין בין במדורה בין בנר בין בהוספת השמן אע"פ שהם של ישראל דכיון שבתחלה כשעשה הנכרי האיסור בשביל הישראל היה מותר ליהנות ממנו לא יצא מידי התירו לעולם אף לאחר שכלו עצים הראשונים או הנר הראשון או השמן הראשון ובמקום צורך גדול דהיינו שעונג שבת תלוי בזה יש לסמוך על דבריהם להקל."</w:t>
      </w:r>
    </w:p>
    <w:p w:rsidR="00FE4765" w:rsidRPr="00237169" w:rsidRDefault="00FE4765" w:rsidP="00F146A6">
      <w:pPr>
        <w:pStyle w:val="a3"/>
      </w:pPr>
      <w:r w:rsidRPr="00237169">
        <w:rPr>
          <w:rtl/>
        </w:rPr>
        <w:t xml:space="preserve">בקו"א סק"ה כתב כ"ק למקור המתירים: "אבל לאחר שכלו עצים הראשונים וכבה </w:t>
      </w:r>
      <w:r w:rsidRPr="00237169">
        <w:rPr>
          <w:rtl/>
        </w:rPr>
        <w:lastRenderedPageBreak/>
        <w:t>נר הראשון אלא שהוא צורך גדול, אף שדעת הב"י וב"ח ומג"א להחמיר, מכל מקום כיון שהוא צורך גדול בשבת הרי זה נקרא שעת הדחק שסומכים בדרבנן אפילו על יחיד במקום רבים, וכ"ש שמשמעות סתימת לשון ספר התרומה וסמ"ג ומרדכי והגהות מיימוניות מורה כמ"ש הט"ז." עכלה"ק.</w:t>
      </w:r>
    </w:p>
    <w:p w:rsidR="00FE4765" w:rsidRPr="00237169" w:rsidRDefault="00FE4765" w:rsidP="00F146A6">
      <w:pPr>
        <w:pStyle w:val="a3"/>
      </w:pPr>
      <w:r w:rsidRPr="00237169">
        <w:rPr>
          <w:rtl/>
        </w:rPr>
        <w:t>היינו בעצם הט"ז הוא המקיל בדבר (לצורך גדול) וסברתו בנוי על ב' דברים. א) (עיין בט"ז סק"ג וד') ממשמעות סתימת לשון ספר התרומה וסמ"ג ומרדכי והגהות מיימוניות. דהיינו משכתבו הדין של 'אם יש נר בבית ישראל ובא א"י והדליק נר אחר - מותר להשתמש לאורו' אבל (סתמו ו)לא חילקו 'שלאחר שיכבה הראשון אסור להשתמש לאור השני' משמע שלא סבירא להו האי מילתא. ב) דברי הגמ"נ שכתבו וז"ל וזכרני כשהייתי אצל מורי (היינו המהר"ם ז"ל) במגדול ווישבורק בע"ש עשינו [מדורה] להתחמם בשבת כנגדה וכשישבנו עד שכמעט מדורה היתה כלה באו העבדים ועשאוה גדולה ואמרו בפירוש שעשאוה לנו לנחת רוח וישבנו אנחנו אצלה ושמחנו בדבר עכ"ל.</w:t>
      </w:r>
    </w:p>
    <w:p w:rsidR="00FE4765" w:rsidRPr="00237169" w:rsidRDefault="00FE4765" w:rsidP="00F146A6">
      <w:pPr>
        <w:pStyle w:val="a3"/>
      </w:pPr>
      <w:r w:rsidRPr="00237169">
        <w:rPr>
          <w:rtl/>
        </w:rPr>
        <w:t>ב. על מש"כ הט"ז ראי' ממעשה רב של המהר"ם ז"ל כבר הקשה כ"ק בקו"א הנ"ל על זה "וצ"ע בט"ז דלצורך גדול גבי מדורה היינו דומיא דארצות הקרות דמותר אפילו אמירה, וצ"ע". עכלה"ק.</w:t>
      </w:r>
    </w:p>
    <w:p w:rsidR="00FE4765" w:rsidRPr="00237169" w:rsidRDefault="00FE4765" w:rsidP="00F146A6">
      <w:pPr>
        <w:pStyle w:val="a3"/>
      </w:pPr>
      <w:r w:rsidRPr="00237169">
        <w:rPr>
          <w:rtl/>
        </w:rPr>
        <w:t>ג. ועל שאר דברי הט"ז, וכן מה שהקשה הב"ח בד"ה ואם יש נר, "אבל מה שכתב רבינו (הטור) דלאחר שכבה הראשון אסור להשתמש לאור השני וכן אם נתן שמן בנר הדלוק וכו', אין כתוב שם איסור זה, ואדרבה במרדכי שם כתוב להדיא דבנתן שמן בנר נמי שרי כי היכי דשרי בהדליק עוד נרות או הרבה לתת עצים ודוחק לפרש דמיירי דוקא עד שיכבה הראשון ועד שיכלה השמן שהיה בו כבר דהוה ליה לפרש מדלא פירש אלמא דשרי לגמרי, ותו דכיון דטעם האיסור הוא כיון שהגוי עשה מלאכה באיסור דאורייתא בשביל ישראל אסורין בו כל ישראל השתא כיון דבשעה שנעשה המעשה בהדלקת הנרות או בהבערת האש ונתינת השמן בנר לא היה אז שום איסור לישראל שוב אין האיסור חוזר וניעור"</w:t>
      </w:r>
    </w:p>
    <w:p w:rsidR="00FE4765" w:rsidRPr="00237169" w:rsidRDefault="00FE4765" w:rsidP="00F146A6">
      <w:pPr>
        <w:pStyle w:val="a3"/>
      </w:pPr>
      <w:r w:rsidRPr="00237169">
        <w:rPr>
          <w:rtl/>
        </w:rPr>
        <w:t>צריך לי עיון איך יפרנסו דברי הירושלמי (כלאים פ"ג ה"ב) על מתני' "גובל שהיה גבוה טפח ונתמעט כשר. שהיה כשר מתחילתו". (גבול של הערוגה שהיה גבוה טפח כשזרעו בו הי"ב זרעונים דתנן לעיל ואח"כ נתמעט כשר ומותר לקיים הזרעים ואעפ"י שאין עכשיו גבוה טפח לפי שהיה כשר מתחלתו בשעת זריעה אבל אסור לזרוע בו לכתחילה לאחר שנתמעט כסדר שנשנה -פ.מ.)</w:t>
      </w:r>
    </w:p>
    <w:p w:rsidR="00FE4765" w:rsidRPr="00237169" w:rsidRDefault="00FE4765" w:rsidP="00F146A6">
      <w:pPr>
        <w:pStyle w:val="a3"/>
      </w:pPr>
      <w:r w:rsidRPr="00237169">
        <w:rPr>
          <w:rtl/>
        </w:rPr>
        <w:t xml:space="preserve">ומבאר שם בגמרא: נתמעט כשר (הא דתנינן במתני' גבול שהיה גבוה טפח ונתמעט כשר מפרש ר' אימי דוקא לזרעים שבו שנזרעו כשהיה גבוה טפח כשר ומותר לקיימן אע"פ שנתמעט הגבול אבל לזרוע בו בתחלה אחר שנתמעט אסור -פ.מ.): </w:t>
      </w:r>
      <w:r w:rsidRPr="00237169">
        <w:rPr>
          <w:rtl/>
        </w:rPr>
        <w:lastRenderedPageBreak/>
        <w:t>אמר רבי אימי הדא דאת אמר לזרעים שבו הא לזרע בו בתחילה אסור. (אחר שנתמעט מאחר שאלו הזרעים הראשונים מותרין אף אלו השניים מותרין -פ.מ.).עבר וזרע? מאחר שאלו מותרין אף אלו מותרין.</w:t>
      </w:r>
    </w:p>
    <w:p w:rsidR="00FE4765" w:rsidRPr="00237169" w:rsidRDefault="00FE4765" w:rsidP="00F146A6">
      <w:pPr>
        <w:pStyle w:val="a3"/>
      </w:pPr>
      <w:r w:rsidRPr="00237169">
        <w:rPr>
          <w:rtl/>
        </w:rPr>
        <w:t>רבי ירמיה בעי, ניחא נעקרו השניים הראשונים מותרין. נעקרו הראשונים השניים מה הן? (כלומר הא ניחא לן בפשיטות שאם נעקרו זרעים השניים הראשונים מותרין שהרי עומדין בהכשרן כי קמיבעיא לן אם נעקרו הראשונים השניים מה הן, מי נימא הואיל ובשעת זרע השניים היו עדיין הראשונים קיימים והרי הן בהכשרן אע"פ שנעקרו הראשונים או דילמא מכיון שנעקרו אין כאן המתיר להשניים ואסורין הן לקיימן שנזרעו באיסור -פ.מ.)</w:t>
      </w:r>
    </w:p>
    <w:p w:rsidR="00FE4765" w:rsidRPr="00237169" w:rsidRDefault="00FE4765" w:rsidP="00F146A6">
      <w:pPr>
        <w:pStyle w:val="a3"/>
      </w:pPr>
      <w:r w:rsidRPr="00237169">
        <w:rPr>
          <w:rtl/>
        </w:rPr>
        <w:t>נישמעינה מן הדא. (דתנן בפ' י"ט דכלים מטה שהיתה טמאה וניטלו שתי ארוכות שלה ולא נשתברו וראויות הן להחזירן למקומן ולא נטהרה המטה מטומאתה בנטילת הארוכות: -פ.מ.) המיטה שניטלו שתי ארוכות שלה ועשה לה (ארוכות חדשות ולא שינה את הנקבים של המטה לפי מדת החדשות לפיכך אף אם נשתברו החדשות עדיין המטה בטומאתה שהרי הישנות קיימות הן ולא נשתנו הנקבים שלה -פ.מ.) את החדשות ולא שינה את הנקבי'. נשתברו חדשות טמיאה וישנות (ואם נשתברו הישנות טהורה שהכל הולך אחר הישנות שהן היו במטה כשנטמאת וכשנשתברו הויא המטה שבר כלי דלא חזיא בלא ארוכות אלמא אע"פ שעשה החדשות בשעה שעדיין הישנות קיימות היו מ"מ אין הכל הולך אלא אחר הישנות הדא אמרה וכו' נעקרו הראשונים השניות אסורין לפי שהכל הולך אחר הראשונים שנזרעו בעת שהיה הגבול גבוה טפח וכשנעקרו נשארו השניים באיסורן -פ.מ.) טהורה שהכל הולך אחר הישנות. הדא אמרה נעקרו השניים הראשונים מותרין. נעקרו הראשונים השניים אסורין." עכ"ל הירושלמי.</w:t>
      </w:r>
    </w:p>
    <w:p w:rsidR="00FE4765" w:rsidRPr="00237169" w:rsidRDefault="00FE4765" w:rsidP="00F146A6">
      <w:pPr>
        <w:pStyle w:val="a3"/>
      </w:pPr>
      <w:r w:rsidRPr="00237169">
        <w:rPr>
          <w:rtl/>
        </w:rPr>
        <w:t>היינו להדיא שהאיסור חוזר וניעור לאחר שנעקרו הראשונים!</w:t>
      </w:r>
    </w:p>
    <w:p w:rsidR="001B37D0" w:rsidRDefault="001B37D0" w:rsidP="001B37D0">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FE4765" w:rsidRDefault="00FE4765" w:rsidP="00FE4765">
      <w:pPr>
        <w:pStyle w:val="a0"/>
        <w:rPr>
          <w:rtl/>
        </w:rPr>
      </w:pPr>
      <w:bookmarkStart w:id="169" w:name="_Toc43963134"/>
      <w:r w:rsidRPr="003455D9">
        <w:rPr>
          <w:rFonts w:hint="cs"/>
          <w:rtl/>
        </w:rPr>
        <w:t>בדין מנין מצו</w:t>
      </w:r>
      <w:r>
        <w:rPr>
          <w:rFonts w:hint="cs"/>
          <w:rtl/>
        </w:rPr>
        <w:t>מ</w:t>
      </w:r>
      <w:r w:rsidRPr="003455D9">
        <w:rPr>
          <w:rFonts w:hint="cs"/>
          <w:rtl/>
        </w:rPr>
        <w:t xml:space="preserve">צם </w:t>
      </w:r>
      <w:r>
        <w:rPr>
          <w:rFonts w:hint="cs"/>
          <w:rtl/>
        </w:rPr>
        <w:t>ואחד ש</w:t>
      </w:r>
      <w:r w:rsidRPr="003455D9">
        <w:rPr>
          <w:rFonts w:hint="cs"/>
          <w:rtl/>
        </w:rPr>
        <w:t xml:space="preserve">לא התפלל לחש </w:t>
      </w:r>
      <w:r>
        <w:rPr>
          <w:rFonts w:hint="cs"/>
          <w:rtl/>
        </w:rPr>
        <w:t>האם יכול להיות ש"ץ</w:t>
      </w:r>
      <w:bookmarkEnd w:id="169"/>
    </w:p>
    <w:p w:rsidR="00FE4765" w:rsidRPr="00A13565" w:rsidRDefault="00FE4765" w:rsidP="00F146A6">
      <w:pPr>
        <w:pStyle w:val="a"/>
        <w:rPr>
          <w:rtl/>
        </w:rPr>
      </w:pPr>
      <w:bookmarkStart w:id="170" w:name="_Toc43963135"/>
      <w:r>
        <w:rPr>
          <w:rFonts w:hint="cs"/>
          <w:rtl/>
        </w:rPr>
        <w:t xml:space="preserve">הרב </w:t>
      </w:r>
      <w:r w:rsidRPr="00A13565">
        <w:rPr>
          <w:rFonts w:hint="cs"/>
          <w:rtl/>
        </w:rPr>
        <w:t>יהושע אברהם הכהן דובינסקי</w:t>
      </w:r>
      <w:bookmarkEnd w:id="170"/>
    </w:p>
    <w:p w:rsidR="00FE4765" w:rsidRPr="00A13565" w:rsidRDefault="00FE4765" w:rsidP="00FE4765">
      <w:pPr>
        <w:pStyle w:val="a1"/>
        <w:rPr>
          <w:rtl/>
        </w:rPr>
      </w:pPr>
      <w:r w:rsidRPr="00A13565">
        <w:rPr>
          <w:rFonts w:hint="cs"/>
          <w:rtl/>
        </w:rPr>
        <w:t>תושב פסיעק נד"ז</w:t>
      </w:r>
    </w:p>
    <w:p w:rsidR="00FE4765" w:rsidRDefault="00FE4765" w:rsidP="00F146A6">
      <w:pPr>
        <w:pStyle w:val="a3"/>
        <w:rPr>
          <w:rtl/>
        </w:rPr>
      </w:pPr>
      <w:r>
        <w:rPr>
          <w:rFonts w:hint="cs"/>
          <w:rtl/>
        </w:rPr>
        <w:t>בדין מנין מצומצם והאיש העשירי</w:t>
      </w:r>
      <w:r>
        <w:t xml:space="preserve"> </w:t>
      </w:r>
      <w:r>
        <w:rPr>
          <w:rFonts w:hint="cs"/>
          <w:rtl/>
        </w:rPr>
        <w:t>עדיין לא התפלל שמו"ע דלחש</w:t>
      </w:r>
      <w:r>
        <w:t xml:space="preserve"> </w:t>
      </w:r>
      <w:r>
        <w:rPr>
          <w:rFonts w:hint="cs"/>
          <w:rtl/>
        </w:rPr>
        <w:t xml:space="preserve">שחרית, והשאלה אם עליו לעמוד כש"ץ ולחזור שמו"ע בקול בלא תפלת לחש קודם, כדי שלא להטריח הציבור להמתין עד שיסיים תפילת שמו"ע דלחש (וראיתי בכמה מקומות </w:t>
      </w:r>
      <w:r>
        <w:rPr>
          <w:rFonts w:hint="cs"/>
          <w:rtl/>
        </w:rPr>
        <w:lastRenderedPageBreak/>
        <w:t>שהעשירי עולה מיד לעמוד אף שלא התפלל לחש וחוזר שמו"ע בקול)?</w:t>
      </w:r>
    </w:p>
    <w:p w:rsidR="00FE4765" w:rsidRDefault="00FE4765" w:rsidP="00F146A6">
      <w:pPr>
        <w:pStyle w:val="a3"/>
        <w:rPr>
          <w:rtl/>
        </w:rPr>
      </w:pPr>
      <w:r>
        <w:rPr>
          <w:rFonts w:hint="cs"/>
          <w:rtl/>
        </w:rPr>
        <w:t>הנה בסי' קכ"ד ס"ג כתב רבינו "ש"ץ שנכנס לבית הכנסת ומצא צבור שהתפללו בלחש, והוא צריך לעבור להם לפני התיבה לאלתר, יורד לפני התיבה ומתפלל בקול רם לצבור. ואין צריך לחזור ולהתפלל בלחש, לאחרים מוציא לעצמו לא כ"ש. ואין בזה חשש המשמיע קולו בתפלתו ה"ז מקטני אמנה, כיון שעל ידי הדחק הוא עושה כן.</w:t>
      </w:r>
    </w:p>
    <w:p w:rsidR="00FE4765" w:rsidRDefault="00FE4765" w:rsidP="00F146A6">
      <w:pPr>
        <w:pStyle w:val="a3"/>
        <w:rPr>
          <w:rtl/>
        </w:rPr>
      </w:pPr>
      <w:r>
        <w:rPr>
          <w:rFonts w:hint="cs"/>
          <w:rtl/>
        </w:rPr>
        <w:t xml:space="preserve">וכן אם הוא שעת הדחק שאי אפשר להתפלל בלחש תחלה, כגון שירא שמא יעבור זמן התפלה ולא יוכל לגמור כל י"ח ברכות של חזרת התפלה תוך זמן התפלה, יכול להתפלל מיד בקול רם והצבור מתפללין עמו מלה במלה בלחש עד לאחר הא-ל הקדוש. וטוב שיהיה אחד לכל הפחות שיענה אמן אחר ברכת הש"ץ אם יהיה לו שהות להתפלל אח"כ, או שהתפלל כבר". </w:t>
      </w:r>
    </w:p>
    <w:p w:rsidR="00FE4765" w:rsidRDefault="00FE4765" w:rsidP="00F146A6">
      <w:pPr>
        <w:pStyle w:val="a3"/>
        <w:rPr>
          <w:rtl/>
        </w:rPr>
      </w:pPr>
      <w:r>
        <w:rPr>
          <w:rFonts w:hint="cs"/>
          <w:rtl/>
        </w:rPr>
        <w:t xml:space="preserve">בהשקפה ראשונה משמע מדברי רבינו שבמקרה דינן מותר לעשירי שעדיין לא התפלל שמו"ע לחש - להתפלל בקול רם בתור ש"ץ. </w:t>
      </w:r>
    </w:p>
    <w:p w:rsidR="00FE4765" w:rsidRDefault="00FE4765" w:rsidP="00F146A6">
      <w:pPr>
        <w:pStyle w:val="a3"/>
      </w:pPr>
      <w:r w:rsidRPr="002C00D9">
        <w:rPr>
          <w:rFonts w:hint="cs"/>
          <w:rtl/>
        </w:rPr>
        <w:t>ועוד דבשו"ע רבינו סי' ק</w:t>
      </w:r>
      <w:r>
        <w:rPr>
          <w:rFonts w:hint="cs"/>
          <w:rtl/>
        </w:rPr>
        <w:t>כ"ו</w:t>
      </w:r>
      <w:r w:rsidRPr="002C00D9">
        <w:rPr>
          <w:rFonts w:hint="cs"/>
          <w:rtl/>
        </w:rPr>
        <w:t xml:space="preserve"> סעיף </w:t>
      </w:r>
      <w:r>
        <w:rPr>
          <w:rFonts w:hint="cs"/>
          <w:rtl/>
        </w:rPr>
        <w:t>ד' כת</w:t>
      </w:r>
      <w:r w:rsidRPr="002C00D9">
        <w:rPr>
          <w:rFonts w:hint="cs"/>
          <w:rtl/>
        </w:rPr>
        <w:t>ב "</w:t>
      </w:r>
      <w:r>
        <w:rPr>
          <w:rFonts w:hint="cs"/>
          <w:rtl/>
        </w:rPr>
        <w:t>אם טעה ש"ץ כשהתפלל בלחש, לעולם אינו חוזר ומתפלל שנית בלחש מפני טורח הצבור, אלא סומך על התפלה שיתפלל בקול רם כו'</w:t>
      </w:r>
      <w:r w:rsidRPr="002C00D9">
        <w:rPr>
          <w:rFonts w:hint="cs"/>
          <w:rtl/>
        </w:rPr>
        <w:t xml:space="preserve">". </w:t>
      </w:r>
      <w:r>
        <w:rPr>
          <w:rFonts w:hint="cs"/>
          <w:rtl/>
        </w:rPr>
        <w:t>ולדעת הרבה פוסקים ס"ל דתפילה ראשונה הוי כלא התפלל כלל, ומ"מ מפני טירחא דציבורא מותר לו לחזור חזרת הש"ץ (עיין שו"ע רבינו סי' ק"ח ס"ק י"ז שהדבר מוכרע</w:t>
      </w:r>
      <w:r>
        <w:rPr>
          <w:rStyle w:val="FootnoteReference"/>
          <w:rtl/>
        </w:rPr>
        <w:footnoteReference w:id="180"/>
      </w:r>
      <w:r>
        <w:rPr>
          <w:rFonts w:hint="cs"/>
          <w:rtl/>
        </w:rPr>
        <w:t xml:space="preserve">). וכמו"כ במקרה דינן שבאמת לא התפלל כלל לחש, לכאורה יהא מותר לו להתפלל מיד כדי שלא יהא טירחה דציבורא. </w:t>
      </w:r>
    </w:p>
    <w:p w:rsidR="00FE4765" w:rsidRDefault="00FE4765" w:rsidP="00F146A6">
      <w:pPr>
        <w:pStyle w:val="a3"/>
        <w:rPr>
          <w:rtl/>
        </w:rPr>
      </w:pPr>
      <w:r>
        <w:rPr>
          <w:rFonts w:hint="cs"/>
          <w:rtl/>
        </w:rPr>
        <w:t>ב. אמנם כד עיינת שפיר יש לחלק דשאני הכא במקרה דינן שהמתפלל במנין אינו ש"ץ קבוע, ומש"כ רבינו בסי' קכ"ד איירי בש"ץ קבוע שבימיהם כדמשמע מלשונו "</w:t>
      </w:r>
      <w:r w:rsidRPr="00ED0F73">
        <w:rPr>
          <w:rFonts w:hint="cs"/>
          <w:b/>
          <w:bCs/>
          <w:rtl/>
        </w:rPr>
        <w:t xml:space="preserve">ש"ץ </w:t>
      </w:r>
      <w:r>
        <w:rPr>
          <w:rFonts w:hint="cs"/>
          <w:rtl/>
        </w:rPr>
        <w:t xml:space="preserve">שנכנס לבית הכנסת ומצא צבור שהתפללו בלחש </w:t>
      </w:r>
      <w:r w:rsidRPr="00ED0F73">
        <w:rPr>
          <w:rFonts w:hint="cs"/>
          <w:b/>
          <w:bCs/>
          <w:rtl/>
        </w:rPr>
        <w:t>והוא צריך לעבור להם לפני התיבה לאלתר</w:t>
      </w:r>
      <w:r>
        <w:rPr>
          <w:rFonts w:hint="cs"/>
          <w:rtl/>
        </w:rPr>
        <w:t>",</w:t>
      </w:r>
      <w:r>
        <w:t xml:space="preserve"> </w:t>
      </w:r>
      <w:r>
        <w:rPr>
          <w:rFonts w:hint="cs"/>
          <w:rtl/>
        </w:rPr>
        <w:t xml:space="preserve">והטעם </w:t>
      </w:r>
      <w:r>
        <w:rPr>
          <w:rFonts w:hint="cs"/>
        </w:rPr>
        <w:t xml:space="preserve"> </w:t>
      </w:r>
      <w:r>
        <w:rPr>
          <w:rFonts w:hint="cs"/>
          <w:rtl/>
        </w:rPr>
        <w:t>הוא משום שאין אחר שיכול להיות ש"ץ כמש"כ בקצות השולחן סימן כ"ב ס"א "והש"ץ יכול להתפלל בקול רם אף שלא התפלל לחש תחלה אם אין שם אחר שירד לפני התיבה"</w:t>
      </w:r>
      <w:r>
        <w:t>.</w:t>
      </w:r>
      <w:r>
        <w:rPr>
          <w:rFonts w:hint="cs"/>
          <w:rtl/>
        </w:rPr>
        <w:t xml:space="preserve"> משמע דאיירי שאין אחר, הא יש אחר עדיף שהוא ירד לפני התיבה. וכ"כ במשנ"ב ס"ק ד' דמיירי דאין בהן אחד שיכול להתפלל לפני העמוד, </w:t>
      </w:r>
      <w:r>
        <w:t>"</w:t>
      </w:r>
      <w:r>
        <w:rPr>
          <w:rFonts w:hint="cs"/>
          <w:rtl/>
        </w:rPr>
        <w:t xml:space="preserve">אבל בלאו הכי אינו נכון שהוא יתפלל להם בקול רם כיון שלא התפלל מתחלה בלחש בשביל עצמו". משמע דוקא בש"ץ שבימיהם שהיה מתפלל בקול להוציא את האינם בקיאים (או הבקי שאינו יודע להתפלל בקול) וזה היה שליחותו להתפלל לאלתר אחר גמר שמו"ע דלחש,  אבל בלאו הכי יש לבעל דין לחלוק שעל הציבור להמתין ואין לו דין ש"ץ. ועוד כתב המ"ב בס"ק ו' : (במקרה שהשעה עוברת) </w:t>
      </w:r>
      <w:r>
        <w:rPr>
          <w:rFonts w:hint="cs"/>
          <w:rtl/>
        </w:rPr>
        <w:lastRenderedPageBreak/>
        <w:t>ובלא שעת הדחק הסכימו הרבה אחרונים שלא לעשות כן, כי עיקר התקנה היתה מדינא להתפלל מתחילה בלחש ואח"כ בקול רם". וכך משמע גם בשו"ע רבינו סי' ס"ט ס"ה עיי"ש.</w:t>
      </w:r>
    </w:p>
    <w:p w:rsidR="00FE4765" w:rsidRDefault="00FE4765" w:rsidP="00F146A6">
      <w:pPr>
        <w:pStyle w:val="a3"/>
        <w:rPr>
          <w:rtl/>
        </w:rPr>
      </w:pPr>
      <w:r>
        <w:rPr>
          <w:rFonts w:hint="cs"/>
          <w:rtl/>
        </w:rPr>
        <w:t>ואולי יש לומר דמ"מ יש לדמות למש"כ רבינו בסי' קכ"ד די"ל דזה העשירי נעשה לו דין של ש"ץ דימיהם, דלכאורה במקרה דינן יש דין טירחא דציבורא אם יתפלל לחש קודם ויצטרכו להמתין, שהרי אין אחר שיכול להיות ש"ץ מחמת שבלעדיו אין ציבור, ולמאי נפק"מ אם הוא ש"ץ קבוע או לאו. אבל באמת אינו (מלבד מה שכתבנו לעיל שהש"ץ היה צריך "לעבור לפני התיבה לאלתר" מחמת שזה היה תפקיד שלו או משום שלא היו ממתינים לו), דיש לומר אדרבא הוא עצמו יתפלל ביחד לחש עם הש"ץ כדלקמן. והוא עדיף מלהיות הוא עצמו הש"ץ דיש בזה ב' רעיותות: א' המשמיע קולו בתפילתו (ודוקא בשעת הדחק מותר). ב' שצריך להתפלל לחש כתקנת חכמים לפני שמתפלל בקול (ועיין לקמן הטעם). ובפרט ע"פ מש"כ בספר כף החיים סי' קכ"ד ס"ק ח' וס"ק ט' בשם פרע"ח דאין לומר העמידה בשחרית ומנחה כ"א תחלה בלחש, ואח"כ יאמר החזרה בקול רם. ומביא בשם כף הכהן סי' ק"ט מתשובת יעב"ץ דאם לא התפלל בלחש ומצא צבור שגמרו בלחש, אינו יכול לומר החזרה ויעלה לשניהם, דאין תפלה החזרה אא"כ קדמה לה תפלת הלחש וכו' דכל דבר שלא נזכר בהדיא בתלמוד ונחלקו בו הפוסקים דעת המקובלים יכריע וכ"ש בענין זה שב ועל תעשה עדיף עכת"ד. וכ"ש דהתם בסי' קכ"ד איירי בש"ץ הקבוע דימיהם, אבל במקרה דינן י"ל שיתפלל יחד עם הש"ץ ויעלה לו תפילה בציבור וגם יצטרף לעשרה</w:t>
      </w:r>
      <w:r>
        <w:rPr>
          <w:rStyle w:val="FootnoteReference"/>
          <w:rtl/>
        </w:rPr>
        <w:footnoteReference w:id="181"/>
      </w:r>
      <w:r>
        <w:rPr>
          <w:rFonts w:hint="cs"/>
          <w:rtl/>
        </w:rPr>
        <w:t xml:space="preserve">. </w:t>
      </w:r>
    </w:p>
    <w:p w:rsidR="00FE4765" w:rsidRDefault="00FE4765" w:rsidP="00F146A6">
      <w:pPr>
        <w:pStyle w:val="a3"/>
        <w:rPr>
          <w:rtl/>
        </w:rPr>
      </w:pPr>
      <w:r>
        <w:rPr>
          <w:rFonts w:hint="cs"/>
          <w:rtl/>
        </w:rPr>
        <w:t>ג. ואולי יש להביא הוכחה דכשמתפלל יחד עם הש"ץ דינו כתפילה בציבור, וגם מצטרף עם הציבור. דהנה באשל אברהם ריש סי' נ"ב כתב</w:t>
      </w:r>
      <w:r>
        <w:t>:</w:t>
      </w:r>
      <w:r>
        <w:rPr>
          <w:rFonts w:hint="cs"/>
          <w:rtl/>
        </w:rPr>
        <w:t xml:space="preserve"> "אין ספק שכשמתפללים בעת חזרת הש"ץ התפילה, הרי זה תפילה עם הציבור ממש, כי הרי בהכרח יש יו"ד דצייתי והם העונים ממש לכולי עלמא. ומש"כ בשו"ע בשם הגאונים ע"ה שידלג, היינו כשהוא באופן שאי שאפשר להתפלל כאחד עם הש"ץ בחזרה. או מצד שרגיל לעורר כוונתו על ידי קול ויתבלבלו הציבור בתפילתם בלחש על ידי קולות שלו. או מצד שהוא נחפז שיעוכב עד החזרה. או שכשלא ידלג יוקדם גם חזרת הש"ץ לתפילתו. או שלא יהיה אפשר לו להמתין עד חזרת הש"ץ בשתיקה ואולי יבא לידי הפסק. או שאינו יכול לשער כמה יומשך תפלת הלחש דש"ץ. או שעומד רחוק ולא ידע אימתי יתחיל הש"ץ. וגם כן י"ל שהוכוונה מצד עניית אמן דהא-ל הקדוש ודשומע תפילה ואמירת </w:t>
      </w:r>
      <w:r>
        <w:rPr>
          <w:rFonts w:hint="cs"/>
          <w:rtl/>
        </w:rPr>
        <w:lastRenderedPageBreak/>
        <w:t xml:space="preserve">מודים שהם עולים ושקולים לקדושה. </w:t>
      </w:r>
      <w:r w:rsidRPr="00057763">
        <w:rPr>
          <w:rFonts w:hint="cs"/>
          <w:rtl/>
        </w:rPr>
        <w:t>אך יש תקנה לזה ע"י שמיעה מהעונים ושומע כעונה</w:t>
      </w:r>
      <w:r>
        <w:rPr>
          <w:rFonts w:hint="cs"/>
          <w:rtl/>
        </w:rPr>
        <w:t>".</w:t>
      </w:r>
      <w:r w:rsidRPr="00057763">
        <w:rPr>
          <w:rFonts w:hint="cs"/>
          <w:rtl/>
        </w:rPr>
        <w:t xml:space="preserve"> </w:t>
      </w:r>
      <w:r>
        <w:rPr>
          <w:rFonts w:hint="cs"/>
          <w:rtl/>
        </w:rPr>
        <w:t>ולכאורה משמע מסוף דבריו שעל ידי ששומע האמן מן המתפללים הרי זה שומע כעונה. ומש"כ בתחילת דבריו</w:t>
      </w:r>
      <w:r w:rsidRPr="00BF407C">
        <w:rPr>
          <w:rFonts w:hint="cs"/>
          <w:rtl/>
        </w:rPr>
        <w:t xml:space="preserve"> </w:t>
      </w:r>
      <w:r>
        <w:rPr>
          <w:rFonts w:hint="cs"/>
          <w:rtl/>
        </w:rPr>
        <w:t xml:space="preserve">"כי הרי בהכרח יש יו"ד דצייתי והם העונים ממש לכולי עלמא" נראה הכוונה יחד עם החזן והמתפלל עם החזן, דאין לדייק שצריך י' חוץ מזה שמתפלל יחד עם הש"ץ, דהא צריך תשעה עונים בלבד והש"ץ הוא מכלל היו"ד והוא אינו עונה עמהם אמן. וא"כ משמע שגם המתפלל יחד עם הש"ץ יכול להצטרף לתשעה עונים. וכן משמע ממש"כ בסוף דבריו "אך לענין השמיעה דאמן בתוך תפילת י"ח נראה שאין חשש הפסק, גם כשיהי' כוונתו שיהי' כעונה וכו'. משא"כ הש"ץ שגם שיכול לכוון שיהי' הוא ג"כ כעונה אמן בין העונים, שהרי אין לו להתחיל בברכה עד שיכלה אמן מפי העונים, על כל זה נגרע ערכו מצד חסרון העני' בפועל וכמש"כ במק"א שגם שעוסק בתורת עולה כאלו הקריב עולה, על כל זה נגרע ערכו מקרבנות בפועל שהי' תיקנן מצורף לדבור ומחשב' וכו'. וגם מצד שאין לענות אמן אחר ברכותיו אין השמיעה דש"ץ לעניית אמן מהני כלל, ולזה יש יתרון להשומעים כנ"ל. אך המתפלל עם הש"ץ ומתכוין לעניית אמן אחר הש"ץ שיהי' כעונה נראה שאין בזה חשש הפסק ולא גרעון כלל".  א"כ המתפלל עם הש"ץ ומתכוין לעניית אמן אחר הש"ץ הוי כעונה, ואינו גרוע מהש"ץ שנחשב חלק עם העשרה. </w:t>
      </w:r>
    </w:p>
    <w:p w:rsidR="00FE4765" w:rsidRDefault="00FE4765" w:rsidP="00F146A6">
      <w:pPr>
        <w:pStyle w:val="a3"/>
        <w:rPr>
          <w:rtl/>
        </w:rPr>
      </w:pPr>
      <w:r>
        <w:rPr>
          <w:rFonts w:hint="cs"/>
          <w:rtl/>
        </w:rPr>
        <w:t xml:space="preserve">ויתירה מזו מפורש בחתם סופר קובץ תשובות (חלק האחרון) תשובה ד' : "ומה ששאל אם יש לומר קדושה עם השליח ציבור כשהיחיד מתפלל עמו, </w:t>
      </w:r>
      <w:r>
        <w:rPr>
          <w:rtl/>
        </w:rPr>
        <w:t>–</w:t>
      </w:r>
      <w:r>
        <w:rPr>
          <w:rFonts w:hint="cs"/>
          <w:rtl/>
        </w:rPr>
        <w:t xml:space="preserve"> זהו עיקר תפלה בציבור, כי מה שהיחידים כל אחד מתפלל בפני עצמו מקרי תפלת יחיד, רק מה שאחד מוציא רבים זה מקרי בציבור. ויעיין מג"א סי' תרפ"ט סק"י ורק מפני שאי אפשר שיכוונו כולם לשליח ציבור תקנו שיתפלל כל אחד בעצמו, והי' ראוי שיאמרו עמו מלה במלה שזהו כמו מוציא רבים ידי חובתן כבמתני' דסוכה דל"ח ע"א גבי הלל שאומר ועונה אחריו מה שהוא אומר כמו אנא ה', אלא כדי שיסדיר ש"ץ תפילתו תקנו בלחש תחלה כמבואר בסוף ראש השנה ל"ד ע"ב. וא"כ כשאירע שיחיד אומר עם הש"ץ זהו תפלת ציבור האמיתי ואומר כל סדר קדושה עמו". משמע שהמתפלל עם הש"ץ זהו תפילה האמיתי, וודאי היה מצטרף עם הש"ץ ליו"ד.</w:t>
      </w:r>
    </w:p>
    <w:p w:rsidR="00FE4765" w:rsidRDefault="00FE4765" w:rsidP="00F146A6">
      <w:pPr>
        <w:pStyle w:val="a3"/>
        <w:rPr>
          <w:rtl/>
        </w:rPr>
      </w:pPr>
      <w:r>
        <w:rPr>
          <w:rFonts w:hint="cs"/>
          <w:rtl/>
        </w:rPr>
        <w:t>ד. אבל לכאורה צריך להבין שהרי רבינו בשו"ע סי' ק"ט</w:t>
      </w:r>
      <w:r>
        <w:t xml:space="preserve"> </w:t>
      </w:r>
      <w:r>
        <w:rPr>
          <w:rFonts w:hint="cs"/>
          <w:rtl/>
        </w:rPr>
        <w:t xml:space="preserve">כותב וז"ל "וכשהוא מוכרח להתחיל מיד ומתחיל עם הש"ץ, כשיגיע עם ש"ץ לנקדישך וכו' וכל זה כשמוכרח להתפלל מיד משום סמיכת גאולה לתפלה, או מפני שהשעה עוברת, אבל אם אינו מוכרח לא יתחיל עם הש"ץ ולומר עמו נוסח הקדושה, לפי שלכתחלה צריך לשתוק ולשמוע נוסח הקדושה מפי הש"ץ ולענות אחריו קדוש וברוך וימלוך בלבד כמו שיתבאר בסי' קכ"ה". ולכאורה משמע מדברי רבינו דוקא כשהוא שעת הדחק והתפלל עם הש"ץ, אבל לכתחילה אסור להתפלל עם הש"ץ מילה במילה. </w:t>
      </w:r>
    </w:p>
    <w:p w:rsidR="00FE4765" w:rsidRDefault="00FE4765" w:rsidP="00F146A6">
      <w:pPr>
        <w:pStyle w:val="a3"/>
        <w:rPr>
          <w:rtl/>
        </w:rPr>
      </w:pPr>
      <w:r>
        <w:rPr>
          <w:rFonts w:hint="cs"/>
          <w:rtl/>
        </w:rPr>
        <w:t xml:space="preserve">אבל באמת אינו קשה כלל שהרי מבואר בספר תהלה לדוד או"ח סי' ק"ט סק"ד, </w:t>
      </w:r>
      <w:r>
        <w:rPr>
          <w:rFonts w:hint="cs"/>
          <w:rtl/>
        </w:rPr>
        <w:lastRenderedPageBreak/>
        <w:t>ובמסגרת השולחן (קצשו"ע) סי' כ' סק"ד בשם לבושי שרד, שבימינו שאומרים נקדישך עם החזן (כדעת האריז"ל, ולא כבימיהם שרק החזן היה אומרו) מותר לכתחילה להתפלל יחד עם הש"ץ ויאמר נקדישך עם הש"ץ. וכל החשש של רבינו בסי' ק"ט איירי בימיהם שנהגו שלא שלא לומר נקדישך אלא הש"ץ, ולכן צריך הוא לשמוע מהש"ץ (כמו בקדיש), כמו שמבואר בסי' קכ"ה עיי"ש. אבל בימינו שאנו נוהגין לומר נקדישך, ודאי מותר להתפלל יחד עם הש"ץ.</w:t>
      </w:r>
    </w:p>
    <w:p w:rsidR="00FE4765" w:rsidRDefault="00FE4765" w:rsidP="00F146A6">
      <w:pPr>
        <w:pStyle w:val="a3"/>
        <w:rPr>
          <w:rtl/>
        </w:rPr>
      </w:pPr>
      <w:r>
        <w:rPr>
          <w:rFonts w:hint="cs"/>
          <w:rtl/>
        </w:rPr>
        <w:t xml:space="preserve">ה. אבל כד עיינת בשו"ת אגו"מ ח"ג או"ח סי' ט' כתב שדברי החת"ס (הובא לעיל ס"ג) הם לכאורה דברי טעות, דנמצא דכל הקהל שהם בקיאים לא יצאו תפלתם בציבור כשהתפללו לחש, ורק בתפילת הש"ץ יצאו. ועוד דאם התקנה היה שיצאו תפילה בציבור א"כ היה לגמרא ופוסקים לתת טעם לחזרת הש"ץ כדי שיהא תפילה בציבור. ועוד דפסקינן בגמרא ר"ה ל"ד ע"ב כחכמים ולא כר"ג דס"ל דש"ץ מוציא אף הבקי. והקשו חכמים לר"ג דא"כ מדוע הציבור מתפללים לחש, ותי' ר"ג כדי שהש"ץ יסדיר תפילתו תחילה, משמע שחכמים לא ס"ל הכי, וא"כ צ"ל מאי קאמר החת"ס דטעמא דמתפללים לחש הוא כדי שיסדיר הש"ץ תפילתו תחילה. ועוד בסי' ק"ט פסק הרמ"א דלכתחילה לא יתחיל היחיד עם הש"ץ אלא ימתין אחר הקדושה, והטעם הוא כמש"כ במג"א סק"ט משום שצריך לשמוע נקדישך מהש"ץ וכו'. ולכאורה עדיפא להתחיל עם הש"ץ דאז לכל הפחות יתפלל בציבור, מלהמתין כדי שיספיק לשמוע נקדישך ולא יתפלל אם הציבור. אלא ודאי ס"ל לרמ"א שתפילת הש"ץ אינו נחשב לתפילה בציבור. </w:t>
      </w:r>
    </w:p>
    <w:p w:rsidR="00FE4765" w:rsidRDefault="00FE4765" w:rsidP="00F146A6">
      <w:pPr>
        <w:pStyle w:val="a3"/>
        <w:rPr>
          <w:rtl/>
        </w:rPr>
      </w:pPr>
      <w:r>
        <w:rPr>
          <w:rFonts w:hint="cs"/>
          <w:rtl/>
        </w:rPr>
        <w:t xml:space="preserve">אמנם בשו"ת שבט הלוי ח"ד סי' י"א כתב שודאי כוונת החת"ס שתפילת הציבור בשמו"ע דלחש נחשב תפילה בציבור, אלא כלפי חזרת הש"ץ נחשב כתפילת יחיד, דעיקר תפילה בציבור נתקנה להתפלל יחד. וכעין עד"ז מצינו בגמרא יומא נ"א ע"א גבי קרבן פסח דנחשב לקרבן ציבור, אע"פ שכל יחיד עושה לעצמו כו'. ועוד שהרמב"ם כתב בפירוש פ"ח הלכה ד' "וכיצד היא תפלת צבור יהי' אחד מתפלל בקול רם". ומה שהביא בחת"ס טעמא שמתפללים יחד כדי שיסדיר הש"ץ תפילתו, "דודאי קס"ד </w:t>
      </w:r>
      <w:r w:rsidRPr="001E71C7">
        <w:rPr>
          <w:rFonts w:hint="cs"/>
          <w:sz w:val="16"/>
          <w:szCs w:val="16"/>
          <w:rtl/>
        </w:rPr>
        <w:t>(</w:t>
      </w:r>
      <w:r>
        <w:rPr>
          <w:rFonts w:hint="cs"/>
          <w:sz w:val="16"/>
          <w:szCs w:val="16"/>
          <w:rtl/>
        </w:rPr>
        <w:t>דחכמים</w:t>
      </w:r>
      <w:r w:rsidRPr="001E71C7">
        <w:rPr>
          <w:rFonts w:hint="cs"/>
          <w:sz w:val="16"/>
          <w:szCs w:val="16"/>
          <w:rtl/>
        </w:rPr>
        <w:t>)</w:t>
      </w:r>
      <w:r>
        <w:rPr>
          <w:rFonts w:hint="cs"/>
          <w:rtl/>
        </w:rPr>
        <w:t xml:space="preserve"> דטעם כדי שיסדר ש"ץ מספיק כדי להקדים תפלת הצבור לפני הש"ץ במקום שיתפללו עם הש"ץ ממש כנ"ל. אבל דין זה נתינת טעם על עיקר תפלת הצבור אם זולת זה היו פטורים לגמרי. משא"כ לר"ג, הקשו לחכמים שפיר כיון דלדבריך צבור פטורים לגמרי דמוציא גם הבקי, א"כ למה מתפללין לגמרי. ולזה השיב ר"ג כדי שיסדר ש"ץ וזה עיקר חי' של ר"ג וכו'." פירוש דהוקשה לחכמים דאם היה ענין להתפלל עם הש"ץ אלא מפני תקנה צדדית (כדי שיסדיר תפילתו) מתפללים הקהל והחזן קודם לחש, אז מובן מדוע מקדימים וכו' ואין כאן ברכה לבטלה (כך ביאר בשו"ת אג"מ שם), אבל א"ת שאין ענין לציבור להתפלל כלל, שהרי הם יוצאים יד"ח  מהש"ץ מדוע מתפללים הציבור הרי זה ברכה לבטלה, ולא היה קס"ד לחכמים לתקן לציבור להתפלל כדי שהש"ץ יסדיר תפילתו. אבל ודאי אחר שהתפללו כולם יחד לחש יצאו </w:t>
      </w:r>
      <w:r>
        <w:rPr>
          <w:rFonts w:hint="cs"/>
          <w:rtl/>
        </w:rPr>
        <w:lastRenderedPageBreak/>
        <w:t xml:space="preserve">תפילת ציבור (ולכן צריך ב' טעמים המובאים בסי' קכ"ד), וא"כ אותו שלא התפלל עדיין, יכול הוא להתפלל יחד עם הש"ץ, והוי ליה תפילה בציבור כמו שתיקנו חכמים שהוא ציבור ממש. ועיין שו"ת באר יצחק שמפורש אפי' אם התחיל להתפלל באמצע שמו"ע נחשב לתפילת ציבור. </w:t>
      </w:r>
    </w:p>
    <w:p w:rsidR="00FE4765" w:rsidRDefault="00FE4765" w:rsidP="00F146A6">
      <w:pPr>
        <w:pStyle w:val="a3"/>
      </w:pPr>
      <w:r>
        <w:rPr>
          <w:rFonts w:hint="cs"/>
          <w:rtl/>
        </w:rPr>
        <w:t>ומה שהביא האגו"מ ראיה מגמ' ר"ה נגד דעת החת"ס, לעניות דעתי צ"ע, דמפורש במג"א סי' קכ"ד סק"ג (ע"פ פירוש מחצה"ש שם) שגם לדידן דפסקינן כחכמים, מ"מ הש"ץ צריך להסדיר תפילתו קודם. וכמו שהביא מג"א ראיה מסי' קל"ט בדין ש"ץ שקורא בתורה מכל מקום יסדר דבריו תחילה. וכ"כ גם בלבושי שרד סי' קכ"ד על דברי מג"א שם, ובשערי תשובה סי' קכ"ד, ובפמ"ג שם, ובערוך השולחן שם ס"ד כיון שיש לו אימתא דציבורא צריך לסדר תפילתו בכל פעם. (ועיי"ש בדבריהם שמשמע שלדברי המג"א אין המשמיע קולו בתפילה שייך בש"ץ, וזה שצריך להתפלל לחש הוא כדי להסדיר תפלתו פ"א בלחש). ועיין בשאילת יעב"ץ סי' כ"א שמפורש דס"ל דש"ץ צריך להתפלל לחש קודם עם הציבור כדי להסדיר תפילתו - קודם חזרת הש"ץ עיי"ש.</w:t>
      </w:r>
      <w:r w:rsidRPr="006264CC">
        <w:rPr>
          <w:rFonts w:hint="cs"/>
          <w:rtl/>
        </w:rPr>
        <w:t xml:space="preserve"> </w:t>
      </w:r>
      <w:r>
        <w:rPr>
          <w:rFonts w:hint="cs"/>
          <w:rtl/>
        </w:rPr>
        <w:t>וא"כ חזינן דהש"ץ צריך להסדיר אפי' לשיטת חכמים דהל' כוותיהו, וזהו הטעם שהציבור ג"כ מתפללים לחש תחילה, כדברי שבה"ל הנ"ל.</w:t>
      </w:r>
    </w:p>
    <w:p w:rsidR="00FE4765" w:rsidRPr="00BE0027" w:rsidRDefault="00FE4765" w:rsidP="00F146A6">
      <w:pPr>
        <w:pStyle w:val="a3"/>
        <w:rPr>
          <w:rtl/>
        </w:rPr>
      </w:pPr>
      <w:r>
        <w:rPr>
          <w:rFonts w:hint="cs"/>
          <w:rtl/>
        </w:rPr>
        <w:t>וטעם הדבר שגם חזרת הש"ץ הוי דין ציבור י"ל ע"פ מה ששמעתי מהרה"ג ר' חיים שלום דייטש שליט"א (בשיעור תשע"ח) שמדברי רבינו בשו"ע סי' קכ"ה ס"א מפורש שתפילת הש"ץ הוי תפילת ציבור וז"ל "ואע"פ שאינו נקרא ציבור אלא כשאחד אומר וט' שומעין ועונין וכו' ." הרי לך שגדר ציבור הוא בחזרת הש"ץ.</w:t>
      </w:r>
      <w:r w:rsidRPr="00846868">
        <w:rPr>
          <w:rFonts w:hint="cs"/>
          <w:rtl/>
        </w:rPr>
        <w:t xml:space="preserve"> </w:t>
      </w:r>
      <w:r>
        <w:rPr>
          <w:rFonts w:hint="cs"/>
          <w:rtl/>
        </w:rPr>
        <w:t xml:space="preserve">משמע שרבינו ס"ל ג"כ כדעת החת"ס, ולהיפך ממש"כ באגו"מ הנ"ל. והטעם הוא ע"פ מש"כ הרמב"ם פ"ט ה"א שציבור אינו קשור לדין אם להוציא אחד את השני או לאו, אלא כשיש עשרה יחד ממילא יש להם גדר ציבור. והתחלתו הוא בעת אמירת ישתבח ובלשון הרמב"ם "סדר תפלת ציבור כך הוא בשחר כל העם יושבין ושליח צבור יורד לפני התיבה וכו' ואומר קדיש עונין אמן וכו' ואחר כך אומר ברכו". וכל מה שעושים יחד הוא חלק מתפילת ציבור. ובפרט חזרת הש"ץ שהחזן מצרף כולן יחד (שבשאר התפילה כולם מתפללים לבד, וכאן כולם מתפללים יחד על ידי שמיעה מהחזן ואמירת אמן). </w:t>
      </w:r>
      <w:r w:rsidRPr="004025C0">
        <w:rPr>
          <w:rFonts w:hint="cs"/>
          <w:rtl/>
        </w:rPr>
        <w:t>ולכאורה כן מפורש בדברי רבינו גם בסי' תקצ"ד</w:t>
      </w:r>
      <w:r>
        <w:rPr>
          <w:rFonts w:hint="cs"/>
          <w:rtl/>
        </w:rPr>
        <w:t xml:space="preserve"> (ועיין לקמן דכן משמע בעוד מקומות).</w:t>
      </w:r>
    </w:p>
    <w:p w:rsidR="00FE4765" w:rsidRDefault="00FE4765" w:rsidP="00F146A6">
      <w:pPr>
        <w:pStyle w:val="a3"/>
        <w:rPr>
          <w:rtl/>
        </w:rPr>
      </w:pPr>
      <w:r>
        <w:rPr>
          <w:rFonts w:hint="cs"/>
          <w:rtl/>
        </w:rPr>
        <w:t xml:space="preserve">אבל לכאורה יש להעיר שע"פ דברי רבינו בסי' קכ"ה ס"א, יוצא במקרה דינן כשמתפלל יחד עם החזן, ה"ה צריך לומר מילה במילה כל שמונה עשרה (חוץ מקדוש כו'). שהרי רבינו כותב דלפי המנהג שאומרים נקדישך אף שאינם אומרים עם החזן נקדישך מלה במלה, מ"מ מחמת שנחשב לדברים שבקדושה, אין צריך שיאמרו יחד עם הש"ץ מלה במלה אלא אף שכולם אומרים אחריו סגי. משמע כשאינם דברים שבקדושה כמו בחזרת הש"ץ - אז ודאי יש לו לומר כל מילה ומילה עם הש"ץ. וכך </w:t>
      </w:r>
      <w:r>
        <w:rPr>
          <w:rFonts w:hint="cs"/>
          <w:rtl/>
        </w:rPr>
        <w:lastRenderedPageBreak/>
        <w:t>כתב רבינו בתחילת ההלכה "שכיון שהם אומרים כל מלה ומלה יחדיו, אמירת שניהם נחשבת כאחת כמו שיתבאר בסי' קפ"ג". ופשוט דמה שכתב רבינו לקמן בסי' קפ"ג שימהר לסיים קודם שהש"ץ יסיים הברכה, היינו בשאר ברכות, אבל בחזרת הש"ץ הוי הפסק וכו' עיי"ש. וכן מבואר בסי' ק"ט שיסיים יחד עם הש"ץ וז"ל רבינו "שאף שאין היחיד אומר קדושה בתפילתו, כשהוא אומר עם הש"ץ אינו נקרא יחיד. וכן יאמר עמו מלה במלה כל נוסח ברכת הא-ל הקדוש וברכת שומע תפלה, כדי שיסיים הברכה עם הש"ץ ביחד, ושוב אין צריך לענות אמן כמו שהש"ץ אינו צריך, שהציבור עונים אחריו ועניית הציבור היא ג"כ על ברכות של זה</w:t>
      </w:r>
      <w:r>
        <w:rPr>
          <w:rStyle w:val="FootnoteReference"/>
          <w:rtl/>
        </w:rPr>
        <w:footnoteReference w:id="182"/>
      </w:r>
      <w:r>
        <w:rPr>
          <w:rFonts w:hint="cs"/>
          <w:rtl/>
        </w:rPr>
        <w:t>". הרי לך תרתי שכשאומר יחד עם הש"ץ אינו נקרא תפילת יחיד, אלא תפילת ציבור. ועוד צריך לומר מלה במלה עם הש"ץ כדי לסיים עם הש"ץ. ועיין לקמן באריכות.</w:t>
      </w:r>
    </w:p>
    <w:p w:rsidR="00FE4765" w:rsidRDefault="00FE4765" w:rsidP="00F146A6">
      <w:pPr>
        <w:pStyle w:val="a3"/>
        <w:rPr>
          <w:rtl/>
        </w:rPr>
      </w:pPr>
      <w:r>
        <w:rPr>
          <w:rFonts w:hint="cs"/>
          <w:rtl/>
        </w:rPr>
        <w:t>ו. אבל עם כל הנ"ל עדיין צריך לתרץ מה שהקשה בשו"ת אג"מ שם מתוס' ברכות דף כ"א ע"ב ד"ה אין יחיד</w:t>
      </w:r>
      <w:r>
        <w:t xml:space="preserve"> </w:t>
      </w:r>
      <w:r>
        <w:rPr>
          <w:rFonts w:hint="cs"/>
          <w:rtl/>
        </w:rPr>
        <w:t xml:space="preserve">מתפלל קדושה, "וכן הלכה. אבל המתפלל י"ח עם החזן לכשיגיע ש"ץ לקדושה יאמר עם הש"ץ נקדש, וכל הקדושה משלם יכול לענות עם הצבור, דאין זה קרוי יחיד". וא"כ משמע מדברי התוס' דכשמתפלל עם הש"ץ הוי תפילת יחיד, ולכן קס"ד גם כשמתפלל עם הש"ץ נקדש הוי תפילת יחיד והוי הפסק, להכי קאמר התוס' דהוי תפילת ציבור מחמת שכל הקהל אומרים יחד. משא"כ תפילת שמו"ע שהציבור כבר יצאו מצות תפילה בציבור הרי תפילתו אם הש"ץ לאו תפילת ציבור. ולכאורה צריך להבין דברי החת"ס והשבט הלוי הנ"ל דזה האיש המתפלל יחד עם החזן הוי לו דין תפילת ציבור, דא"כ מדוע קס"ד התוס' לאסור. </w:t>
      </w:r>
    </w:p>
    <w:p w:rsidR="00FE4765" w:rsidRDefault="00FE4765" w:rsidP="00F146A6">
      <w:pPr>
        <w:pStyle w:val="a3"/>
        <w:rPr>
          <w:rtl/>
        </w:rPr>
      </w:pPr>
      <w:r>
        <w:rPr>
          <w:rFonts w:hint="cs"/>
          <w:rtl/>
        </w:rPr>
        <w:t>וי"ל בהקדם ע"פ מש"כ המחבר סי' קכ"ה דאין הצבור אומרים עם הש"ץ נקדישך. ובט"ז סק"א הביא הטעם ע"פ מש"כ הב"י בשם הרא"ש משום שאין אומרים קדושה אלא בעשרה ואם כולם אומרים יחד נקדישך אין כאן ציבור. והקשה הט"ז דלכאורה משמע בסי' ק"ט דאם אומר נקדישך יחד עם הש"ץ אינו נחשב ליחיד. ובשוע"ר סי' קכ"ה ס"א</w:t>
      </w:r>
      <w:r>
        <w:t xml:space="preserve"> </w:t>
      </w:r>
      <w:r>
        <w:rPr>
          <w:rFonts w:hint="cs"/>
          <w:rtl/>
        </w:rPr>
        <w:t>לכאורה מתרץ קושית הט"ז באופן נפלא, דיש ג' דרגות: א' לכתחילה יש לציבור לשמוע נקדישך מהש"ץ ולא לענות אחר הש"ץ נקדישך, עד שמגיע הש"ץ לקדושה ואז עונים קדוש קדוש כו' כמו בקדיש שהש"ץ אומר הקדיש והציבור עונים אחריו. ב' אם הש"ץ והקהל אומרים (בלחש) נקדישך מחמת שאומרים בי' אף שאין אומרים מלה במלה יחד אין למחות, דדברים שבקדושה צריך שיהא יו"ד שאומרים נקדש. אבל מכל מקום אין להם דין ציבור אלא דין יחידים (מחמת שאינם אומרים יחד מילה במילה). דרגא ג' הוא דרגת האמצע אם היחיד אומר יחד עם החזן מילה במילה אין לו דין של יחיד אלא דין של ציבור. ובלשון</w:t>
      </w:r>
      <w:r>
        <w:t xml:space="preserve"> </w:t>
      </w:r>
      <w:r>
        <w:rPr>
          <w:rFonts w:hint="cs"/>
          <w:rtl/>
        </w:rPr>
        <w:t>שו"ע רבינו "שכיון שהם אומרים כל מלה ומלה יחדיו אמירת שניהם נחשבת כאחת"</w:t>
      </w:r>
      <w:r>
        <w:t>.</w:t>
      </w:r>
      <w:r>
        <w:rPr>
          <w:rFonts w:hint="cs"/>
          <w:rtl/>
        </w:rPr>
        <w:t xml:space="preserve"> "אע"פ שאין אומרים מלה במלה עם הש"ץ" משמע שאם היו אומרים עם הש"ץ הוי תפלת ציבור. אבל מכל מקום החסרון </w:t>
      </w:r>
      <w:r>
        <w:rPr>
          <w:rFonts w:hint="cs"/>
          <w:rtl/>
        </w:rPr>
        <w:lastRenderedPageBreak/>
        <w:t xml:space="preserve">הוא שלכתחילה צריך לשתוק כשאומר הש"ץ נקדישך כמו כשהש"ץ אומר קדושה. ולכן מש"כ בסי' ק"ט אתי שפיר דאיירי שאומר מילה במילה עם הש"ץ, והוי לו דין של תפילת ציבור. משא"כ בסי' קכ"ה שאומרים כולם יחד (אבל לא מילה במילה עם הש"ץ) אין כאן דין ציבור אלא דין יחידים "כשכל אחד אומר לעצמו כיחידים הם" ומ"מ מותרים לומר יחד משום דהוי דברים שבקדושה. </w:t>
      </w:r>
    </w:p>
    <w:p w:rsidR="00FE4765" w:rsidRDefault="00FE4765" w:rsidP="00F146A6">
      <w:pPr>
        <w:pStyle w:val="a3"/>
        <w:rPr>
          <w:rtl/>
        </w:rPr>
      </w:pPr>
      <w:r>
        <w:rPr>
          <w:rFonts w:hint="cs"/>
          <w:rtl/>
        </w:rPr>
        <w:t xml:space="preserve">ועפ"ז יובן דברי התוס' דיש לדייק, דהתוס' כתב א' שצריך לומר יחד עם הש"ץ נקדש. ב' שאר הקדושה יכול לומר עם הציבור אחר שאמר הש"ץ קדוש וכו'. ולכאורה מדוע יאמר נקדש יחד עם הש"ץ ושאר הקדושה עם הציבור. וע"פ דברי רבינו יש לומר שיש כאן ב' חידושים : א' שאומר יחד עם הש"ץ נקדישך כדי שיהא נחשב גדר ציבור "אמירת שניהם נחשבת כאחת", ולא יאמר נקדישך אחרי הש"ץ שהרי לדעת התוס' אם אומר אחר הש"ץ יש חסרון של ציבור, כמו שמבואר בסוגריים דשו"ע רבינו. וזהו עיקר חידושו של תוס' כדי שלא יקרא יחיד צריך לומר מילה במילה עם הש"ץ. ב' יכול לומר שאר הקדושה עם הציבור וזה עדיף מלומר עם הש"ץ שאר הקדושה שלא כתקנת חכמים (בדומה לקדיש). וזהו דיוק מה שהתוס' נותן טעם "דאין זה קרוי יחיד" משום שאומר יחד עם הש"ץ מלה במלה נקדש (ולא כמו הבנת הט"ז בדעת הרא"ש דהוי כיחידים) אבל כנ"ל אם היה אומר אחר הש"ץ הוי נחשב ליחיד. </w:t>
      </w:r>
    </w:p>
    <w:p w:rsidR="00FE4765" w:rsidRDefault="00FE4765" w:rsidP="00F146A6">
      <w:pPr>
        <w:pStyle w:val="a3"/>
        <w:rPr>
          <w:rtl/>
        </w:rPr>
      </w:pPr>
      <w:r>
        <w:rPr>
          <w:rFonts w:hint="cs"/>
          <w:rtl/>
        </w:rPr>
        <w:t xml:space="preserve">ובאופן אחר לדעת האגו"מ חידוש התוס' להוציא שאינו כשאר התפילה שנחשב לתפילת יחיד. ולדעת רבינו החידוש הוא שלא יאמר אחר הש"ץ כמו שאר הקדושה דנחשב ליחיד. או יש לפרש שהתוס' מפרש שאינו נקרא יחיד לגבי חידוש הב' כמו בתי' הבא. </w:t>
      </w:r>
    </w:p>
    <w:p w:rsidR="00FE4765" w:rsidRDefault="00FE4765" w:rsidP="00F146A6">
      <w:pPr>
        <w:pStyle w:val="a3"/>
        <w:rPr>
          <w:rtl/>
        </w:rPr>
      </w:pPr>
      <w:r>
        <w:rPr>
          <w:rFonts w:hint="cs"/>
          <w:rtl/>
        </w:rPr>
        <w:t>ועוד י"ל ע"פ מש"כ רבינו בשו"ע סי' ק"ט סעיף ג' "</w:t>
      </w:r>
      <w:r w:rsidRPr="00917BCE">
        <w:rPr>
          <w:rFonts w:hint="cs"/>
          <w:u w:val="single"/>
          <w:rtl/>
        </w:rPr>
        <w:t>שאף שאין היחיד אומר קדושה בתפלתו</w:t>
      </w:r>
      <w:r w:rsidRPr="004D1AAD">
        <w:rPr>
          <w:rFonts w:hint="cs"/>
          <w:u w:val="single"/>
          <w:rtl/>
        </w:rPr>
        <w:t>, כשהוא אומר עם הש"ץ אינו נקרא יחיד.</w:t>
      </w:r>
      <w:r>
        <w:rPr>
          <w:rFonts w:hint="cs"/>
          <w:rtl/>
        </w:rPr>
        <w:t xml:space="preserve"> וכן יאמר עמו מלה במלה כל נוסח ברכת הא-ל הקדוש וברכת שומע תפלה, כדי שיסיים הברכה עם הש"ץ ביחד, ושוב אינו צריך לענות אמן כמו שהש"ץ אינו צריך, שהצבור עונים אחריו ועניית הציבור היא ג"כ על ברכות של זה. וגם יכוין שכשיגיע ש"ץ למודים יגיע גם הוא למודים. וכל זה כשמוכרח להתפלל מיד וכו' אבל אם אינו מוכרח לא יתחיל עם הש"ץ ולומר עמו נוסח הקדושה לפי שלכתחילה צריך לשתוק ולשמוע נוסח הקדושה מפי הש"ץ". </w:t>
      </w:r>
    </w:p>
    <w:p w:rsidR="00FE4765" w:rsidRDefault="00FE4765" w:rsidP="00F146A6">
      <w:pPr>
        <w:pStyle w:val="a3"/>
        <w:rPr>
          <w:rtl/>
        </w:rPr>
      </w:pPr>
      <w:r>
        <w:rPr>
          <w:rFonts w:hint="cs"/>
          <w:rtl/>
        </w:rPr>
        <w:t>וא"כ לדעת רבינו יש לפרש הקס"ד דהתוס' דלכאורה יחיד אינו אומר קדושה כשמתפלל לחש "בתפילתו" (ולא כמו שהבין בשו"ת אגו"מ שעיקר הקס"ד התוס' שיהא לו דין של שאר תפילת הש"ץ דנחשב לתפילת יחיד), דהו"א דזה נחשב לתפילת יחיד (המתפלל שמו"ע לחש) אף שכולם מתפללים יחד בציבור. ולזה קאמר התוס' שאין זה נחשב לתפילת יחיד כשאומר הקדושה בלחש יחד עם הש"ץ.</w:t>
      </w:r>
    </w:p>
    <w:p w:rsidR="00FE4765" w:rsidRDefault="00FE4765" w:rsidP="00F146A6">
      <w:pPr>
        <w:pStyle w:val="a3"/>
        <w:rPr>
          <w:rtl/>
        </w:rPr>
      </w:pPr>
      <w:r>
        <w:rPr>
          <w:rFonts w:hint="cs"/>
          <w:rtl/>
        </w:rPr>
        <w:lastRenderedPageBreak/>
        <w:t xml:space="preserve">ז. ובר מן דין י"ל דיש לסמוך על שאר ראשונים והוא ע"פ מה דאיתא בגמ' ברכות דף כ"א ע"ב דר' הונא ס"ל שהיחיד אומר קדושה, ור' יהושע בן לוי ס"ל דאין היחיד אומר קדושה. ופרש"י ד"ה רב הונא, דקאי על קדוש דלר' הונא שם בגמ' מותר לענות קדוש בחזרת הש"ץ. והרשב"א על האתר והריטב"א בסוגיין ובגמ' מגילה דף כ"ג הקשו הלא משנה שלימה במגילה דף כ"ג ע"ב דאין פורסין על שמע בפחות מעשרה ור' הונא מי פליג אמתני'. ותי' על פי מש"כ רש"י דר' הונא קאמר שיכול לומר ביחיד קדושה בשעה שהש"ץ מתפלל את החזרה דזה נחשב לתפילת ציבור. ור' יהושע בן לוי ס"ל דאסור לומר קדושה בשעה שהש"ץ אוחז (למשל) בתקע בשופר, כי דברים שבקדושה צריך לומר בעשרה יחד (כמו שמבואר בהמשך הגמרא) וכן כתב בכתבי ר' אברהם אלשבילי אביו של הריטב"א. ולכאורה משמע מדברי הרשב"א והריטב"א כשהיחיד אומר קדוש בשעה שהש"ץ חוזר התפילה לר' הונא ודאי הוי תפילה בציבור. וגם לדעת ר' יהושע בן לוי הוי תפילת ציבור, אלא שמצד ענין אחר אסור דאי אפשר לומר דברים שבקדושה בפחות מעשרה יחד כמו שמבואר בהמשך הגמרא כו', אבל ריב"ל מודה דהוי דין ציבור. ואף את"ל דר"י ב"ל חולק דהוי תפילת יחיד היינו דוקא לגבי דינא דקדושה, דחסר לו עשרה דאומרים יחד הקדושה, וצריך לאומרו בעשרה שהרי החזן נמצא בתקע בשופר לחירותינו והוא אומר קדוש והוא נחשב ליחיד. אבל ריב"ל מודה שיהא תפילת ציבור כשאומר יחד עם החזן (על חלק זה אינו חולק) מילה במילה. דאי לאו הכי לא הו"ל לחלוק אדרב הונא מטעם דברים שבקדושה דצריך עשרה דבלאו הכי אין כאן דין ציבור. וזה שלא כדברי האג"מ שתפילת הש"ץ אינו תפלת ציבור.  </w:t>
      </w:r>
    </w:p>
    <w:p w:rsidR="00FE4765" w:rsidRDefault="00FE4765" w:rsidP="00F146A6">
      <w:pPr>
        <w:pStyle w:val="a3"/>
        <w:rPr>
          <w:rtl/>
        </w:rPr>
      </w:pPr>
      <w:r>
        <w:rPr>
          <w:rFonts w:hint="cs"/>
          <w:rtl/>
        </w:rPr>
        <w:t xml:space="preserve">ועוד יש להביא ראיה ממש"כ הרי"ף במס' ברכות דף י"ג ע"א בדפי הרי"ף. וז"ל "כתב רבינו האי גאון זצ"ל דמנהגה דרבנן, כד עייל איניש לבי כנישתא ואשכח צבורא דמצלו בלחשא, דמיעכיב כד דמסיימי, וכד פתח שליחא דציבורא מתחיל ה' שפתח תפתח ואומר בהדי שליחא דציבורא מילתא בלחשא, ועני קדושה בהדי צבורא ושפיר דמי למעבד הכי דלית בה הפסקה. והא דאמור רבנן אם יכול להתחיל ולגמור, היכי דמתחיל מקמי שליח צבור, אבל כד מתחיל בהדי שליח צבור שפיר דמי". ולכאורה נראה מדברי ר' האי גאון כשהגמרא אמרה אם יכול להתחיל ולגמור קודם שיגיע ש"ץ לקדושה, היינו שכבר התתחיל לפני הש"ץ, אבל כשמתחיל אם הש"ץ עדיפה טפי, ובפשטות הוא מצד שיש לו דין ציבור. ולכאורה מוכח דלא כמש"כ באגו"מ הסובר שאין ענין להתפלל יחד עם הש"ץ, דלשיטתו אם הוא רוצה יכול להתחיל שמו"ע כל זמן שיגמור לפני שהש"ץ יתחיל קדושה. ועד"ז דייק האליה רבא סימן ק"ט סק"ט בדברי הסמ"ג והרמב"ם ועיין שם שמביא עוד ראשונים. ועיין מש"כ האג"מ או"ח ח"ג סי' ט' שם במש"כ הא"ר הנ"ל דאין קושיא כלל לשיטתו, דאפשר לומר דסברי שכל הקהל יכולין לומר נקדש. או י"ל אף דס"ל שאין אומרים נקדש מ"מ זה שאומר אם הש"ץ נקדש יכול לומר נקדש אף לכתחילה. אבל לענית דעתי קשה לתרץ כן בדעת ר' האי גאון שכתב ששפיר יותר להתפלל יחד עם הש"ץ מלהתפלל יחד עם הציבור </w:t>
      </w:r>
      <w:r>
        <w:rPr>
          <w:rFonts w:hint="cs"/>
          <w:rtl/>
        </w:rPr>
        <w:lastRenderedPageBreak/>
        <w:t>ולגמור עם הש"ץ לפני נקדישך ולדעתו מאי מעליותא איכא וכנ"ל. ועוד לדעת האגו"מ או"ח ח"ג סי' ד' היה עדיף להתפלל יחד עם הציבור דמתפללים לחש, דלכל הפחות יהא לו דין תפילה בציבור כשהתפלל עם הקהל</w:t>
      </w:r>
      <w:r>
        <w:rPr>
          <w:rStyle w:val="FootnoteReference"/>
          <w:rtl/>
        </w:rPr>
        <w:footnoteReference w:id="183"/>
      </w:r>
      <w:r>
        <w:rPr>
          <w:rFonts w:hint="cs"/>
          <w:rtl/>
        </w:rPr>
        <w:t xml:space="preserve">. </w:t>
      </w:r>
    </w:p>
    <w:p w:rsidR="00FE4765" w:rsidRDefault="00FE4765" w:rsidP="00F146A6">
      <w:pPr>
        <w:pStyle w:val="a3"/>
        <w:rPr>
          <w:rtl/>
        </w:rPr>
      </w:pPr>
      <w:r>
        <w:rPr>
          <w:rFonts w:hint="cs"/>
          <w:rtl/>
        </w:rPr>
        <w:t>וגם זה יצא לנו דשיטת האליהו רבא שם דעדיף לומר עם הש"ץ מילה במילה כל השמו"ע "אבל טוב להתפלל כל התפלה מלה במלה עם הש"ץ".</w:t>
      </w:r>
    </w:p>
    <w:p w:rsidR="00FE4765" w:rsidRDefault="00FE4765" w:rsidP="00F146A6">
      <w:pPr>
        <w:pStyle w:val="a3"/>
        <w:rPr>
          <w:rtl/>
        </w:rPr>
      </w:pPr>
      <w:r>
        <w:rPr>
          <w:rFonts w:hint="cs"/>
          <w:rtl/>
        </w:rPr>
        <w:t>ועיין מש"כ רבינו בשו"ע סי' קכ"ד "יש אומרים שכל העם יעמדו כשחוזר הש"ץ התפילה, כיון שמכוונים ושומעים התפילה מהש"ץ ושומע כעונה וכאלו מתפללין בעצמן"</w:t>
      </w:r>
      <w:r>
        <w:rPr>
          <w:rStyle w:val="FootnoteReference"/>
          <w:rtl/>
        </w:rPr>
        <w:footnoteReference w:id="184"/>
      </w:r>
      <w:r>
        <w:rPr>
          <w:rFonts w:hint="cs"/>
          <w:rtl/>
        </w:rPr>
        <w:t xml:space="preserve">. משמע מדברי רבינו דאף שיצא כשהתפלל לחש מ"מ הוי כאילו הוא אומר יחד עם הש"ץ וממילא יש כאן ציבור בעשרה, דאי אפשר לצאת "שומע כעונה" בלא ציבור (עיין לקמן), וגם איזה ענין לצאת אחר שכבר יצא. וא"כ יש מעלה כשאומר ממש יחד עם הש"ץ שיש צירוף בין כולם. </w:t>
      </w:r>
    </w:p>
    <w:p w:rsidR="00FE4765" w:rsidRDefault="00FE4765" w:rsidP="00F146A6">
      <w:pPr>
        <w:pStyle w:val="a3"/>
      </w:pPr>
      <w:r>
        <w:rPr>
          <w:rFonts w:hint="cs"/>
          <w:rtl/>
        </w:rPr>
        <w:t>וראיתי שכן הביא להלכה בהליכות שלמה פרק ט' סעיף ב' "המתפלל שמו"ע עם הש"ץ מצטרף לעשרה ואף אם אין מלבדו תשעה עונים חוזר הש"ץ התפלה". ומבואר שם משום ששומע כעונה והוי כתשעה עונים. וכ"כ בפסקי תשובות סי' קכ"ד סעיף ט'. ועיין בהליכות שלמה פרק ח' ס' מ"ב : המתפלל שמו"ע עם הש"ץ הרי זו תפלה בצבור ומכל מקום אין מעלתה כתפלה עם הציבור ממש". הרי מפורש ב' חידושים הנ"ל: א' כשמתפלל אם הש"ץ הרי זה תפילה בציבור. ב' הרי הוא מצטרף לעשרה.</w:t>
      </w:r>
    </w:p>
    <w:p w:rsidR="00FE4765" w:rsidRDefault="00FE4765" w:rsidP="00F146A6">
      <w:pPr>
        <w:pStyle w:val="a3"/>
        <w:rPr>
          <w:rtl/>
        </w:rPr>
      </w:pPr>
      <w:r>
        <w:rPr>
          <w:rFonts w:hint="cs"/>
          <w:rtl/>
        </w:rPr>
        <w:t xml:space="preserve">ח. אבל באמת עדיין קשה קושית אגרות משה שם דמשמעות הרמ"א סי' ק"ט ס"ב דלכתחילה לא יתחיל היחיד עם הש"ץ אלא ימתין עד אחר שאמר קדושה. משמע שחזרת הש"ץ אינו תפילת ציבור לאותו שלא התפלל לחש, דאל"ה מדוע עליו להמתין כדי שישמע קדושה, ולא יתחיל תיכף עם הש"ץ כדי שיספיק להתפלל בציבור. </w:t>
      </w:r>
      <w:r>
        <w:rPr>
          <w:rFonts w:hint="cs"/>
          <w:rtl/>
        </w:rPr>
        <w:lastRenderedPageBreak/>
        <w:t xml:space="preserve">ולכאורה היא קושיא עצומה. </w:t>
      </w:r>
    </w:p>
    <w:p w:rsidR="00FE4765" w:rsidRDefault="00FE4765" w:rsidP="00F146A6">
      <w:pPr>
        <w:pStyle w:val="a3"/>
        <w:rPr>
          <w:rtl/>
        </w:rPr>
      </w:pPr>
      <w:r>
        <w:rPr>
          <w:rFonts w:hint="cs"/>
          <w:rtl/>
        </w:rPr>
        <w:t>ויותר קשה לפי דעת המג"א סק"א ודעת רבינו בשו"ע</w:t>
      </w:r>
      <w:r w:rsidRPr="007B51A6">
        <w:rPr>
          <w:rFonts w:hint="cs"/>
          <w:rtl/>
        </w:rPr>
        <w:t xml:space="preserve"> </w:t>
      </w:r>
      <w:r>
        <w:rPr>
          <w:rFonts w:hint="cs"/>
          <w:rtl/>
        </w:rPr>
        <w:t>סי' ק"ט סעיף ד', דתפילת ציבור עדיפא מאמן יהא שמיה רבה, ולכאורה אף עדיפה מקדושה, שהרי אמן יהא שמיה רבא "גדולה מכל הקדושות ויש יותר מצוה בעניית הקדיש מבעניית קדושה" כמש"כ רבינו סי' נ"ו. דמה לנו שיספיק לשמוע נקדישך מהש"ץ, הרי עדיפה להתפלל שמו"ע עם הש"ץ מלהמתין עד נקדישך?</w:t>
      </w:r>
    </w:p>
    <w:p w:rsidR="00FE4765" w:rsidRDefault="00FE4765" w:rsidP="00F146A6">
      <w:pPr>
        <w:pStyle w:val="a3"/>
      </w:pPr>
      <w:r>
        <w:rPr>
          <w:rFonts w:hint="cs"/>
          <w:rtl/>
        </w:rPr>
        <w:t>ודוחק לומר דמכל מקום לדעת המחבר ורמ"א נקדישך עדיפה מתפילה בציבור, וכן מצינו גם בשו"ע סי' ק"ט סעיף א' כתב וז"ל "הנכנס לבית הכנסת ומצא צבור מתפללין, אם יכול להתחיל י"ח ולגמור קודם שיגיע הש"ץ לקדושה או לקדיש, יתפלל, ואם לאו אל יתפלל אם אין השעה עוברת". הרי לך שאף שיש מעלה שיכול להתפלל במנין לכל הפחות בחלק מתפילת לחש של הציבור, מכל מקום עדיפה להמתין ולא להתפלל בציבור עד שיאמר נקדישך. עיין שו"ת אגו"מ או"ח ח"ג סי' ד' כתב בפשיטת שאם התחיל להתפלל שמו"ע דלחש כשהיו הציבור באמצע תפילה דלחש הרי זה נחשב לתפילת ציבור ממש, שהרי כשזה עומד באתה קדוש זה עומד ברפאנו כו' עיי"ש</w:t>
      </w:r>
      <w:r>
        <w:rPr>
          <w:rStyle w:val="FootnoteReference"/>
          <w:rtl/>
        </w:rPr>
        <w:footnoteReference w:id="185"/>
      </w:r>
      <w:r>
        <w:rPr>
          <w:rFonts w:hint="cs"/>
          <w:rtl/>
        </w:rPr>
        <w:t xml:space="preserve">. אבל באמת עדיין קשה שהרי כשמתפלל עם הש"ץ הרי יש כאן תרתי לטיבותא : א' שהוא מתפלל בציבור, ב' אומר נקדישך בציבור. וא"כ לכאורה צודקים דברי האגו"מ. </w:t>
      </w:r>
    </w:p>
    <w:p w:rsidR="00FE4765" w:rsidRDefault="00FE4765" w:rsidP="00F146A6">
      <w:pPr>
        <w:pStyle w:val="a3"/>
        <w:rPr>
          <w:rtl/>
        </w:rPr>
      </w:pPr>
      <w:r>
        <w:rPr>
          <w:rFonts w:hint="cs"/>
          <w:rtl/>
        </w:rPr>
        <w:t xml:space="preserve">ואולי יש לומר דממאי דדייקת מסעיף ב' יש לדייק מסעיף א' להיפך, כמש"כ בשו"ת באר יצחק (לר' יצחק אלחנן ספקטור) סי' כ' ענף ב', והוא ממש"כ השו"ע סי' ק"ט ס"א שאם נכנס אחר הקדושה יכול להתפלל אם יוכל לסיים לפני שהש"ץ אומר מודים. ולכאורה יש להקשות הרי מפסיד כל האמנים של שאר ברכות דשמו"ע. אלא ודאי אם מתפלל יחד עם הש"ץ הוי תפילה בציבור. ולדעת האגו"מ או"ח ח"ג סי' ד' כשמתפלל לחש יחד עם הציבור אפי' התחיל באמצע תפילת לחש דציבור נחשב לתפילת ציבור. כמו כן כל זמן שהש"ץ מתפלל הוי תפילת ציבור. </w:t>
      </w:r>
    </w:p>
    <w:p w:rsidR="00FE4765" w:rsidRDefault="00FE4765" w:rsidP="00F146A6">
      <w:pPr>
        <w:pStyle w:val="a3"/>
        <w:rPr>
          <w:rtl/>
        </w:rPr>
      </w:pPr>
      <w:r>
        <w:rPr>
          <w:rFonts w:hint="cs"/>
          <w:rtl/>
        </w:rPr>
        <w:lastRenderedPageBreak/>
        <w:t>ואף שהרבה פוסקים חולקים כשאינו אומר מלה במלה עם הש"ץ כנ"ל, מכל מקום י"ל דחזינן דלאו לדיוקא אתי דאי דייקת הכי יש לדייק לכמה צדדין להיפך.</w:t>
      </w:r>
    </w:p>
    <w:p w:rsidR="00FE4765" w:rsidRDefault="00FE4765" w:rsidP="00F146A6">
      <w:pPr>
        <w:pStyle w:val="a3"/>
      </w:pPr>
      <w:r>
        <w:rPr>
          <w:rFonts w:hint="cs"/>
          <w:rtl/>
        </w:rPr>
        <w:t xml:space="preserve">ובאמת נראה לבאר הטעם מדוע השו"ע לא כתב שיתפלל לכתחילה לחש עם הש"ץ כדיוק האגו"מ, ע"פ מש"כ באשל אברהם סי' נ"ב שם בתי' הראשון : "היינו באופן שאי אפשר להתפלל כאחד עם הש"ץ" (ועיין שם עוד ביאורים). וידוע שהמציאות הוא שקשה להתפלל מלה במלה עם הש"ץ, ואין חכם כבעל הנסיון. ואולי לכן כתב המחבר בשו"ע סעיף ב' שלכל הפחות בברכת הא-ל הקדוש ושומע תפילה יאמר יחד, ולא קאמר כן בשאר ברכות. </w:t>
      </w:r>
    </w:p>
    <w:p w:rsidR="00FE4765" w:rsidRDefault="00FE4765" w:rsidP="00F146A6">
      <w:pPr>
        <w:pStyle w:val="a3"/>
        <w:rPr>
          <w:rtl/>
        </w:rPr>
      </w:pPr>
      <w:r>
        <w:rPr>
          <w:rFonts w:hint="cs"/>
          <w:rtl/>
        </w:rPr>
        <w:t>ולכאורה יש להביא ראיה מיניה וביה דהמתפלל עם הש"ץ הוי תפילת ציבור מדברי השו"ע ס"ב : "וכן יאמר עמו מלה במלה כל הקדושה כמו שהוא אומר, וכן יאמר עמו מלה במלה ברכת הא-ל הקדוש ושומע תפילה". ולכאורה היה לו להשתדל רק לשמוע ברכות הנ"ל היכן שהוא נמצא בתפילתו ושומע כעונה (דהלכה כרש"י), דהרי בלאו הכי לא קאמר אמן אחרי ברכותיו. ולכאורה הטעם הוא דכשאומר עם הש"ץ הרי הוא מצטרף להש"ץ ובלשון רבינו "כשהוא אומר עם הש"ץ אינו נקרא יחיד", ולכן אינו צריך לענות אמן כמו שאין הש"ץ צריך לענות אמן. ובלשון רבינו "וכן יאמר עמו מלה במלה כל נוסח ברכת הא-ל הקדוש וברכת שומע תפלה כדי שיסיים הברכה עם הש"ץ ביחד ושוב א"צ לענות אמן כמו שהש"ץ אינו צריך שהצבור עונים אחריו ועניית הצבור היא ג"כ על ברכות של זה". וכך כתבו המג"א סק"ח. ואם אין תפילתו כתפילת הציבור לכאורה לא היה ענין להצטרף עם הש"ץ והיה צריך להפסיק היכן שנמצא כדי שיהא שומע כעונה, ומדוע יש צורך מיוחד לסיים עם הש"ץ, אלא ודאי על ידי שהצטרף עם הש"ץ דינו כדין הש"ץ והוי כמו שאמר קדושה (כמש"כ הרמ"א ס"א שאמן זה חשוב כקדושה) וקשה לומר דבין ברכה לברכה לא הוי הפסק כ"כ  דא"כ למה צריך לומר מלה במלה. וגם הוי ליה להביא טעמא משום הפסק ולא משום שעניית הצבור היא ג"כ על ברכות של זה.</w:t>
      </w:r>
    </w:p>
    <w:p w:rsidR="00FE4765" w:rsidRDefault="00FE4765" w:rsidP="00F146A6">
      <w:pPr>
        <w:pStyle w:val="a3"/>
        <w:rPr>
          <w:rtl/>
        </w:rPr>
      </w:pPr>
      <w:r>
        <w:rPr>
          <w:rFonts w:hint="cs"/>
          <w:rtl/>
        </w:rPr>
        <w:t>ט. איברא כד עיינת בדברי רבינו סי' נ"ה סעיף ז' (ועד"ז בסעיף י"א) כתב "אם התחיל אחד מעשרה להתפלל תפלת י"ח לבדו ואינו יכול לענות עמהם, אעפ"כ מצטרף עמהם וכו'." ובסוגריים כתב "כגון קדיש וברכו או אפילו קדושה אם הש"ץ לא התפללל עדיין בלחש לעצמו, אבל כשהש"ץ חוזר התפלה פעם ב' צריך ליזהר שיהיו ט' שומעין ועונין אמן אחריו שלא יהיה ברכותיו לבטלה כמ"ש סימן קכ"ד</w:t>
      </w:r>
      <w:r>
        <w:rPr>
          <w:rStyle w:val="FootnoteReference"/>
          <w:rtl/>
        </w:rPr>
        <w:footnoteReference w:id="186"/>
      </w:r>
      <w:r>
        <w:rPr>
          <w:rFonts w:hint="cs"/>
          <w:rtl/>
        </w:rPr>
        <w:t xml:space="preserve">". </w:t>
      </w:r>
      <w:r>
        <w:rPr>
          <w:rFonts w:hint="cs"/>
          <w:rtl/>
        </w:rPr>
        <w:lastRenderedPageBreak/>
        <w:t>ובשו"ת אמרי יושר סי' ט' אות א' כתב באופן שיש ששה מתפללים יחד ואחד עדיין לא התפלל לחש, ואם מתפלל אם הש"ץ אינו מצטרף. ומסיים שאם היה י' בבהכ"נ בשעה שהתפללו חמשה נראה ברור כיון שכבר התפללו רשאין אח"כ לחזור כל התפלה כדי לשמוע קדושה. וזה שמתפלל אם החזן מביא שלדעת רבינו בשו"ע צריך ט' עונים אמן ואין המתפלל מצטרף. ומביא שדעת החיי"א והדה"ח חולקים וגם הטו"ז סי' נ"ה דס"ל דמצטרף מדין שומע כעונה ורבינו לא הזכיר טעם של הט"ז שומע כעונה משמע דלא ס"ל כהט"ז. וגם בספר תהלה לדוד סי' נ"ה הניח דברי רבינו בצ"ע עיי"ש.</w:t>
      </w:r>
    </w:p>
    <w:p w:rsidR="00FE4765" w:rsidRDefault="00FE4765" w:rsidP="00F146A6">
      <w:pPr>
        <w:pStyle w:val="a3"/>
        <w:rPr>
          <w:rtl/>
        </w:rPr>
      </w:pPr>
      <w:r>
        <w:rPr>
          <w:rFonts w:hint="cs"/>
          <w:rtl/>
        </w:rPr>
        <w:t>ולכאורה משמע מדברי שו"ת אמרי יושר שבנידון דידן שאין ט' עונים אלא ח', וא"כ זה שמתפלל יחד עם הש"ץ אינו בבחי' שומע כעונה וכו' וגם אין עשרה העונים אמן.</w:t>
      </w:r>
    </w:p>
    <w:p w:rsidR="00FE4765" w:rsidRDefault="00FE4765" w:rsidP="00F146A6">
      <w:pPr>
        <w:pStyle w:val="a3"/>
        <w:rPr>
          <w:rtl/>
        </w:rPr>
      </w:pPr>
      <w:r>
        <w:rPr>
          <w:rFonts w:hint="cs"/>
          <w:rtl/>
        </w:rPr>
        <w:t xml:space="preserve">אבל באמת קשה לומר כדעת האמרי יושר שהרי רבינו כתב בכמה מקומות וביניהם בסי' ק"ד סעיף ה' "אפילו לענות קדיש וברכו וקדושה לא יפסיק בתפלת י"ח, אלא ישתוק ויכוין למה שאומר הש"ץ ויהיה כעונה בפיו ששומע כעונה בכל מקום, ואעפ"כ אין בזה משום הפסק תפלה כיון שאינו מוציא בפיו וכו'." וזהו כדעת רש"י עיין ב"י ועיין בפמ"ג א"א סק"ז "משמע דיצא לגמרי". </w:t>
      </w:r>
      <w:r w:rsidRPr="00E25F2E">
        <w:rPr>
          <w:rFonts w:hint="cs"/>
          <w:rtl/>
        </w:rPr>
        <w:t xml:space="preserve">וכ"כ </w:t>
      </w:r>
      <w:r>
        <w:rPr>
          <w:rFonts w:hint="cs"/>
          <w:rtl/>
        </w:rPr>
        <w:t>בסי'</w:t>
      </w:r>
      <w:r w:rsidRPr="00E25F2E">
        <w:rPr>
          <w:rFonts w:hint="cs"/>
          <w:rtl/>
        </w:rPr>
        <w:t xml:space="preserve"> ר"א ס"ה</w:t>
      </w:r>
      <w:r>
        <w:rPr>
          <w:rFonts w:hint="cs"/>
          <w:rtl/>
        </w:rPr>
        <w:t>. וראיתי בשו"ת שבט הלוי חלק ג' סי' ט' שהקשה הרבה על דברי האמרי יושר עיי"ש.</w:t>
      </w:r>
    </w:p>
    <w:p w:rsidR="00FE4765" w:rsidRDefault="00FE4765" w:rsidP="00F146A6">
      <w:pPr>
        <w:pStyle w:val="a3"/>
        <w:rPr>
          <w:rtl/>
        </w:rPr>
      </w:pPr>
      <w:r>
        <w:rPr>
          <w:rFonts w:hint="cs"/>
          <w:rtl/>
        </w:rPr>
        <w:t xml:space="preserve">י. והנה בהתוועדות תשמ"ג ח"א דף 67 הקשה הרבי ממש"כ בשו"ע רבינו סי' תקצ"א סעיף ב' דבראש השנה הש"ץ מוציא בתפילת מוסף אף את הבקי יד"ח : "והוא שיהא בביהכנ"ס אם השליח ציבור, וישמע ממנו התפילה מתחילה ועד סוף". משמע אף בלא עניית אמן. ולכאורה בסי' קכ"ד שם מבאר רבינו שצריך "שט' יהיו שומעים ומכוונים לברכת הש"ץ ויענו אמן אחריו" וכ"כ ג"כ בסי' נ"ט ס"ד כשהחזן מוציא את הבקי בברכת קר"ש צריך שיהיו "ט' השומעים וענים אמן"? </w:t>
      </w:r>
    </w:p>
    <w:p w:rsidR="00FE4765" w:rsidRDefault="00FE4765" w:rsidP="00F146A6">
      <w:pPr>
        <w:pStyle w:val="a3"/>
        <w:rPr>
          <w:rtl/>
        </w:rPr>
      </w:pPr>
      <w:r>
        <w:rPr>
          <w:rFonts w:hint="cs"/>
          <w:rtl/>
        </w:rPr>
        <w:t xml:space="preserve">וראיתי בספר שלחן המלך חלק ב' סימן תקצ"א הארה 3 שמבאר ע"פ מש"כ רבינו בסי' רי"ג "אין אדם יוצא ידי חובתו בשמיעת הברכה אפי' ענה אמן אלא א"כ שמעה מתחילתה ועד סופה ונתכוין לצאת בה ידי חובתו, והמברך נתכוין להוציאו, ואז יוצא חובתו בדיעבד אפי' לא ענה אמן". </w:t>
      </w:r>
    </w:p>
    <w:p w:rsidR="00FE4765" w:rsidRDefault="00FE4765" w:rsidP="00F146A6">
      <w:pPr>
        <w:pStyle w:val="a3"/>
        <w:rPr>
          <w:rtl/>
        </w:rPr>
      </w:pPr>
      <w:r>
        <w:rPr>
          <w:rFonts w:hint="cs"/>
          <w:rtl/>
        </w:rPr>
        <w:t xml:space="preserve">ועיין בסי' ר"א "וגם כל אדם יש לו לחזור שיתנו לו כוס של ברכה לברך ברכת המזון בזימון, ולא לשמוע ולענות אמן. שאף שהשומע כעונה ועונה אמן כמוציא ברכה </w:t>
      </w:r>
      <w:r>
        <w:rPr>
          <w:rFonts w:hint="cs"/>
          <w:rtl/>
        </w:rPr>
        <w:lastRenderedPageBreak/>
        <w:t>מפיו, מכל מקום ממהרין ליתן שכר תחלה להמברך".</w:t>
      </w:r>
    </w:p>
    <w:p w:rsidR="00FE4765" w:rsidRDefault="00FE4765" w:rsidP="00F146A6">
      <w:pPr>
        <w:pStyle w:val="a3"/>
        <w:rPr>
          <w:rtl/>
        </w:rPr>
      </w:pPr>
      <w:r>
        <w:rPr>
          <w:rFonts w:hint="cs"/>
          <w:rtl/>
        </w:rPr>
        <w:t xml:space="preserve">משמע שיש ג' חילוקים א' שומע כעונה שהוא דין דיעבד ואינו עונה ממש. ב' דין עונה אמן שזה דין לכתחילה דהוי כמוציא הברכה מפיו. ג' מצוה מן המובחר שיברך הוא עצמו שממהרין ליתן שכר תחלה להמברך. </w:t>
      </w:r>
    </w:p>
    <w:p w:rsidR="00FE4765" w:rsidRDefault="00FE4765" w:rsidP="00F146A6">
      <w:pPr>
        <w:pStyle w:val="a3"/>
      </w:pPr>
      <w:r>
        <w:rPr>
          <w:rFonts w:hint="cs"/>
          <w:rtl/>
        </w:rPr>
        <w:t>אבל צריך עיון שהרי מבואר בסי' נ"ט סעיף ד' "ומכל מקום אינו מוציא אלא ש"ץ את הצבור - דהיינו כשיש שם ט' השומעים ועונין אמן, אבל כשאין ט' שומעין יחיד הוא ואין יחיד מוציא את היחיד אפי' מי שאינו בקי וכו' ונתקנו לאמרם בפיו או שישמע אותן ברוב עם שהיא הדרת מלך כשט' שומעין מאחד ועונין אחריו אמן" וכן בסי' קכ"ד "ואפילו מי שאינו בקי אינו יוצא אלא בצבור, דהיינו שט' יהיו שומעין ומכוונים לברכת הש"ץ ויענו אמן אחריו". וכן בסי' תקצ"ד אע"פ שבט' ברכות של מוסף ראש השנה אף הבקי יוצא בתפלת הש"ץ כמש"כ בסי' תקצ"א מכל מקום אם אין שם תשעה שעונין אמן אחר ברכותיו אין אדם יוצא בתפלתו אפילו מי שאינו בקי ואינו יודע להתפלל בעצמו". י"ל שאין הכוונה הוא שצריך לענות אמן ולולא זאת אינו יוצא ידי חובתו, אלא כוונת רבינו כאן הוא שדין זה להוציא את האינו בקי נתקן בציבור ששומעים ועונים אמן, אבל אין הכי נמי אם שמע ולא ענה אמן יצא בדיעבד.</w:t>
      </w:r>
    </w:p>
    <w:p w:rsidR="00FE4765" w:rsidRDefault="00FE4765" w:rsidP="00F146A6">
      <w:pPr>
        <w:pStyle w:val="a3"/>
        <w:rPr>
          <w:rtl/>
        </w:rPr>
      </w:pPr>
      <w:r>
        <w:rPr>
          <w:rFonts w:hint="cs"/>
          <w:rtl/>
        </w:rPr>
        <w:t>וא"כ בנידון דידן שהוא מתפלל יחד עם הש"ץ הרי זה כמו דרגא ג' הנ"ל שהרי הוא מברך הברכה (שעדיף מעניית אמן) ולא פחות מדרגא ב' הנ"ל שהוא ממש אומר הברכה ועדיף משומע, וא"כ הרי הוא ממש כמו המברך עצמו שהרי הוא אומר הברכה. ולכאורה לפי זה הרי הוא מצטרף לעשרה.</w:t>
      </w:r>
    </w:p>
    <w:p w:rsidR="00FE4765" w:rsidRDefault="00FE4765" w:rsidP="00F146A6">
      <w:pPr>
        <w:pStyle w:val="a3"/>
        <w:rPr>
          <w:rtl/>
        </w:rPr>
      </w:pPr>
      <w:r>
        <w:rPr>
          <w:rFonts w:hint="cs"/>
          <w:rtl/>
        </w:rPr>
        <w:t>ועיין הלשון בלבוש סי' ק"ט סעיף ב' "ואם הוא מוכרח להתחיל התפלה עם הש"ץ וכו' ואח"כ יאמר עמו מלה במלה עד ברכת הא-ל הקדוש, שכשעושה כן שגומר הברכה עם הש"ץ אינו צריך להפסיק ולענות אמן, דהא הקהל עונין אמר אחר ברכתו עם הש"ץ והוא שומע ושומע כעונה (ועיין באליהו רבא הטעם). משמע דס"ל שהוא דרגא הב' וכו'. בכל אופן אתי שפיר דבמקרה דידן הוי כעונה אמן.</w:t>
      </w:r>
    </w:p>
    <w:p w:rsidR="00FE4765" w:rsidRDefault="00FE4765" w:rsidP="00F146A6">
      <w:pPr>
        <w:pStyle w:val="a3"/>
        <w:rPr>
          <w:rtl/>
        </w:rPr>
      </w:pPr>
      <w:r>
        <w:rPr>
          <w:rFonts w:hint="cs"/>
          <w:rtl/>
        </w:rPr>
        <w:t>וכל זה כתבתי מה שנראה לענ"ד להלכה ולא למעשה.</w:t>
      </w:r>
    </w:p>
    <w:p w:rsidR="00FE4765" w:rsidRDefault="00FE4765" w:rsidP="00F146A6">
      <w:pPr>
        <w:pStyle w:val="a3"/>
        <w:rPr>
          <w:rtl/>
        </w:rPr>
      </w:pPr>
      <w:r>
        <w:rPr>
          <w:rFonts w:hint="cs"/>
          <w:rtl/>
        </w:rPr>
        <w:t xml:space="preserve">סיכום : אחד שרוצה להיות חזן מחמת שעדיין לא התפלל לחש, בחשבו שעל ידי כן יצא תפילה בציבור, נראה מדברי הפסוקים שרק בשעת הדחק מותר לעשות כן, אבל בלא שעת הדחק עליו להמתין ולענות קדושה וכו' ולא לעלות לתיבה. </w:t>
      </w:r>
    </w:p>
    <w:p w:rsidR="00FE4765" w:rsidRDefault="00FE4765" w:rsidP="00F146A6">
      <w:pPr>
        <w:pStyle w:val="a3"/>
        <w:rPr>
          <w:rtl/>
        </w:rPr>
      </w:pPr>
      <w:r>
        <w:rPr>
          <w:rFonts w:hint="cs"/>
          <w:rtl/>
        </w:rPr>
        <w:t xml:space="preserve">ולרוב פוסקים יתפלל יחד עם הש"ץ מילה במילה ועי"ז יעלה לו לתפילת ציבור. </w:t>
      </w:r>
    </w:p>
    <w:p w:rsidR="00FE4765" w:rsidRDefault="00FE4765" w:rsidP="00F146A6">
      <w:pPr>
        <w:pStyle w:val="a3"/>
      </w:pPr>
      <w:r>
        <w:rPr>
          <w:rFonts w:hint="cs"/>
          <w:rtl/>
        </w:rPr>
        <w:t>וכן כשיש מנין מצומצם והוא איש העשירי ועדיין לא התפלל לחש, לדעת הרבה פוסקים (משמע) ס"ל דמותר להתפלל מלה במלה עם הש"ץ וזה נחשב גם לתפילה בציבור ומצטרף.</w:t>
      </w:r>
    </w:p>
    <w:p w:rsidR="007D68AC" w:rsidRDefault="007D68AC" w:rsidP="007D68AC">
      <w:pPr>
        <w:pStyle w:val="a0"/>
        <w:bidi w:val="0"/>
        <w:rPr>
          <w:rtl/>
        </w:rPr>
      </w:pPr>
      <w:bookmarkStart w:id="171" w:name="_Toc43963136"/>
      <w:r w:rsidRPr="00EC0B63">
        <w:rPr>
          <w:rFonts w:hint="cs"/>
          <w:rtl/>
        </w:rPr>
        <w:lastRenderedPageBreak/>
        <w:t>'גם בשמחה' במוצאי יו''ט</w:t>
      </w:r>
      <w:bookmarkEnd w:id="171"/>
    </w:p>
    <w:p w:rsidR="007D68AC" w:rsidRPr="00290655" w:rsidRDefault="007D68AC" w:rsidP="00F146A6">
      <w:pPr>
        <w:pStyle w:val="a"/>
        <w:rPr>
          <w:rtl/>
        </w:rPr>
      </w:pPr>
      <w:bookmarkStart w:id="172" w:name="_Toc43963137"/>
      <w:r w:rsidRPr="00290655">
        <w:rPr>
          <w:rFonts w:hint="cs"/>
          <w:rtl/>
        </w:rPr>
        <w:t>הרב יוסף שמחה גינזבורג</w:t>
      </w:r>
      <w:bookmarkEnd w:id="172"/>
    </w:p>
    <w:p w:rsidR="007D68AC" w:rsidRDefault="007D68AC" w:rsidP="007D68AC">
      <w:pPr>
        <w:pStyle w:val="a1"/>
      </w:pPr>
      <w:r w:rsidRPr="00C60FEE">
        <w:rPr>
          <w:rFonts w:hint="cs"/>
          <w:rtl/>
        </w:rPr>
        <w:t xml:space="preserve">רב אזורי </w:t>
      </w:r>
      <w:r w:rsidRPr="00C60FEE">
        <w:rPr>
          <w:rtl/>
        </w:rPr>
        <w:t>–</w:t>
      </w:r>
      <w:r w:rsidRPr="00C60FEE">
        <w:rPr>
          <w:rFonts w:hint="cs"/>
          <w:rtl/>
        </w:rPr>
        <w:t xml:space="preserve"> עומר, אה"ק</w:t>
      </w:r>
    </w:p>
    <w:p w:rsidR="007D68AC" w:rsidRDefault="007D68AC" w:rsidP="00F146A6">
      <w:pPr>
        <w:pStyle w:val="a3"/>
        <w:rPr>
          <w:rtl/>
        </w:rPr>
      </w:pPr>
      <w:r>
        <w:rPr>
          <w:rFonts w:hint="cs"/>
          <w:rtl/>
        </w:rPr>
        <w:t>בקצות השלחן (סי' עז, בבדה"ש  ס"ק יג) כתב שבאם אומרים 'קבלת שבת' בשעה שהשמש זורחת, אומרים 'גם בשמחה' כיוון שעדיין לא יצא יו"ט.</w:t>
      </w:r>
    </w:p>
    <w:p w:rsidR="007D68AC" w:rsidRDefault="007D68AC" w:rsidP="00F146A6">
      <w:pPr>
        <w:pStyle w:val="a3"/>
        <w:rPr>
          <w:rtl/>
        </w:rPr>
      </w:pPr>
      <w:r>
        <w:rPr>
          <w:rFonts w:hint="cs"/>
          <w:rtl/>
        </w:rPr>
        <w:t>אבל בס' המנהגים עמ' 26 נאמר שגם בשבת מוצאי יו"ט מתחילין 'מזמור לדוד', ללא חילוק מתי אומרים אז 'קבלת שבת'. וכנהוג בין אנ"ש, שאומרים זאת (כרגיל) לאחר השקיעה או גם לאחר צאת הכוכבים.</w:t>
      </w:r>
    </w:p>
    <w:p w:rsidR="007D68AC" w:rsidRDefault="007D68AC" w:rsidP="00F146A6">
      <w:pPr>
        <w:pStyle w:val="a3"/>
        <w:rPr>
          <w:rtl/>
        </w:rPr>
      </w:pPr>
      <w:r>
        <w:rPr>
          <w:rFonts w:hint="cs"/>
          <w:rtl/>
        </w:rPr>
        <w:t>וכדלהלן בעמ' 27, שבעל יארצייט בעש"ק אומר את הקדיש שאחרי 'לאורך ימים', ובהערת הרבי שם מביא "מש"כ במג"א ושוע"ר סו"ס רסא, שגם אחרי אמירת 'מזמור שיר' עושים כל המלאכות" הרי שאין הדבר תלוי באמירת 'קבלת שבת', כיוון שלמנהגנו לא מקבלים אז קדושת שבת, ולכן אמירה זו שייכת לועש"ק ולא לליל שבת. ולכן בעל יארצייט בעש"ק אומר אז את הקדיש.</w:t>
      </w:r>
    </w:p>
    <w:p w:rsidR="007D68AC" w:rsidRDefault="007D68AC" w:rsidP="00F146A6">
      <w:pPr>
        <w:pStyle w:val="a3"/>
        <w:rPr>
          <w:rtl/>
        </w:rPr>
      </w:pPr>
      <w:r>
        <w:rPr>
          <w:rFonts w:hint="cs"/>
          <w:rtl/>
        </w:rPr>
        <w:t>ולכן מסתבר שגם ההוראה לומר אז "גם בשמחה" קיימת גם לאחר השקיעה או צה"כ.</w:t>
      </w:r>
    </w:p>
    <w:p w:rsidR="007D68AC" w:rsidRDefault="007D68AC" w:rsidP="00F146A6">
      <w:pPr>
        <w:pStyle w:val="a3"/>
        <w:rPr>
          <w:rtl/>
        </w:rPr>
      </w:pPr>
      <w:r>
        <w:rPr>
          <w:rFonts w:hint="cs"/>
          <w:rtl/>
        </w:rPr>
        <w:t>וההוספה בקשר לבעל יארצייט בש"ק, סיבתה שכיוון שבפועל אומרים קדיש זה כאשר כבר נכנסה ש"ק, לכן גם הוא אומר אז את הקדיש.</w:t>
      </w:r>
    </w:p>
    <w:p w:rsidR="007D68AC" w:rsidRDefault="007D68AC" w:rsidP="007D68AC">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DC59FD" w:rsidRDefault="00DC59FD" w:rsidP="00DC59FD">
      <w:pPr>
        <w:pStyle w:val="a0"/>
        <w:bidi w:val="0"/>
        <w:rPr>
          <w:rtl/>
        </w:rPr>
      </w:pPr>
      <w:bookmarkStart w:id="173" w:name="_Toc43963138"/>
      <w:r w:rsidRPr="008D3FD6">
        <w:rPr>
          <w:rFonts w:hint="cs"/>
          <w:rtl/>
        </w:rPr>
        <w:t>צירוף למנין כשדרך הרבים מפסיקה ביניהם</w:t>
      </w:r>
      <w:bookmarkEnd w:id="173"/>
    </w:p>
    <w:p w:rsidR="00DC59FD" w:rsidRPr="00FA3D23" w:rsidRDefault="00DC59FD" w:rsidP="00DC59FD">
      <w:pPr>
        <w:pStyle w:val="a"/>
        <w:rPr>
          <w:rtl/>
        </w:rPr>
      </w:pPr>
      <w:bookmarkStart w:id="174" w:name="_Toc43963139"/>
      <w:r w:rsidRPr="00FA3D23">
        <w:rPr>
          <w:rFonts w:hint="cs"/>
          <w:rtl/>
        </w:rPr>
        <w:t>הרב יהודה ליב נחמנסון</w:t>
      </w:r>
      <w:r w:rsidRPr="00FA3D23">
        <w:rPr>
          <w:rtl/>
        </w:rPr>
        <w:br/>
      </w:r>
      <w:r w:rsidRPr="00DC59FD">
        <w:rPr>
          <w:rStyle w:val="Char1"/>
          <w:rFonts w:hint="cs"/>
          <w:b w:val="0"/>
          <w:bCs w:val="0"/>
          <w:rtl/>
        </w:rPr>
        <w:t>דומ"צ בבית ההוראה 'הוראה ומשפט' רחובות</w:t>
      </w:r>
      <w:r w:rsidRPr="00DC59FD">
        <w:rPr>
          <w:rStyle w:val="Char1"/>
          <w:b w:val="0"/>
          <w:bCs w:val="0"/>
          <w:rtl/>
        </w:rPr>
        <w:br/>
      </w:r>
      <w:r w:rsidRPr="00DC59FD">
        <w:rPr>
          <w:rStyle w:val="Char1"/>
          <w:rFonts w:hint="cs"/>
          <w:b w:val="0"/>
          <w:bCs w:val="0"/>
          <w:rtl/>
        </w:rPr>
        <w:t>מח"ס דיני איטר, שו"ת השלוחים, שיקדש עצמו ועוד</w:t>
      </w:r>
      <w:bookmarkEnd w:id="174"/>
    </w:p>
    <w:p w:rsidR="00DC59FD" w:rsidRPr="008D3FD6" w:rsidRDefault="00DC59FD" w:rsidP="00DC59FD">
      <w:pPr>
        <w:pStyle w:val="11"/>
        <w:bidi/>
        <w:spacing w:before="240"/>
        <w:rPr>
          <w:rtl/>
        </w:rPr>
      </w:pPr>
      <w:r w:rsidRPr="008D3FD6">
        <w:rPr>
          <w:rFonts w:hint="cs"/>
          <w:rtl/>
        </w:rPr>
        <w:t>א. דין צירוף למנין ולזימון</w:t>
      </w:r>
    </w:p>
    <w:p w:rsidR="00DC59FD" w:rsidRDefault="00DC59FD" w:rsidP="00DC59FD">
      <w:pPr>
        <w:pStyle w:val="a3"/>
        <w:rPr>
          <w:rtl/>
        </w:rPr>
      </w:pPr>
      <w:r>
        <w:rPr>
          <w:rFonts w:hint="cs"/>
          <w:rtl/>
        </w:rPr>
        <w:t>כותב אדה"ז בדיני צירוף למנין</w:t>
      </w:r>
      <w:r>
        <w:rPr>
          <w:rStyle w:val="FootnoteReference"/>
          <w:rtl/>
        </w:rPr>
        <w:footnoteReference w:id="187"/>
      </w:r>
      <w:r>
        <w:rPr>
          <w:rFonts w:hint="cs"/>
          <w:rtl/>
        </w:rPr>
        <w:t>: "</w:t>
      </w:r>
      <w:bookmarkStart w:id="175" w:name="סימן_נה_"/>
      <w:r>
        <w:rPr>
          <w:rFonts w:hint="cs"/>
          <w:rtl/>
        </w:rPr>
        <w:t>צ</w:t>
      </w:r>
      <w:r w:rsidRPr="0099637D">
        <w:rPr>
          <w:rtl/>
        </w:rPr>
        <w:t>ריך שיהיו כל העשרה במקום אחד ושליח צבור עמהם</w:t>
      </w:r>
      <w:r>
        <w:rPr>
          <w:rFonts w:hint="cs"/>
          <w:rtl/>
        </w:rPr>
        <w:t>,</w:t>
      </w:r>
      <w:r w:rsidRPr="0099637D">
        <w:rPr>
          <w:rtl/>
        </w:rPr>
        <w:t xml:space="preserve"> אבל אם מקצתם בחדר זה ומקצתם בחדר אחר אינם מצטרפים אף על פי שהפתח פתוח ביניהם</w:t>
      </w:r>
      <w:r>
        <w:rPr>
          <w:rFonts w:hint="cs"/>
          <w:rtl/>
        </w:rPr>
        <w:t xml:space="preserve"> כו'.</w:t>
      </w:r>
      <w:r w:rsidRPr="0099637D">
        <w:rPr>
          <w:rtl/>
        </w:rPr>
        <w:t xml:space="preserve"> במה דברים אמורים</w:t>
      </w:r>
      <w:r>
        <w:rPr>
          <w:rFonts w:hint="cs"/>
          <w:rtl/>
        </w:rPr>
        <w:t>,</w:t>
      </w:r>
      <w:r w:rsidRPr="0099637D">
        <w:rPr>
          <w:rtl/>
        </w:rPr>
        <w:t xml:space="preserve"> כשהעומדים בחוץ אינם נראים להעומדים בפנים</w:t>
      </w:r>
      <w:r>
        <w:rPr>
          <w:rFonts w:hint="cs"/>
          <w:rtl/>
        </w:rPr>
        <w:t>,</w:t>
      </w:r>
      <w:r w:rsidRPr="0099637D">
        <w:rPr>
          <w:rtl/>
        </w:rPr>
        <w:t xml:space="preserve"> אבל מי שמראה פניו להעומדים בבית הכנסת</w:t>
      </w:r>
      <w:r>
        <w:rPr>
          <w:rFonts w:hint="cs"/>
          <w:rtl/>
        </w:rPr>
        <w:t>,</w:t>
      </w:r>
      <w:r w:rsidRPr="0099637D">
        <w:rPr>
          <w:rtl/>
        </w:rPr>
        <w:t xml:space="preserve"> אפילו הוא עומד </w:t>
      </w:r>
      <w:r w:rsidRPr="0099637D">
        <w:rPr>
          <w:rtl/>
        </w:rPr>
        <w:lastRenderedPageBreak/>
        <w:t>אחורי בית הכנסת ומראה להם פנים דרך חלון שביניהם אפילו גבוה כמה קומות אפילו אינו רחב ד'</w:t>
      </w:r>
      <w:r>
        <w:rPr>
          <w:rFonts w:hint="cs"/>
          <w:rtl/>
        </w:rPr>
        <w:t>,</w:t>
      </w:r>
      <w:r w:rsidRPr="0099637D">
        <w:rPr>
          <w:rtl/>
        </w:rPr>
        <w:t xml:space="preserve"> מצטרף עמהם לעשרה</w:t>
      </w:r>
      <w:r>
        <w:rPr>
          <w:rFonts w:hint="cs"/>
          <w:rtl/>
        </w:rPr>
        <w:t>.</w:t>
      </w:r>
      <w:r w:rsidRPr="0099637D">
        <w:rPr>
          <w:rtl/>
        </w:rPr>
        <w:t xml:space="preserve"> אבל מי שאינו מראה פנים להם</w:t>
      </w:r>
      <w:r>
        <w:rPr>
          <w:rFonts w:hint="cs"/>
          <w:rtl/>
        </w:rPr>
        <w:t>,</w:t>
      </w:r>
      <w:r w:rsidRPr="0099637D">
        <w:rPr>
          <w:rtl/>
        </w:rPr>
        <w:t xml:space="preserve"> אפילו עומד על גביהן מלמעלה על גג בית הכנסת אינו מצטרף עמהם</w:t>
      </w:r>
      <w:r>
        <w:rPr>
          <w:rFonts w:hint="cs"/>
          <w:rtl/>
        </w:rPr>
        <w:t>.</w:t>
      </w:r>
      <w:r w:rsidRPr="00284992">
        <w:rPr>
          <w:rFonts w:hint="cs"/>
          <w:rtl/>
        </w:rPr>
        <w:t xml:space="preserve"> </w:t>
      </w:r>
      <w:r w:rsidRPr="0099637D">
        <w:rPr>
          <w:rtl/>
        </w:rPr>
        <w:t>אם מקצתן מבפנים ומקצתן בחוץ וש''ץ על גבי האסקופה תוך הפתח הוא מצרפן</w:t>
      </w:r>
      <w:r>
        <w:rPr>
          <w:rFonts w:hint="cs"/>
          <w:rtl/>
        </w:rPr>
        <w:t>,</w:t>
      </w:r>
      <w:r w:rsidRPr="0099637D">
        <w:rPr>
          <w:rtl/>
        </w:rPr>
        <w:t xml:space="preserve"> מפני שהוא רואה אלו ואלו וה</w:t>
      </w:r>
      <w:r>
        <w:rPr>
          <w:rFonts w:hint="cs"/>
          <w:rtl/>
        </w:rPr>
        <w:t>רי זה</w:t>
      </w:r>
      <w:r w:rsidRPr="0099637D">
        <w:rPr>
          <w:rtl/>
        </w:rPr>
        <w:t xml:space="preserve"> כאילו מקצת העומדים בחוץ נראים למקצת העומדים בפנים שהם מצטרפין</w:t>
      </w:r>
      <w:bookmarkEnd w:id="175"/>
      <w:r>
        <w:rPr>
          <w:rFonts w:hint="cs"/>
          <w:rtl/>
        </w:rPr>
        <w:t>".</w:t>
      </w:r>
    </w:p>
    <w:p w:rsidR="00DC59FD" w:rsidRDefault="00DC59FD" w:rsidP="00DC59FD">
      <w:pPr>
        <w:pStyle w:val="a3"/>
        <w:rPr>
          <w:rtl/>
        </w:rPr>
      </w:pPr>
      <w:r>
        <w:rPr>
          <w:rFonts w:hint="cs"/>
          <w:rtl/>
        </w:rPr>
        <w:t xml:space="preserve">כלומר, בכדי לצרף עשרה למנין צריכים המתפללים לשהות יחד בחדר אחד, אך עשרה שמחולקים בשני חדרים אינם מצטרפים, מלבד באחד מהמצבים דלהלן: א', קבוצה אחת בבית הכנסת וקבוצה שניה מראה פניה דרך פתח או חלון אל המתפללים שבבית הכנסת. ב', השליח ציבור עומד על הפתח </w:t>
      </w:r>
      <w:r w:rsidRPr="00FC37F9">
        <w:rPr>
          <w:rFonts w:hint="cs"/>
          <w:rtl/>
        </w:rPr>
        <w:t>והוא</w:t>
      </w:r>
      <w:r>
        <w:rPr>
          <w:rFonts w:hint="cs"/>
          <w:rtl/>
        </w:rPr>
        <w:t xml:space="preserve"> רואה את כל העשרה שבשני החדרים וראייתו מצרפת אותם למנין.</w:t>
      </w:r>
    </w:p>
    <w:p w:rsidR="00DC59FD" w:rsidRPr="00DC59FD" w:rsidRDefault="00DC59FD" w:rsidP="00DC59FD">
      <w:pPr>
        <w:pStyle w:val="a3"/>
        <w:rPr>
          <w:rtl/>
        </w:rPr>
      </w:pPr>
      <w:r w:rsidRPr="00DC59FD">
        <w:rPr>
          <w:rFonts w:hint="cs"/>
          <w:rtl/>
        </w:rPr>
        <w:t>והנה דין זה שראייה מצרפת למנין נלמד מדין צירוף לזימון, וכמו שכתב הרשב"א בתשובה</w:t>
      </w:r>
      <w:r w:rsidRPr="00DC59FD">
        <w:rPr>
          <w:rStyle w:val="FootnoteReference"/>
          <w:rtl/>
        </w:rPr>
        <w:footnoteReference w:id="188"/>
      </w:r>
      <w:r w:rsidRPr="00DC59FD">
        <w:rPr>
          <w:rFonts w:hint="cs"/>
          <w:rtl/>
        </w:rPr>
        <w:t>: "שכל</w:t>
      </w:r>
      <w:r w:rsidRPr="00DC59FD">
        <w:rPr>
          <w:rtl/>
        </w:rPr>
        <w:t xml:space="preserve"> </w:t>
      </w:r>
      <w:r w:rsidRPr="00DC59FD">
        <w:rPr>
          <w:rFonts w:hint="cs"/>
          <w:rtl/>
        </w:rPr>
        <w:t>שרואין</w:t>
      </w:r>
      <w:r w:rsidRPr="00DC59FD">
        <w:rPr>
          <w:rtl/>
        </w:rPr>
        <w:t xml:space="preserve"> </w:t>
      </w:r>
      <w:r w:rsidRPr="00DC59FD">
        <w:rPr>
          <w:rFonts w:hint="cs"/>
          <w:rtl/>
        </w:rPr>
        <w:t>אלו</w:t>
      </w:r>
      <w:r w:rsidRPr="00DC59FD">
        <w:rPr>
          <w:rtl/>
        </w:rPr>
        <w:t xml:space="preserve"> </w:t>
      </w:r>
      <w:r w:rsidRPr="00DC59FD">
        <w:rPr>
          <w:rFonts w:hint="cs"/>
          <w:rtl/>
        </w:rPr>
        <w:t>את</w:t>
      </w:r>
      <w:r w:rsidRPr="00DC59FD">
        <w:rPr>
          <w:rtl/>
        </w:rPr>
        <w:t xml:space="preserve"> </w:t>
      </w:r>
      <w:r w:rsidRPr="00DC59FD">
        <w:rPr>
          <w:rFonts w:hint="cs"/>
          <w:rtl/>
        </w:rPr>
        <w:t>אלו</w:t>
      </w:r>
      <w:r w:rsidRPr="00DC59FD">
        <w:rPr>
          <w:rtl/>
        </w:rPr>
        <w:t xml:space="preserve"> </w:t>
      </w:r>
      <w:r w:rsidRPr="00DC59FD">
        <w:rPr>
          <w:rFonts w:hint="cs"/>
          <w:rtl/>
        </w:rPr>
        <w:t>כאילו</w:t>
      </w:r>
      <w:r w:rsidRPr="00DC59FD">
        <w:rPr>
          <w:rtl/>
        </w:rPr>
        <w:t xml:space="preserve"> </w:t>
      </w:r>
      <w:r w:rsidRPr="00DC59FD">
        <w:rPr>
          <w:rFonts w:hint="cs"/>
          <w:rtl/>
        </w:rPr>
        <w:t>הן</w:t>
      </w:r>
      <w:r w:rsidRPr="00DC59FD">
        <w:rPr>
          <w:rtl/>
        </w:rPr>
        <w:t xml:space="preserve"> </w:t>
      </w:r>
      <w:r w:rsidRPr="00DC59FD">
        <w:rPr>
          <w:rFonts w:hint="cs"/>
          <w:rtl/>
        </w:rPr>
        <w:t>בבית</w:t>
      </w:r>
      <w:r w:rsidRPr="00DC59FD">
        <w:rPr>
          <w:rtl/>
        </w:rPr>
        <w:t xml:space="preserve"> </w:t>
      </w:r>
      <w:r w:rsidRPr="00DC59FD">
        <w:rPr>
          <w:rFonts w:hint="cs"/>
          <w:rtl/>
        </w:rPr>
        <w:t>אחד</w:t>
      </w:r>
      <w:r w:rsidRPr="00DC59FD">
        <w:rPr>
          <w:rtl/>
        </w:rPr>
        <w:t xml:space="preserve"> </w:t>
      </w:r>
      <w:r w:rsidRPr="00DC59FD">
        <w:rPr>
          <w:rFonts w:hint="cs"/>
          <w:rtl/>
        </w:rPr>
        <w:t>דמי</w:t>
      </w:r>
      <w:r w:rsidRPr="00DC59FD">
        <w:rPr>
          <w:rtl/>
        </w:rPr>
        <w:t xml:space="preserve"> </w:t>
      </w:r>
      <w:r w:rsidRPr="00DC59FD">
        <w:rPr>
          <w:rFonts w:hint="cs"/>
          <w:rtl/>
        </w:rPr>
        <w:t>ומצטרפין,</w:t>
      </w:r>
      <w:r w:rsidRPr="00DC59FD">
        <w:rPr>
          <w:rtl/>
        </w:rPr>
        <w:t xml:space="preserve"> </w:t>
      </w:r>
      <w:r w:rsidRPr="00DC59FD">
        <w:rPr>
          <w:rFonts w:hint="cs"/>
          <w:rtl/>
        </w:rPr>
        <w:t>ודומיא</w:t>
      </w:r>
      <w:r w:rsidRPr="00DC59FD">
        <w:rPr>
          <w:rtl/>
        </w:rPr>
        <w:t xml:space="preserve"> </w:t>
      </w:r>
      <w:r w:rsidRPr="00DC59FD">
        <w:rPr>
          <w:rFonts w:hint="cs"/>
          <w:rtl/>
        </w:rPr>
        <w:t>דזימון</w:t>
      </w:r>
      <w:r w:rsidRPr="00DC59FD">
        <w:rPr>
          <w:rtl/>
        </w:rPr>
        <w:t xml:space="preserve"> </w:t>
      </w:r>
      <w:r w:rsidRPr="00DC59FD">
        <w:rPr>
          <w:rFonts w:hint="cs"/>
          <w:rtl/>
        </w:rPr>
        <w:t>של</w:t>
      </w:r>
      <w:r w:rsidRPr="00DC59FD">
        <w:rPr>
          <w:rtl/>
        </w:rPr>
        <w:t xml:space="preserve"> </w:t>
      </w:r>
      <w:r w:rsidRPr="00DC59FD">
        <w:rPr>
          <w:rFonts w:hint="cs"/>
          <w:rtl/>
        </w:rPr>
        <w:t>ברכת</w:t>
      </w:r>
      <w:r w:rsidRPr="00DC59FD">
        <w:rPr>
          <w:rtl/>
        </w:rPr>
        <w:t xml:space="preserve"> </w:t>
      </w:r>
      <w:r w:rsidRPr="00DC59FD">
        <w:rPr>
          <w:rFonts w:hint="cs"/>
          <w:rtl/>
        </w:rPr>
        <w:t>המזון</w:t>
      </w:r>
      <w:r w:rsidRPr="00DC59FD">
        <w:rPr>
          <w:rtl/>
        </w:rPr>
        <w:t xml:space="preserve"> </w:t>
      </w:r>
      <w:r w:rsidRPr="00DC59FD">
        <w:rPr>
          <w:rFonts w:hint="cs"/>
          <w:rtl/>
        </w:rPr>
        <w:t>דתנן</w:t>
      </w:r>
      <w:r w:rsidRPr="00DC59FD">
        <w:rPr>
          <w:rtl/>
        </w:rPr>
        <w:t xml:space="preserve"> (</w:t>
      </w:r>
      <w:r w:rsidRPr="00DC59FD">
        <w:rPr>
          <w:rFonts w:hint="cs"/>
          <w:rtl/>
        </w:rPr>
        <w:t>ברכות</w:t>
      </w:r>
      <w:r w:rsidRPr="00DC59FD">
        <w:rPr>
          <w:rtl/>
        </w:rPr>
        <w:t xml:space="preserve"> </w:t>
      </w:r>
      <w:r w:rsidRPr="00DC59FD">
        <w:rPr>
          <w:rFonts w:hint="cs"/>
          <w:rtl/>
        </w:rPr>
        <w:t>פ</w:t>
      </w:r>
      <w:r w:rsidRPr="00DC59FD">
        <w:rPr>
          <w:rtl/>
        </w:rPr>
        <w:t>"</w:t>
      </w:r>
      <w:r w:rsidRPr="00DC59FD">
        <w:rPr>
          <w:rFonts w:hint="cs"/>
          <w:rtl/>
        </w:rPr>
        <w:t>ז</w:t>
      </w:r>
      <w:r w:rsidRPr="00DC59FD">
        <w:rPr>
          <w:rtl/>
        </w:rPr>
        <w:t xml:space="preserve"> </w:t>
      </w:r>
      <w:r w:rsidRPr="00DC59FD">
        <w:rPr>
          <w:rFonts w:hint="cs"/>
          <w:rtl/>
        </w:rPr>
        <w:t>דף</w:t>
      </w:r>
      <w:r w:rsidRPr="00DC59FD">
        <w:rPr>
          <w:rtl/>
        </w:rPr>
        <w:t xml:space="preserve"> </w:t>
      </w:r>
      <w:r w:rsidRPr="00DC59FD">
        <w:rPr>
          <w:rFonts w:hint="cs"/>
          <w:rtl/>
        </w:rPr>
        <w:t>נ</w:t>
      </w:r>
      <w:r w:rsidRPr="00DC59FD">
        <w:rPr>
          <w:rtl/>
        </w:rPr>
        <w:t xml:space="preserve">' </w:t>
      </w:r>
      <w:r w:rsidRPr="00DC59FD">
        <w:rPr>
          <w:rFonts w:hint="cs"/>
          <w:rtl/>
        </w:rPr>
        <w:t>ע</w:t>
      </w:r>
      <w:r w:rsidRPr="00DC59FD">
        <w:rPr>
          <w:rtl/>
        </w:rPr>
        <w:t>"</w:t>
      </w:r>
      <w:r w:rsidRPr="00DC59FD">
        <w:rPr>
          <w:rFonts w:hint="cs"/>
          <w:rtl/>
        </w:rPr>
        <w:t>ב</w:t>
      </w:r>
      <w:r w:rsidRPr="00DC59FD">
        <w:rPr>
          <w:rtl/>
        </w:rPr>
        <w:t xml:space="preserve">) </w:t>
      </w:r>
      <w:r w:rsidRPr="00DC59FD">
        <w:rPr>
          <w:rFonts w:hint="cs"/>
          <w:rtl/>
        </w:rPr>
        <w:t>שתי</w:t>
      </w:r>
      <w:r w:rsidRPr="00DC59FD">
        <w:rPr>
          <w:rtl/>
        </w:rPr>
        <w:t xml:space="preserve"> </w:t>
      </w:r>
      <w:r w:rsidRPr="00DC59FD">
        <w:rPr>
          <w:rFonts w:hint="cs"/>
          <w:rtl/>
        </w:rPr>
        <w:t>חבורות</w:t>
      </w:r>
      <w:r w:rsidRPr="00DC59FD">
        <w:rPr>
          <w:rtl/>
        </w:rPr>
        <w:t xml:space="preserve"> </w:t>
      </w:r>
      <w:r w:rsidRPr="00DC59FD">
        <w:rPr>
          <w:rFonts w:hint="cs"/>
          <w:rtl/>
        </w:rPr>
        <w:t>שהיו</w:t>
      </w:r>
      <w:r w:rsidRPr="00DC59FD">
        <w:rPr>
          <w:rtl/>
        </w:rPr>
        <w:t xml:space="preserve"> </w:t>
      </w:r>
      <w:r w:rsidRPr="00DC59FD">
        <w:rPr>
          <w:rFonts w:hint="cs"/>
          <w:rtl/>
        </w:rPr>
        <w:t>בבית</w:t>
      </w:r>
      <w:r w:rsidRPr="00DC59FD">
        <w:rPr>
          <w:rtl/>
        </w:rPr>
        <w:t xml:space="preserve"> </w:t>
      </w:r>
      <w:r w:rsidRPr="00DC59FD">
        <w:rPr>
          <w:rFonts w:hint="cs"/>
          <w:rtl/>
        </w:rPr>
        <w:t>אחד</w:t>
      </w:r>
      <w:r w:rsidRPr="00DC59FD">
        <w:rPr>
          <w:rtl/>
        </w:rPr>
        <w:t xml:space="preserve"> </w:t>
      </w:r>
      <w:r w:rsidRPr="00DC59FD">
        <w:rPr>
          <w:rFonts w:hint="cs"/>
          <w:rtl/>
        </w:rPr>
        <w:t>בזמן</w:t>
      </w:r>
      <w:r w:rsidRPr="00DC59FD">
        <w:rPr>
          <w:rtl/>
        </w:rPr>
        <w:t xml:space="preserve"> </w:t>
      </w:r>
      <w:r w:rsidRPr="00DC59FD">
        <w:rPr>
          <w:rFonts w:hint="cs"/>
          <w:rtl/>
        </w:rPr>
        <w:t>שמקצתן</w:t>
      </w:r>
      <w:r w:rsidRPr="00DC59FD">
        <w:rPr>
          <w:rtl/>
        </w:rPr>
        <w:t xml:space="preserve"> </w:t>
      </w:r>
      <w:r w:rsidRPr="00DC59FD">
        <w:rPr>
          <w:rFonts w:hint="cs"/>
          <w:rtl/>
        </w:rPr>
        <w:t>רואין</w:t>
      </w:r>
      <w:r w:rsidRPr="00DC59FD">
        <w:rPr>
          <w:rtl/>
        </w:rPr>
        <w:t xml:space="preserve"> </w:t>
      </w:r>
      <w:r w:rsidRPr="00DC59FD">
        <w:rPr>
          <w:rFonts w:hint="cs"/>
          <w:rtl/>
        </w:rPr>
        <w:t>אלו</w:t>
      </w:r>
      <w:r w:rsidRPr="00DC59FD">
        <w:rPr>
          <w:rtl/>
        </w:rPr>
        <w:t xml:space="preserve"> </w:t>
      </w:r>
      <w:r w:rsidRPr="00DC59FD">
        <w:rPr>
          <w:rFonts w:hint="cs"/>
          <w:rtl/>
        </w:rPr>
        <w:t>את</w:t>
      </w:r>
      <w:r w:rsidRPr="00DC59FD">
        <w:rPr>
          <w:rtl/>
        </w:rPr>
        <w:t xml:space="preserve"> </w:t>
      </w:r>
      <w:r w:rsidRPr="00DC59FD">
        <w:rPr>
          <w:rFonts w:hint="cs"/>
          <w:rtl/>
        </w:rPr>
        <w:t>אלו</w:t>
      </w:r>
      <w:r w:rsidRPr="00DC59FD">
        <w:rPr>
          <w:rtl/>
        </w:rPr>
        <w:t xml:space="preserve"> </w:t>
      </w:r>
      <w:r w:rsidRPr="00DC59FD">
        <w:rPr>
          <w:rFonts w:hint="cs"/>
          <w:rtl/>
        </w:rPr>
        <w:t>הרי</w:t>
      </w:r>
      <w:r w:rsidRPr="00DC59FD">
        <w:rPr>
          <w:rtl/>
        </w:rPr>
        <w:t xml:space="preserve"> </w:t>
      </w:r>
      <w:r w:rsidRPr="00DC59FD">
        <w:rPr>
          <w:rFonts w:hint="cs"/>
          <w:rtl/>
        </w:rPr>
        <w:t>אלו</w:t>
      </w:r>
      <w:r w:rsidRPr="00DC59FD">
        <w:rPr>
          <w:rtl/>
        </w:rPr>
        <w:t xml:space="preserve"> </w:t>
      </w:r>
      <w:r w:rsidRPr="00DC59FD">
        <w:rPr>
          <w:rFonts w:hint="cs"/>
          <w:rtl/>
        </w:rPr>
        <w:t>מצטרפין</w:t>
      </w:r>
      <w:r w:rsidRPr="00DC59FD">
        <w:rPr>
          <w:rtl/>
        </w:rPr>
        <w:t xml:space="preserve"> </w:t>
      </w:r>
      <w:r w:rsidRPr="00DC59FD">
        <w:rPr>
          <w:rFonts w:hint="cs"/>
          <w:rtl/>
        </w:rPr>
        <w:t>לזימון,</w:t>
      </w:r>
      <w:r w:rsidRPr="00DC59FD">
        <w:rPr>
          <w:rtl/>
        </w:rPr>
        <w:t xml:space="preserve"> </w:t>
      </w:r>
      <w:r w:rsidRPr="00DC59FD">
        <w:rPr>
          <w:rFonts w:hint="cs"/>
          <w:rtl/>
        </w:rPr>
        <w:t>ולא</w:t>
      </w:r>
      <w:r w:rsidRPr="00DC59FD">
        <w:rPr>
          <w:rtl/>
        </w:rPr>
        <w:t xml:space="preserve"> </w:t>
      </w:r>
      <w:r w:rsidRPr="00DC59FD">
        <w:rPr>
          <w:rFonts w:hint="cs"/>
          <w:rtl/>
        </w:rPr>
        <w:t>תימא</w:t>
      </w:r>
      <w:r w:rsidRPr="00DC59FD">
        <w:rPr>
          <w:rtl/>
        </w:rPr>
        <w:t xml:space="preserve"> </w:t>
      </w:r>
      <w:r w:rsidRPr="00DC59FD">
        <w:rPr>
          <w:rFonts w:hint="cs"/>
          <w:rtl/>
        </w:rPr>
        <w:t>דוקא</w:t>
      </w:r>
      <w:r w:rsidRPr="00DC59FD">
        <w:rPr>
          <w:rtl/>
        </w:rPr>
        <w:t xml:space="preserve"> </w:t>
      </w:r>
      <w:r w:rsidRPr="00DC59FD">
        <w:rPr>
          <w:rFonts w:hint="cs"/>
          <w:rtl/>
        </w:rPr>
        <w:t>בבית</w:t>
      </w:r>
      <w:r w:rsidRPr="00DC59FD">
        <w:rPr>
          <w:rtl/>
        </w:rPr>
        <w:t xml:space="preserve"> </w:t>
      </w:r>
      <w:r w:rsidRPr="00DC59FD">
        <w:rPr>
          <w:rFonts w:hint="cs"/>
          <w:rtl/>
        </w:rPr>
        <w:t>ממש,</w:t>
      </w:r>
      <w:r w:rsidRPr="00DC59FD">
        <w:rPr>
          <w:rtl/>
        </w:rPr>
        <w:t xml:space="preserve"> </w:t>
      </w:r>
      <w:r w:rsidRPr="00DC59FD">
        <w:rPr>
          <w:rFonts w:hint="cs"/>
          <w:rtl/>
        </w:rPr>
        <w:t>דבית</w:t>
      </w:r>
      <w:r w:rsidRPr="00DC59FD">
        <w:rPr>
          <w:rtl/>
        </w:rPr>
        <w:t xml:space="preserve"> </w:t>
      </w:r>
      <w:r w:rsidRPr="00DC59FD">
        <w:rPr>
          <w:rFonts w:hint="cs"/>
          <w:rtl/>
        </w:rPr>
        <w:t>אחד</w:t>
      </w:r>
      <w:r w:rsidRPr="00DC59FD">
        <w:rPr>
          <w:rtl/>
        </w:rPr>
        <w:t xml:space="preserve"> </w:t>
      </w:r>
      <w:r w:rsidRPr="00DC59FD">
        <w:rPr>
          <w:rFonts w:hint="cs"/>
          <w:rtl/>
        </w:rPr>
        <w:t>היינו</w:t>
      </w:r>
      <w:r w:rsidRPr="00DC59FD">
        <w:rPr>
          <w:rtl/>
        </w:rPr>
        <w:t xml:space="preserve"> </w:t>
      </w:r>
      <w:r w:rsidRPr="00DC59FD">
        <w:rPr>
          <w:rFonts w:hint="cs"/>
          <w:rtl/>
        </w:rPr>
        <w:t>בירה</w:t>
      </w:r>
      <w:r w:rsidRPr="00DC59FD">
        <w:rPr>
          <w:rtl/>
        </w:rPr>
        <w:t xml:space="preserve"> </w:t>
      </w:r>
      <w:r w:rsidRPr="00DC59FD">
        <w:rPr>
          <w:rFonts w:hint="cs"/>
          <w:rtl/>
        </w:rPr>
        <w:t>אחת". כלומר, האוכלים מצטרפים לזימון על ידי ראייתם אלו את אלו לא רק אם הם בחדר אחד אלא גם אם הם בחדרים שונים. והוא הדין לתפילה מצטרפים מחדר לחדר על ידי ראייה.</w:t>
      </w:r>
    </w:p>
    <w:p w:rsidR="00DC59FD" w:rsidRPr="00DC59FD" w:rsidRDefault="00DC59FD" w:rsidP="00DC59FD">
      <w:pPr>
        <w:pStyle w:val="a3"/>
        <w:rPr>
          <w:rtl/>
        </w:rPr>
      </w:pPr>
      <w:r w:rsidRPr="00DC59FD">
        <w:rPr>
          <w:rFonts w:hint="cs"/>
          <w:rtl/>
        </w:rPr>
        <w:t>וכך עולה מה"מראה מקום" בשולי הגליון על ההלכה האמורה בשולחן ערוך אדה"ז בענין צירוף למנין על ידי ראייה</w:t>
      </w:r>
      <w:r w:rsidRPr="00DC59FD">
        <w:rPr>
          <w:rStyle w:val="FootnoteReference"/>
          <w:rtl/>
        </w:rPr>
        <w:footnoteReference w:id="189"/>
      </w:r>
      <w:r w:rsidRPr="00DC59FD">
        <w:rPr>
          <w:rFonts w:hint="cs"/>
          <w:rtl/>
        </w:rPr>
        <w:t>, שמצוין שם לדברי המגן אברהם</w:t>
      </w:r>
      <w:r w:rsidRPr="00DC59FD">
        <w:rPr>
          <w:rStyle w:val="FootnoteReference"/>
          <w:rtl/>
        </w:rPr>
        <w:footnoteReference w:id="190"/>
      </w:r>
      <w:r w:rsidRPr="00DC59FD">
        <w:rPr>
          <w:rFonts w:hint="cs"/>
          <w:rtl/>
        </w:rPr>
        <w:t xml:space="preserve"> "דמדמי לה לסימן קצה סעיף ב" – שם מבואר דין צירוף לזימון על ידי ראייה. וידוע שמראי מקומות אלו הם מרבינו הזקן בעצמו או מאחיו המהרי"ל או מהצמח צדק</w:t>
      </w:r>
      <w:r w:rsidRPr="00DC59FD">
        <w:rPr>
          <w:rStyle w:val="FootnoteReference"/>
          <w:rtl/>
        </w:rPr>
        <w:footnoteReference w:id="191"/>
      </w:r>
      <w:r w:rsidRPr="00DC59FD">
        <w:rPr>
          <w:rFonts w:hint="cs"/>
          <w:rtl/>
        </w:rPr>
        <w:t>.</w:t>
      </w:r>
    </w:p>
    <w:p w:rsidR="00DC59FD" w:rsidRPr="00DC59FD" w:rsidRDefault="00DC59FD" w:rsidP="00DC59FD">
      <w:pPr>
        <w:pStyle w:val="a3"/>
        <w:rPr>
          <w:rtl/>
        </w:rPr>
      </w:pPr>
      <w:r w:rsidRPr="00DC59FD">
        <w:rPr>
          <w:rFonts w:hint="cs"/>
          <w:rtl/>
        </w:rPr>
        <w:t>והנה לענין צירוף אנשים לזימון מבית לבית על ידי ראייה כתב המחבר בשולחן ערוך</w:t>
      </w:r>
      <w:r w:rsidRPr="00DC59FD">
        <w:rPr>
          <w:rStyle w:val="FootnoteReference"/>
          <w:rtl/>
        </w:rPr>
        <w:footnoteReference w:id="192"/>
      </w:r>
      <w:r w:rsidRPr="00DC59FD">
        <w:rPr>
          <w:rFonts w:hint="cs"/>
          <w:rtl/>
        </w:rPr>
        <w:t>: "ויש</w:t>
      </w:r>
      <w:r w:rsidRPr="00DC59FD">
        <w:rPr>
          <w:rtl/>
        </w:rPr>
        <w:t xml:space="preserve"> </w:t>
      </w:r>
      <w:r w:rsidRPr="00DC59FD">
        <w:rPr>
          <w:rFonts w:hint="cs"/>
          <w:rtl/>
        </w:rPr>
        <w:t>מי</w:t>
      </w:r>
      <w:r w:rsidRPr="00DC59FD">
        <w:rPr>
          <w:rtl/>
        </w:rPr>
        <w:t xml:space="preserve"> </w:t>
      </w:r>
      <w:r w:rsidRPr="00DC59FD">
        <w:rPr>
          <w:rFonts w:hint="cs"/>
          <w:rtl/>
        </w:rPr>
        <w:t>שאומר</w:t>
      </w:r>
      <w:r w:rsidRPr="00DC59FD">
        <w:rPr>
          <w:rtl/>
        </w:rPr>
        <w:t xml:space="preserve"> </w:t>
      </w:r>
      <w:r w:rsidRPr="00DC59FD">
        <w:rPr>
          <w:rFonts w:hint="cs"/>
          <w:rtl/>
        </w:rPr>
        <w:t>שאם</w:t>
      </w:r>
      <w:r w:rsidRPr="00DC59FD">
        <w:rPr>
          <w:rtl/>
        </w:rPr>
        <w:t xml:space="preserve"> </w:t>
      </w:r>
      <w:r w:rsidRPr="00DC59FD">
        <w:rPr>
          <w:rFonts w:hint="cs"/>
          <w:rtl/>
        </w:rPr>
        <w:t>רשות</w:t>
      </w:r>
      <w:r w:rsidRPr="00DC59FD">
        <w:rPr>
          <w:rtl/>
        </w:rPr>
        <w:t xml:space="preserve"> </w:t>
      </w:r>
      <w:r w:rsidRPr="00DC59FD">
        <w:rPr>
          <w:rFonts w:hint="cs"/>
          <w:rtl/>
        </w:rPr>
        <w:t>הרבים</w:t>
      </w:r>
      <w:r w:rsidRPr="00DC59FD">
        <w:rPr>
          <w:rtl/>
        </w:rPr>
        <w:t xml:space="preserve"> </w:t>
      </w:r>
      <w:r w:rsidRPr="00DC59FD">
        <w:rPr>
          <w:rFonts w:hint="cs"/>
          <w:rtl/>
        </w:rPr>
        <w:t>מפסקת</w:t>
      </w:r>
      <w:r w:rsidRPr="00DC59FD">
        <w:rPr>
          <w:rtl/>
        </w:rPr>
        <w:t xml:space="preserve"> </w:t>
      </w:r>
      <w:r w:rsidRPr="00DC59FD">
        <w:rPr>
          <w:rFonts w:hint="cs"/>
          <w:rtl/>
        </w:rPr>
        <w:t>בין</w:t>
      </w:r>
      <w:r w:rsidRPr="00DC59FD">
        <w:rPr>
          <w:rtl/>
        </w:rPr>
        <w:t xml:space="preserve"> </w:t>
      </w:r>
      <w:r w:rsidRPr="00DC59FD">
        <w:rPr>
          <w:rFonts w:hint="cs"/>
          <w:rtl/>
        </w:rPr>
        <w:t>שני</w:t>
      </w:r>
      <w:r w:rsidRPr="00DC59FD">
        <w:rPr>
          <w:rtl/>
        </w:rPr>
        <w:t xml:space="preserve"> </w:t>
      </w:r>
      <w:r w:rsidRPr="00DC59FD">
        <w:rPr>
          <w:rFonts w:hint="cs"/>
          <w:rtl/>
        </w:rPr>
        <w:t>הבתים</w:t>
      </w:r>
      <w:r w:rsidRPr="00DC59FD">
        <w:rPr>
          <w:rtl/>
        </w:rPr>
        <w:t xml:space="preserve">, </w:t>
      </w:r>
      <w:r w:rsidRPr="00DC59FD">
        <w:rPr>
          <w:rFonts w:hint="cs"/>
          <w:rtl/>
        </w:rPr>
        <w:t>אינם</w:t>
      </w:r>
      <w:r w:rsidRPr="00DC59FD">
        <w:rPr>
          <w:rtl/>
        </w:rPr>
        <w:t xml:space="preserve"> </w:t>
      </w:r>
      <w:r w:rsidRPr="00DC59FD">
        <w:rPr>
          <w:rFonts w:hint="cs"/>
          <w:rtl/>
        </w:rPr>
        <w:t>מצטרפין</w:t>
      </w:r>
      <w:r w:rsidRPr="00DC59FD">
        <w:rPr>
          <w:rtl/>
        </w:rPr>
        <w:t xml:space="preserve"> </w:t>
      </w:r>
      <w:r w:rsidRPr="00DC59FD">
        <w:rPr>
          <w:rFonts w:hint="cs"/>
          <w:rtl/>
        </w:rPr>
        <w:lastRenderedPageBreak/>
        <w:t>בשום</w:t>
      </w:r>
      <w:r w:rsidRPr="00DC59FD">
        <w:rPr>
          <w:rtl/>
        </w:rPr>
        <w:t xml:space="preserve"> </w:t>
      </w:r>
      <w:r w:rsidRPr="00DC59FD">
        <w:rPr>
          <w:rFonts w:hint="cs"/>
          <w:rtl/>
        </w:rPr>
        <w:t>ענין". וכך פוסק אדה"ז בשולחנו</w:t>
      </w:r>
      <w:r w:rsidRPr="00DC59FD">
        <w:rPr>
          <w:rStyle w:val="FootnoteReference"/>
          <w:rtl/>
        </w:rPr>
        <w:footnoteReference w:id="193"/>
      </w:r>
      <w:r w:rsidRPr="00DC59FD">
        <w:rPr>
          <w:rFonts w:hint="cs"/>
          <w:rtl/>
        </w:rPr>
        <w:t>: "ב</w:t>
      </w:r>
      <w:r w:rsidRPr="00DC59FD">
        <w:rPr>
          <w:rtl/>
        </w:rPr>
        <w:t xml:space="preserve">' </w:t>
      </w:r>
      <w:r w:rsidRPr="00DC59FD">
        <w:rPr>
          <w:rFonts w:hint="cs"/>
          <w:rtl/>
        </w:rPr>
        <w:t>חבורות</w:t>
      </w:r>
      <w:r w:rsidRPr="00DC59FD">
        <w:rPr>
          <w:rtl/>
        </w:rPr>
        <w:t xml:space="preserve"> </w:t>
      </w:r>
      <w:r w:rsidRPr="00DC59FD">
        <w:rPr>
          <w:rFonts w:hint="cs"/>
          <w:rtl/>
        </w:rPr>
        <w:t>שאוכלות</w:t>
      </w:r>
      <w:r w:rsidRPr="00DC59FD">
        <w:rPr>
          <w:rtl/>
        </w:rPr>
        <w:t xml:space="preserve"> </w:t>
      </w:r>
      <w:r w:rsidRPr="00DC59FD">
        <w:rPr>
          <w:rFonts w:hint="cs"/>
          <w:rtl/>
        </w:rPr>
        <w:t>בבית</w:t>
      </w:r>
      <w:r w:rsidRPr="00DC59FD">
        <w:rPr>
          <w:rtl/>
        </w:rPr>
        <w:t xml:space="preserve"> </w:t>
      </w:r>
      <w:r w:rsidRPr="00DC59FD">
        <w:rPr>
          <w:rFonts w:hint="cs"/>
          <w:rtl/>
        </w:rPr>
        <w:t>אחד,</w:t>
      </w:r>
      <w:r w:rsidRPr="00DC59FD">
        <w:rPr>
          <w:rtl/>
        </w:rPr>
        <w:t xml:space="preserve"> </w:t>
      </w:r>
      <w:r w:rsidRPr="00DC59FD">
        <w:rPr>
          <w:rFonts w:hint="cs"/>
          <w:rtl/>
        </w:rPr>
        <w:t>או</w:t>
      </w:r>
      <w:r w:rsidRPr="00DC59FD">
        <w:rPr>
          <w:rtl/>
        </w:rPr>
        <w:t xml:space="preserve"> </w:t>
      </w:r>
      <w:r w:rsidRPr="00DC59FD">
        <w:rPr>
          <w:rFonts w:hint="cs"/>
          <w:rtl/>
        </w:rPr>
        <w:t>בב</w:t>
      </w:r>
      <w:r w:rsidRPr="00DC59FD">
        <w:rPr>
          <w:rtl/>
        </w:rPr>
        <w:t xml:space="preserve">' </w:t>
      </w:r>
      <w:r w:rsidRPr="00DC59FD">
        <w:rPr>
          <w:rFonts w:hint="cs"/>
          <w:rtl/>
        </w:rPr>
        <w:t>בתים</w:t>
      </w:r>
      <w:r w:rsidRPr="00DC59FD">
        <w:rPr>
          <w:rtl/>
        </w:rPr>
        <w:t xml:space="preserve"> </w:t>
      </w:r>
      <w:r w:rsidRPr="00DC59FD">
        <w:rPr>
          <w:rFonts w:hint="cs"/>
          <w:rtl/>
        </w:rPr>
        <w:t>שאין</w:t>
      </w:r>
      <w:r w:rsidRPr="00DC59FD">
        <w:rPr>
          <w:rtl/>
        </w:rPr>
        <w:t xml:space="preserve"> </w:t>
      </w:r>
      <w:r w:rsidRPr="00DC59FD">
        <w:rPr>
          <w:rFonts w:hint="cs"/>
          <w:rtl/>
        </w:rPr>
        <w:t>דרך</w:t>
      </w:r>
      <w:r w:rsidRPr="00DC59FD">
        <w:rPr>
          <w:rtl/>
        </w:rPr>
        <w:t xml:space="preserve"> </w:t>
      </w:r>
      <w:r w:rsidRPr="00DC59FD">
        <w:rPr>
          <w:rFonts w:hint="cs"/>
          <w:rtl/>
        </w:rPr>
        <w:t>הרבים</w:t>
      </w:r>
      <w:r w:rsidRPr="00DC59FD">
        <w:rPr>
          <w:rtl/>
        </w:rPr>
        <w:t xml:space="preserve"> </w:t>
      </w:r>
      <w:r w:rsidRPr="00DC59FD">
        <w:rPr>
          <w:rFonts w:hint="cs"/>
          <w:rtl/>
        </w:rPr>
        <w:t>מפסקת</w:t>
      </w:r>
      <w:r w:rsidRPr="00DC59FD">
        <w:rPr>
          <w:rtl/>
        </w:rPr>
        <w:t xml:space="preserve"> </w:t>
      </w:r>
      <w:r w:rsidRPr="00DC59FD">
        <w:rPr>
          <w:rFonts w:hint="cs"/>
          <w:rtl/>
        </w:rPr>
        <w:t>ביניהם,</w:t>
      </w:r>
      <w:r w:rsidRPr="00DC59FD">
        <w:rPr>
          <w:rtl/>
        </w:rPr>
        <w:t xml:space="preserve"> </w:t>
      </w:r>
      <w:r w:rsidRPr="00DC59FD">
        <w:rPr>
          <w:rFonts w:hint="cs"/>
          <w:rtl/>
        </w:rPr>
        <w:t>אם</w:t>
      </w:r>
      <w:r w:rsidRPr="00DC59FD">
        <w:rPr>
          <w:rtl/>
        </w:rPr>
        <w:t xml:space="preserve"> </w:t>
      </w:r>
      <w:r w:rsidRPr="00DC59FD">
        <w:rPr>
          <w:rFonts w:hint="cs"/>
          <w:rtl/>
        </w:rPr>
        <w:t>מקצתן</w:t>
      </w:r>
      <w:r w:rsidRPr="00DC59FD">
        <w:rPr>
          <w:rtl/>
        </w:rPr>
        <w:t xml:space="preserve"> </w:t>
      </w:r>
      <w:r w:rsidRPr="00DC59FD">
        <w:rPr>
          <w:rFonts w:hint="cs"/>
          <w:rtl/>
        </w:rPr>
        <w:t>רואים</w:t>
      </w:r>
      <w:r w:rsidRPr="00DC59FD">
        <w:rPr>
          <w:rtl/>
        </w:rPr>
        <w:t xml:space="preserve"> </w:t>
      </w:r>
      <w:r w:rsidRPr="00DC59FD">
        <w:rPr>
          <w:rFonts w:hint="cs"/>
          <w:rtl/>
        </w:rPr>
        <w:t>אלו</w:t>
      </w:r>
      <w:r w:rsidRPr="00DC59FD">
        <w:rPr>
          <w:rtl/>
        </w:rPr>
        <w:t xml:space="preserve"> </w:t>
      </w:r>
      <w:r w:rsidRPr="00DC59FD">
        <w:rPr>
          <w:rFonts w:hint="cs"/>
          <w:rtl/>
        </w:rPr>
        <w:t>את</w:t>
      </w:r>
      <w:r w:rsidRPr="00DC59FD">
        <w:rPr>
          <w:rtl/>
        </w:rPr>
        <w:t xml:space="preserve"> </w:t>
      </w:r>
      <w:r w:rsidRPr="00DC59FD">
        <w:rPr>
          <w:rFonts w:hint="cs"/>
          <w:rtl/>
        </w:rPr>
        <w:t>אלו</w:t>
      </w:r>
      <w:r w:rsidRPr="00DC59FD">
        <w:rPr>
          <w:rtl/>
        </w:rPr>
        <w:t xml:space="preserve"> </w:t>
      </w:r>
      <w:r w:rsidRPr="00DC59FD">
        <w:rPr>
          <w:rFonts w:hint="cs"/>
          <w:rtl/>
        </w:rPr>
        <w:t>מצטרפות</w:t>
      </w:r>
      <w:r w:rsidRPr="00DC59FD">
        <w:rPr>
          <w:rtl/>
        </w:rPr>
        <w:t xml:space="preserve"> </w:t>
      </w:r>
      <w:r w:rsidRPr="00DC59FD">
        <w:rPr>
          <w:rFonts w:hint="cs"/>
          <w:rtl/>
        </w:rPr>
        <w:t>לזימון". כלומר, אנשים הנמצאים בשני בתים שדרך הרבים עוברת ביניהם אינם מצטרפים יחד לזימון אף שרואים אלו את אלו.</w:t>
      </w:r>
    </w:p>
    <w:p w:rsidR="00DC59FD" w:rsidRPr="00DC59FD" w:rsidRDefault="00DC59FD" w:rsidP="00DC59FD">
      <w:pPr>
        <w:pStyle w:val="a3"/>
        <w:rPr>
          <w:rtl/>
        </w:rPr>
      </w:pPr>
      <w:r w:rsidRPr="00DC59FD">
        <w:rPr>
          <w:rFonts w:hint="cs"/>
          <w:rtl/>
        </w:rPr>
        <w:t>ועל פי האמור לעיל שדין צירוף למנין על ידי ראייה נלמד מדין צירוף לזימון, כתב הפרי מגדים</w:t>
      </w:r>
      <w:r w:rsidRPr="00DC59FD">
        <w:rPr>
          <w:rStyle w:val="FootnoteReference"/>
          <w:rtl/>
        </w:rPr>
        <w:footnoteReference w:id="194"/>
      </w:r>
      <w:r w:rsidRPr="00DC59FD">
        <w:rPr>
          <w:rFonts w:hint="cs"/>
          <w:vertAlign w:val="superscript"/>
          <w:rtl/>
        </w:rPr>
        <w:t xml:space="preserve"> </w:t>
      </w:r>
      <w:r w:rsidRPr="00DC59FD">
        <w:rPr>
          <w:rFonts w:hint="cs"/>
          <w:rtl/>
        </w:rPr>
        <w:t>שגם לענין הפסק דרך הרבים יש להשוות הדינים, ובלשונו: "</w:t>
      </w:r>
      <w:r w:rsidRPr="00DC59FD">
        <w:rPr>
          <w:rtl/>
        </w:rPr>
        <w:t>וכן מה שכתוב שם</w:t>
      </w:r>
      <w:r w:rsidRPr="00DC59FD">
        <w:rPr>
          <w:rFonts w:hint="cs"/>
          <w:rtl/>
        </w:rPr>
        <w:t xml:space="preserve"> </w:t>
      </w:r>
      <w:r w:rsidRPr="00DC59FD">
        <w:rPr>
          <w:rtl/>
        </w:rPr>
        <w:t>רשות הרבים מפסקת אין מצטרף, הוא הדין כאן</w:t>
      </w:r>
      <w:r w:rsidRPr="00DC59FD">
        <w:rPr>
          <w:rFonts w:hint="cs"/>
          <w:rtl/>
        </w:rPr>
        <w:t>". כלומר, כשם שדרך הרבים מפסיקה בין חבורות האוכלים ואינם מצטרפים לזימון על ידי ראייה, כך גם למנין אי אפשר להצטרף כשדרך הרבים ביניהם אף שרואים זה את זה.</w:t>
      </w:r>
    </w:p>
    <w:p w:rsidR="00DC59FD" w:rsidRPr="00DC59FD" w:rsidRDefault="00DC59FD" w:rsidP="00DC59FD">
      <w:pPr>
        <w:pStyle w:val="11"/>
        <w:bidi/>
        <w:rPr>
          <w:rtl/>
        </w:rPr>
      </w:pPr>
      <w:r w:rsidRPr="00DC59FD">
        <w:rPr>
          <w:rFonts w:hint="cs"/>
          <w:rtl/>
        </w:rPr>
        <w:t>ב. סברות לחלק בין צירוף לזימון לצירוף למנין ודחייתן</w:t>
      </w:r>
    </w:p>
    <w:p w:rsidR="00DC59FD" w:rsidRPr="00DC59FD" w:rsidRDefault="00DC59FD" w:rsidP="00DC59FD">
      <w:pPr>
        <w:pStyle w:val="a3"/>
        <w:rPr>
          <w:rtl/>
        </w:rPr>
      </w:pPr>
      <w:r w:rsidRPr="00DC59FD">
        <w:rPr>
          <w:rFonts w:hint="cs"/>
          <w:rtl/>
        </w:rPr>
        <w:t>והנה לכאורה מכך שאדמו"ר הזקן לא כתב במפורש את דין הפסק דרך הרבים גם בנוגע לצירוף למנין (כפי שהפרי מגדים כתב), יש לדייק שלדעתו דרך הרבים אינה מפסקת אלא לענין צירוף לזימון אך לא לענין צירוף למנין, ודלא כהפרי מגדים.</w:t>
      </w:r>
    </w:p>
    <w:p w:rsidR="00DC59FD" w:rsidRPr="00DC59FD" w:rsidRDefault="00DC59FD" w:rsidP="00DC59FD">
      <w:pPr>
        <w:pStyle w:val="a3"/>
        <w:rPr>
          <w:rtl/>
        </w:rPr>
      </w:pPr>
      <w:r w:rsidRPr="00DC59FD">
        <w:rPr>
          <w:rFonts w:hint="cs"/>
          <w:rtl/>
        </w:rPr>
        <w:t>אכן, דיוק זה אינו מוכרח כלל, כי הפרי מגדים נדפס לראשונה כמה וכמה שנים לאחר שחיבר אדמו"ר הזקן את חלק אורח חיים משולחן ערוך שלו</w:t>
      </w:r>
      <w:r w:rsidRPr="00DC59FD">
        <w:rPr>
          <w:rStyle w:val="FootnoteReference"/>
          <w:rtl/>
        </w:rPr>
        <w:footnoteReference w:id="195"/>
      </w:r>
      <w:r w:rsidRPr="00DC59FD">
        <w:rPr>
          <w:rFonts w:hint="cs"/>
          <w:rtl/>
        </w:rPr>
        <w:t>, וכידוע "</w:t>
      </w:r>
      <w:r w:rsidRPr="00DC59FD">
        <w:rPr>
          <w:rtl/>
        </w:rPr>
        <w:t>דרך רבנו הזקן בכ</w:t>
      </w:r>
      <w:r w:rsidRPr="00DC59FD">
        <w:rPr>
          <w:rFonts w:hint="cs"/>
          <w:rtl/>
        </w:rPr>
        <w:t>ל מקום</w:t>
      </w:r>
      <w:r w:rsidRPr="00DC59FD">
        <w:rPr>
          <w:rtl/>
        </w:rPr>
        <w:t xml:space="preserve"> בשו</w:t>
      </w:r>
      <w:r w:rsidRPr="00DC59FD">
        <w:rPr>
          <w:rFonts w:hint="cs"/>
          <w:rtl/>
        </w:rPr>
        <w:t>לחן ערוך</w:t>
      </w:r>
      <w:r w:rsidRPr="00DC59FD">
        <w:rPr>
          <w:rtl/>
        </w:rPr>
        <w:t xml:space="preserve"> שלו להעתיק הדינים באופן ובמציאות שמצאם בהספרים והפוסקים שקדמו לו"</w:t>
      </w:r>
      <w:r w:rsidRPr="00DC59FD">
        <w:rPr>
          <w:rStyle w:val="FootnoteReference"/>
          <w:rtl/>
        </w:rPr>
        <w:footnoteReference w:id="196"/>
      </w:r>
      <w:r w:rsidRPr="00DC59FD">
        <w:rPr>
          <w:rFonts w:hint="cs"/>
          <w:rtl/>
        </w:rPr>
        <w:t>, וכיון שבעת כתיבת הלכות אלו לא ראה אדמו"ר הזקן לאחד מהפוסקים שקדמו לו שיכתבו במפורש שדין צירוף למנין שוה לדין צירוף לזימון לענין הפסק דרך הרבים, על כן לא כתב זאת במפורש, אך אין להוכיח מזה שלמעשה לא סבירא ליה כהפרי מגדים שדרך הרבים מפסקת אף למנין כפי שמפסקת לזימון.</w:t>
      </w:r>
    </w:p>
    <w:p w:rsidR="00DC59FD" w:rsidRPr="00DC59FD" w:rsidRDefault="00DC59FD" w:rsidP="00DC59FD">
      <w:pPr>
        <w:pStyle w:val="a3"/>
        <w:rPr>
          <w:rtl/>
        </w:rPr>
      </w:pPr>
      <w:r w:rsidRPr="00DC59FD">
        <w:rPr>
          <w:rFonts w:hint="cs"/>
          <w:rtl/>
        </w:rPr>
        <w:lastRenderedPageBreak/>
        <w:t>עוד יש לדחות, דבהלכות זימון בשולחן ערוך אדמו"ר הזקן</w:t>
      </w:r>
      <w:r w:rsidRPr="00DC59FD">
        <w:rPr>
          <w:rStyle w:val="FootnoteReference"/>
          <w:rtl/>
        </w:rPr>
        <w:footnoteReference w:id="197"/>
      </w:r>
      <w:r w:rsidRPr="00DC59FD">
        <w:rPr>
          <w:rFonts w:hint="cs"/>
          <w:rtl/>
        </w:rPr>
        <w:t xml:space="preserve"> מדובר על שתי חבורות הנמצאות "בבית אחד או בב' בתים", ויש לומר שכיון שבין "ב' בתים" מצוי שתהיה "דרך הרבים" על כן התייחס אדה"ז במפורש למצב זה וכתב דהוי הפסק. מה שאין כן בהלכות מנין</w:t>
      </w:r>
      <w:r w:rsidRPr="00DC59FD">
        <w:rPr>
          <w:rStyle w:val="FootnoteReference"/>
          <w:rtl/>
        </w:rPr>
        <w:footnoteReference w:id="198"/>
      </w:r>
      <w:r w:rsidRPr="00DC59FD">
        <w:rPr>
          <w:rFonts w:hint="cs"/>
          <w:rtl/>
        </w:rPr>
        <w:t xml:space="preserve"> לא הזכיר אדמו"ר הזקן אלא דוגמאות של צירוף בין העומדים "בחדר זה" להעומדים "בחדר אחר" באותו בית הכנסת, או בין "העומדים בפנים" ל"העומדים על האסקופה" או "בחוץ" כגון "אחורי בית הכנסת", וכיון שבכהאי גוונא לא מצוי שתהיה "דרך הרבים" בין המתפללים, אפשר שמשום כך לא התייחס אדמו"ר הזקן במפורש למצב כזה</w:t>
      </w:r>
      <w:r w:rsidRPr="00DC59FD">
        <w:rPr>
          <w:rStyle w:val="FootnoteReference"/>
          <w:rtl/>
        </w:rPr>
        <w:footnoteReference w:id="199"/>
      </w:r>
      <w:r w:rsidRPr="00DC59FD">
        <w:rPr>
          <w:rFonts w:hint="cs"/>
          <w:rtl/>
        </w:rPr>
        <w:t>. אך אין הכי נמי בגוונא שיש דרך הרבים בין המתפללים, יתכן שמסכים לדברי הפרי מגדים שאינם מצטרפים.</w:t>
      </w:r>
    </w:p>
    <w:p w:rsidR="00DC59FD" w:rsidRPr="00DC59FD" w:rsidRDefault="00DC59FD" w:rsidP="00521750">
      <w:pPr>
        <w:pStyle w:val="a3"/>
        <w:jc w:val="center"/>
        <w:rPr>
          <w:b/>
          <w:bCs/>
          <w:rtl/>
        </w:rPr>
      </w:pPr>
      <w:r w:rsidRPr="00DC59FD">
        <w:rPr>
          <w:rFonts w:hint="cs"/>
          <w:rtl/>
        </w:rPr>
        <w:lastRenderedPageBreak/>
        <w:t>*</w:t>
      </w:r>
    </w:p>
    <w:p w:rsidR="00DC59FD" w:rsidRPr="00DC59FD" w:rsidRDefault="00DC59FD" w:rsidP="00DC59FD">
      <w:pPr>
        <w:pStyle w:val="a3"/>
        <w:rPr>
          <w:rtl/>
        </w:rPr>
      </w:pPr>
      <w:r w:rsidRPr="00DC59FD">
        <w:rPr>
          <w:rFonts w:hint="cs"/>
          <w:rtl/>
        </w:rPr>
        <w:t xml:space="preserve">סברא נוספת העלה חכם אחד מדוע דוקא בצירוף לזימון דרך הרבים מפסקת אך לא בצירוף למנין </w:t>
      </w:r>
      <w:r w:rsidRPr="00DC59FD">
        <w:rPr>
          <w:rtl/>
        </w:rPr>
        <w:t>–</w:t>
      </w:r>
    </w:p>
    <w:p w:rsidR="00DC59FD" w:rsidRPr="00DC59FD" w:rsidRDefault="00DC59FD" w:rsidP="00DC59FD">
      <w:pPr>
        <w:pStyle w:val="a3"/>
        <w:rPr>
          <w:rtl/>
        </w:rPr>
      </w:pPr>
      <w:r w:rsidRPr="00DC59FD">
        <w:rPr>
          <w:rFonts w:hint="cs"/>
          <w:rtl/>
        </w:rPr>
        <w:t>דהנה בהלכות בציעת הפת</w:t>
      </w:r>
      <w:r w:rsidRPr="00DC59FD">
        <w:rPr>
          <w:rStyle w:val="FootnoteReference"/>
          <w:rtl/>
        </w:rPr>
        <w:footnoteReference w:id="200"/>
      </w:r>
      <w:r w:rsidRPr="00DC59FD">
        <w:rPr>
          <w:rFonts w:hint="cs"/>
          <w:rtl/>
        </w:rPr>
        <w:t xml:space="preserve"> כתב אדה"ז: "בברכת הנהנין מי שנהנה הוא ראוי שיברך ואין אחד פוטר חבירו בברכתו, אלא אם כן נקבעו יחד על דבר שדרך לקבוע עליו כגון פת ויין שקביעותם מצרפתן להיותם נחשבים כגוף אחד לברכה אחת לכולם". ומקור דבריו בדברי הר"ן</w:t>
      </w:r>
      <w:r w:rsidRPr="00DC59FD">
        <w:rPr>
          <w:rStyle w:val="FootnoteReference"/>
          <w:rtl/>
        </w:rPr>
        <w:footnoteReference w:id="201"/>
      </w:r>
      <w:r w:rsidRPr="00DC59FD">
        <w:rPr>
          <w:rFonts w:hint="cs"/>
          <w:rtl/>
        </w:rPr>
        <w:t xml:space="preserve"> שכתב וזה לשונו: "</w:t>
      </w:r>
      <w:r w:rsidRPr="00DC59FD">
        <w:rPr>
          <w:rtl/>
        </w:rPr>
        <w:t>קיימא לן דשומע כעונה חוץ מברכת הנהנין דמי שנהנה ראוי שיברך</w:t>
      </w:r>
      <w:r w:rsidRPr="00DC59FD">
        <w:rPr>
          <w:rFonts w:hint="cs"/>
          <w:rtl/>
        </w:rPr>
        <w:t>, כי אם היכא</w:t>
      </w:r>
      <w:r w:rsidRPr="00DC59FD">
        <w:rPr>
          <w:rtl/>
        </w:rPr>
        <w:t xml:space="preserve"> דמברך גופיה מיחייב ואיכא קביעותא דדמו כולהו כחד גופא"</w:t>
      </w:r>
      <w:r w:rsidRPr="00DC59FD">
        <w:rPr>
          <w:rFonts w:hint="cs"/>
          <w:rtl/>
        </w:rPr>
        <w:t>.</w:t>
      </w:r>
    </w:p>
    <w:p w:rsidR="00DC59FD" w:rsidRPr="00DC59FD" w:rsidRDefault="00DC59FD" w:rsidP="00DC59FD">
      <w:pPr>
        <w:pStyle w:val="a3"/>
        <w:rPr>
          <w:rtl/>
        </w:rPr>
      </w:pPr>
      <w:r w:rsidRPr="00DC59FD">
        <w:rPr>
          <w:rFonts w:hint="cs"/>
          <w:rtl/>
        </w:rPr>
        <w:t>מדברי הר"ן ואדה"ז עולה שבסעודה המחייבת בזימון מצטרפים היחידים לא רק ל"עדה" אחת כפי שהוא בתפילת הציבור</w:t>
      </w:r>
      <w:r w:rsidRPr="00DC59FD">
        <w:rPr>
          <w:rStyle w:val="FootnoteReference"/>
          <w:rtl/>
        </w:rPr>
        <w:footnoteReference w:id="202"/>
      </w:r>
      <w:r w:rsidRPr="00DC59FD">
        <w:rPr>
          <w:rFonts w:hint="cs"/>
          <w:rtl/>
        </w:rPr>
        <w:t>, אלא יתירה מזו הם נחשבים "כגוף אחד".</w:t>
      </w:r>
    </w:p>
    <w:p w:rsidR="00DC59FD" w:rsidRPr="00DC59FD" w:rsidRDefault="00DC59FD" w:rsidP="00DC59FD">
      <w:pPr>
        <w:pStyle w:val="a3"/>
        <w:rPr>
          <w:rtl/>
        </w:rPr>
      </w:pPr>
      <w:r w:rsidRPr="00DC59FD">
        <w:rPr>
          <w:rFonts w:hint="cs"/>
          <w:rtl/>
        </w:rPr>
        <w:t>כלומר, לצורך זימון נדרשת אחדות חזקה הרבה יותר מהאחדות הנדרשת לשם תפילה במנין, שלכן לצורך תפילה בציבור די שהמתפללים נמצאים בחדר אחד או שרואים זה את זה גם אם לא נקבעו יחד מתוך כוונה לשם תפילה בציבור, מה שאין כן לזימון אין שתי חבורות מצטרפות יחד אלא אם כן "נכנסו מתחילה לשם על דעת להצטרף, אבל בסתם אינן מצטרפות אפילו רואים אלו את אלו והם בבית אחד כו' שעיקר החיבור והצירוף הוא הכוונה להתחבר"</w:t>
      </w:r>
      <w:r w:rsidRPr="00DC59FD">
        <w:rPr>
          <w:rStyle w:val="FootnoteReference"/>
          <w:rtl/>
        </w:rPr>
        <w:footnoteReference w:id="203"/>
      </w:r>
      <w:r w:rsidRPr="00DC59FD">
        <w:rPr>
          <w:rFonts w:hint="cs"/>
          <w:rtl/>
        </w:rPr>
        <w:t>.</w:t>
      </w:r>
    </w:p>
    <w:p w:rsidR="00DC59FD" w:rsidRPr="00DC59FD" w:rsidRDefault="00DC59FD" w:rsidP="00DC59FD">
      <w:pPr>
        <w:pStyle w:val="a3"/>
        <w:rPr>
          <w:rtl/>
        </w:rPr>
      </w:pPr>
      <w:r w:rsidRPr="00DC59FD">
        <w:rPr>
          <w:rFonts w:hint="cs"/>
          <w:rtl/>
        </w:rPr>
        <w:t>על פי זה יש מקום לומר ש"דרך הרבים" מבטלת דווקא את האחדות המיוחדת של "נחשבים כגוף אחד" הנדרשת לזימון, מה שאין כן האחדות הפחותה של מנין שאינה מחשיבה אותם "כגוף אחד" אלא רק "עדה" אחת אינה מתבטלת על ידי "דרך הרבים" העוברת ביניהם, ולכן השמיט אדה"ז את ענין הפסק דרך הרבים בהלכות צירוף למנין.</w:t>
      </w:r>
    </w:p>
    <w:p w:rsidR="00DC59FD" w:rsidRDefault="00DC59FD" w:rsidP="00DC59FD">
      <w:pPr>
        <w:pStyle w:val="a3"/>
        <w:rPr>
          <w:rtl/>
        </w:rPr>
      </w:pPr>
      <w:r w:rsidRPr="00DC59FD">
        <w:rPr>
          <w:rFonts w:hint="cs"/>
          <w:rtl/>
        </w:rPr>
        <w:t xml:space="preserve">אכן, סברא זו אינה מוכרחת כלל, ואדרבה, יש מקום לומר דאיפכא מסתברא: ומה אם בזימון שבנוסף לכך שרואים זה את זה גם מתכוונים במפורש להיקבע יחד מכל מקום דרך הרבים מפסקת ומבטלת הצירוף, במנין שאין להם כוונה חיובית להיקבע יחד (שהרי כאמור במנין אין צורך בכך) רק שרואים אלו את אלו על אחת כמה וכמה שדרך הרבים יכולה לבטל הצירוף. כלומר, אם "דרך הרבים" מבטלת צירוף חזק, על </w:t>
      </w:r>
      <w:r w:rsidRPr="00DC59FD">
        <w:rPr>
          <w:rFonts w:hint="cs"/>
          <w:rtl/>
        </w:rPr>
        <w:lastRenderedPageBreak/>
        <w:t>אחת כמה וכמה שתבטל צירוף חלש.</w:t>
      </w:r>
    </w:p>
    <w:p w:rsidR="00DC59FD" w:rsidRPr="00DC59FD" w:rsidRDefault="00DC59FD" w:rsidP="00521750">
      <w:pPr>
        <w:pStyle w:val="a3"/>
        <w:jc w:val="center"/>
        <w:rPr>
          <w:rtl/>
        </w:rPr>
      </w:pPr>
      <w:r w:rsidRPr="00DC59FD">
        <w:rPr>
          <w:rFonts w:hint="cs"/>
          <w:rtl/>
        </w:rPr>
        <w:t>*</w:t>
      </w:r>
    </w:p>
    <w:p w:rsidR="00DC59FD" w:rsidRPr="00DC59FD" w:rsidRDefault="00DC59FD" w:rsidP="00DC59FD">
      <w:pPr>
        <w:pStyle w:val="a3"/>
        <w:rPr>
          <w:rtl/>
        </w:rPr>
      </w:pPr>
      <w:r w:rsidRPr="00DC59FD">
        <w:rPr>
          <w:rFonts w:hint="cs"/>
          <w:rtl/>
        </w:rPr>
        <w:t>עוד סברא העלה חכם אחר לחלק בין זימון למנין –</w:t>
      </w:r>
    </w:p>
    <w:p w:rsidR="00DC59FD" w:rsidRPr="00DC59FD" w:rsidRDefault="00DC59FD" w:rsidP="00DC59FD">
      <w:pPr>
        <w:pStyle w:val="a3"/>
        <w:rPr>
          <w:rtl/>
        </w:rPr>
      </w:pPr>
      <w:r w:rsidRPr="00DC59FD">
        <w:rPr>
          <w:rFonts w:hint="cs"/>
          <w:rtl/>
        </w:rPr>
        <w:t>זימון עניינו קביעות לאכילה, וכיון שדרך הרבים סותרת לעניין האכילה, וכמבואר בהלכות עדות</w:t>
      </w:r>
      <w:r w:rsidRPr="00DC59FD">
        <w:rPr>
          <w:rStyle w:val="FootnoteReference"/>
          <w:rtl/>
        </w:rPr>
        <w:footnoteReference w:id="204"/>
      </w:r>
      <w:r w:rsidRPr="00DC59FD">
        <w:rPr>
          <w:rFonts w:hint="cs"/>
          <w:rtl/>
        </w:rPr>
        <w:t xml:space="preserve"> ש"</w:t>
      </w:r>
      <w:r w:rsidRPr="00DC59FD">
        <w:rPr>
          <w:rtl/>
        </w:rPr>
        <w:t>הבזויים פסולים לעדות מדבריהם והם האנשים שהולכים ואוכלים בשוק בפני כל העם"</w:t>
      </w:r>
      <w:r w:rsidRPr="00DC59FD">
        <w:rPr>
          <w:rFonts w:hint="cs"/>
          <w:rtl/>
        </w:rPr>
        <w:t>, משום כך מפסקת "דרך הרבים" בין האוכלים ואינם מצטרפים לזימון; מה שאין כן לתפילה אין דרך הרבים סותרת, ועל כן אינה מפסקת בין המתפללים.</w:t>
      </w:r>
    </w:p>
    <w:p w:rsidR="00DC59FD" w:rsidRPr="00DC59FD" w:rsidRDefault="00DC59FD" w:rsidP="00DC59FD">
      <w:pPr>
        <w:pStyle w:val="a3"/>
        <w:rPr>
          <w:rtl/>
        </w:rPr>
      </w:pPr>
      <w:r w:rsidRPr="00DC59FD">
        <w:rPr>
          <w:rFonts w:hint="cs"/>
          <w:rtl/>
        </w:rPr>
        <w:t>אכן, חילוק זה אינו נכון, כי גם לענין תפילה יש משום סתירה ב"דרך הרבים", וכנפסק בשולחן ערוך אדמו"ר הזקן</w:t>
      </w:r>
      <w:r w:rsidRPr="00DC59FD">
        <w:rPr>
          <w:rStyle w:val="FootnoteReference"/>
          <w:rtl/>
        </w:rPr>
        <w:footnoteReference w:id="205"/>
      </w:r>
      <w:r w:rsidRPr="00DC59FD">
        <w:rPr>
          <w:rFonts w:hint="cs"/>
          <w:rtl/>
        </w:rPr>
        <w:t xml:space="preserve"> "לא</w:t>
      </w:r>
      <w:r w:rsidRPr="00DC59FD">
        <w:rPr>
          <w:rtl/>
        </w:rPr>
        <w:t xml:space="preserve"> </w:t>
      </w:r>
      <w:r w:rsidRPr="00DC59FD">
        <w:rPr>
          <w:rFonts w:hint="cs"/>
          <w:rtl/>
        </w:rPr>
        <w:t>יתפלל</w:t>
      </w:r>
      <w:r w:rsidRPr="00DC59FD">
        <w:rPr>
          <w:rtl/>
        </w:rPr>
        <w:t xml:space="preserve"> </w:t>
      </w:r>
      <w:r w:rsidRPr="00DC59FD">
        <w:rPr>
          <w:rFonts w:hint="cs"/>
          <w:rtl/>
        </w:rPr>
        <w:t>אלא</w:t>
      </w:r>
      <w:r w:rsidRPr="00DC59FD">
        <w:rPr>
          <w:rtl/>
        </w:rPr>
        <w:t xml:space="preserve"> </w:t>
      </w:r>
      <w:r w:rsidRPr="00DC59FD">
        <w:rPr>
          <w:rFonts w:hint="cs"/>
          <w:rtl/>
        </w:rPr>
        <w:t>בבית</w:t>
      </w:r>
      <w:r w:rsidRPr="00DC59FD">
        <w:rPr>
          <w:rtl/>
        </w:rPr>
        <w:t xml:space="preserve"> </w:t>
      </w:r>
      <w:r w:rsidRPr="00DC59FD">
        <w:rPr>
          <w:rFonts w:hint="cs"/>
          <w:rtl/>
        </w:rPr>
        <w:t>ולא</w:t>
      </w:r>
      <w:r w:rsidRPr="00DC59FD">
        <w:rPr>
          <w:rtl/>
        </w:rPr>
        <w:t xml:space="preserve"> </w:t>
      </w:r>
      <w:r w:rsidRPr="00DC59FD">
        <w:rPr>
          <w:rFonts w:hint="cs"/>
          <w:rtl/>
        </w:rPr>
        <w:t>במקום</w:t>
      </w:r>
      <w:r w:rsidRPr="00DC59FD">
        <w:rPr>
          <w:rtl/>
        </w:rPr>
        <w:t xml:space="preserve"> </w:t>
      </w:r>
      <w:r w:rsidRPr="00DC59FD">
        <w:rPr>
          <w:rFonts w:hint="cs"/>
          <w:rtl/>
        </w:rPr>
        <w:t>פרוץ" והטעם "מפני</w:t>
      </w:r>
      <w:r w:rsidRPr="00DC59FD">
        <w:rPr>
          <w:rtl/>
        </w:rPr>
        <w:t xml:space="preserve"> </w:t>
      </w:r>
      <w:r w:rsidRPr="00DC59FD">
        <w:rPr>
          <w:rFonts w:hint="cs"/>
          <w:rtl/>
        </w:rPr>
        <w:t>שכשהוא</w:t>
      </w:r>
      <w:r w:rsidRPr="00DC59FD">
        <w:rPr>
          <w:rtl/>
        </w:rPr>
        <w:t xml:space="preserve"> </w:t>
      </w:r>
      <w:r w:rsidRPr="00DC59FD">
        <w:rPr>
          <w:rFonts w:hint="cs"/>
          <w:rtl/>
        </w:rPr>
        <w:t>במקום</w:t>
      </w:r>
      <w:r w:rsidRPr="00DC59FD">
        <w:rPr>
          <w:rtl/>
        </w:rPr>
        <w:t xml:space="preserve"> </w:t>
      </w:r>
      <w:r w:rsidRPr="00DC59FD">
        <w:rPr>
          <w:rFonts w:hint="cs"/>
          <w:rtl/>
        </w:rPr>
        <w:t>צניעות</w:t>
      </w:r>
      <w:r w:rsidRPr="00DC59FD">
        <w:rPr>
          <w:rtl/>
        </w:rPr>
        <w:t xml:space="preserve"> </w:t>
      </w:r>
      <w:r w:rsidRPr="00DC59FD">
        <w:rPr>
          <w:rFonts w:hint="cs"/>
          <w:rtl/>
        </w:rPr>
        <w:t>חלה</w:t>
      </w:r>
      <w:r w:rsidRPr="00DC59FD">
        <w:rPr>
          <w:rtl/>
        </w:rPr>
        <w:t xml:space="preserve"> </w:t>
      </w:r>
      <w:r w:rsidRPr="00DC59FD">
        <w:rPr>
          <w:rFonts w:hint="cs"/>
          <w:rtl/>
        </w:rPr>
        <w:t>עליו</w:t>
      </w:r>
      <w:r w:rsidRPr="00DC59FD">
        <w:rPr>
          <w:rtl/>
        </w:rPr>
        <w:t xml:space="preserve"> </w:t>
      </w:r>
      <w:r w:rsidRPr="00DC59FD">
        <w:rPr>
          <w:rFonts w:hint="cs"/>
          <w:rtl/>
        </w:rPr>
        <w:t>אימת</w:t>
      </w:r>
      <w:r w:rsidRPr="00DC59FD">
        <w:rPr>
          <w:rtl/>
        </w:rPr>
        <w:t xml:space="preserve"> </w:t>
      </w:r>
      <w:r w:rsidRPr="00DC59FD">
        <w:rPr>
          <w:rFonts w:hint="cs"/>
          <w:rtl/>
        </w:rPr>
        <w:t>מלך</w:t>
      </w:r>
      <w:r w:rsidRPr="00DC59FD">
        <w:rPr>
          <w:rtl/>
        </w:rPr>
        <w:t xml:space="preserve"> </w:t>
      </w:r>
      <w:r w:rsidRPr="00DC59FD">
        <w:rPr>
          <w:rFonts w:hint="cs"/>
          <w:rtl/>
        </w:rPr>
        <w:t>ולבו</w:t>
      </w:r>
      <w:r w:rsidRPr="00DC59FD">
        <w:rPr>
          <w:rtl/>
        </w:rPr>
        <w:t xml:space="preserve"> </w:t>
      </w:r>
      <w:r w:rsidRPr="00DC59FD">
        <w:rPr>
          <w:rFonts w:hint="cs"/>
          <w:rtl/>
        </w:rPr>
        <w:t>נשבר". לפי זה, אם אכן טעם הפסק דרך הרבים לענין זימון הוא משום שדרך הרבים סותרת לענין האכילה, כך יש לה להפסיק לענין צירוף למנין משום שאף לתפילה היא סותרת.</w:t>
      </w:r>
    </w:p>
    <w:p w:rsidR="00DC59FD" w:rsidRPr="00DC59FD" w:rsidRDefault="00DC59FD" w:rsidP="00DC59FD">
      <w:pPr>
        <w:pStyle w:val="11"/>
        <w:bidi/>
        <w:rPr>
          <w:rtl/>
        </w:rPr>
      </w:pPr>
      <w:r w:rsidRPr="00DC59FD">
        <w:rPr>
          <w:rFonts w:hint="cs"/>
          <w:rtl/>
        </w:rPr>
        <w:t>ג. הפסק דרך הרבים לענין דיעבד</w:t>
      </w:r>
    </w:p>
    <w:p w:rsidR="00DC59FD" w:rsidRPr="00DC59FD" w:rsidRDefault="00DC59FD" w:rsidP="00DC59FD">
      <w:pPr>
        <w:pStyle w:val="a3"/>
        <w:rPr>
          <w:rtl/>
        </w:rPr>
      </w:pPr>
      <w:r w:rsidRPr="00DC59FD">
        <w:rPr>
          <w:rFonts w:hint="cs"/>
          <w:rtl/>
        </w:rPr>
        <w:t>כאמור, אדמו"ר הזקן פוסק שצירוף אנשים משני בתים לזימון על ידי ראייה הוא בתנאי "שאין</w:t>
      </w:r>
      <w:r w:rsidRPr="00DC59FD">
        <w:rPr>
          <w:rtl/>
        </w:rPr>
        <w:t xml:space="preserve"> </w:t>
      </w:r>
      <w:r w:rsidRPr="00DC59FD">
        <w:rPr>
          <w:rFonts w:hint="cs"/>
          <w:rtl/>
        </w:rPr>
        <w:t>דרך</w:t>
      </w:r>
      <w:r w:rsidRPr="00DC59FD">
        <w:rPr>
          <w:rtl/>
        </w:rPr>
        <w:t xml:space="preserve"> </w:t>
      </w:r>
      <w:r w:rsidRPr="00DC59FD">
        <w:rPr>
          <w:rFonts w:hint="cs"/>
          <w:rtl/>
        </w:rPr>
        <w:t>הרבים</w:t>
      </w:r>
      <w:r w:rsidRPr="00DC59FD">
        <w:rPr>
          <w:rtl/>
        </w:rPr>
        <w:t xml:space="preserve"> </w:t>
      </w:r>
      <w:r w:rsidRPr="00DC59FD">
        <w:rPr>
          <w:rFonts w:hint="cs"/>
          <w:rtl/>
        </w:rPr>
        <w:t>מפסקת</w:t>
      </w:r>
      <w:r w:rsidRPr="00DC59FD">
        <w:rPr>
          <w:rtl/>
        </w:rPr>
        <w:t xml:space="preserve"> </w:t>
      </w:r>
      <w:r w:rsidRPr="00DC59FD">
        <w:rPr>
          <w:rFonts w:hint="cs"/>
          <w:rtl/>
        </w:rPr>
        <w:t>ביניהם". אך עדיין יש לדון האם דבריו אמורים רק לענין לכתחילה או גם לענין דיעבד.</w:t>
      </w:r>
    </w:p>
    <w:p w:rsidR="00DC59FD" w:rsidRPr="00DC59FD" w:rsidRDefault="00DC59FD" w:rsidP="00DC59FD">
      <w:pPr>
        <w:pStyle w:val="a3"/>
        <w:rPr>
          <w:rtl/>
        </w:rPr>
      </w:pPr>
      <w:r w:rsidRPr="00DC59FD">
        <w:rPr>
          <w:rFonts w:hint="cs"/>
          <w:rtl/>
        </w:rPr>
        <w:t>דהנה בדברי הראשונים שהם מקור דין זה מצאנו שלא כתבוהו בלשון נחרצת. רבינו יונה</w:t>
      </w:r>
      <w:r w:rsidRPr="00DC59FD">
        <w:rPr>
          <w:rStyle w:val="FootnoteReference"/>
          <w:rtl/>
        </w:rPr>
        <w:footnoteReference w:id="206"/>
      </w:r>
      <w:r w:rsidRPr="00DC59FD">
        <w:rPr>
          <w:rFonts w:hint="cs"/>
          <w:rtl/>
        </w:rPr>
        <w:t xml:space="preserve"> כתב: "</w:t>
      </w:r>
      <w:r w:rsidRPr="00DC59FD">
        <w:rPr>
          <w:rtl/>
        </w:rPr>
        <w:t>ואם רשות הרבים מפסקת ביניהם נראה שאינם מצטרפות בשום ענין"</w:t>
      </w:r>
      <w:r w:rsidRPr="00DC59FD">
        <w:rPr>
          <w:rFonts w:hint="cs"/>
          <w:rtl/>
        </w:rPr>
        <w:t>. כעין זה כתב גם רבי אהרן מלוניל ב</w:t>
      </w:r>
      <w:r w:rsidRPr="00DC59FD">
        <w:rPr>
          <w:rtl/>
        </w:rPr>
        <w:t>ארחות חיים</w:t>
      </w:r>
      <w:r w:rsidRPr="00DC59FD">
        <w:rPr>
          <w:rStyle w:val="FootnoteReference"/>
          <w:rtl/>
        </w:rPr>
        <w:footnoteReference w:id="207"/>
      </w:r>
      <w:r w:rsidRPr="00DC59FD">
        <w:rPr>
          <w:rtl/>
        </w:rPr>
        <w:t>: "ואם רשות הרבים מפסקת ביניהם, נראה לכאורה שאין מצטרפים בשום ענין"</w:t>
      </w:r>
      <w:r w:rsidRPr="00DC59FD">
        <w:rPr>
          <w:rFonts w:hint="cs"/>
          <w:rtl/>
        </w:rPr>
        <w:t>.</w:t>
      </w:r>
    </w:p>
    <w:p w:rsidR="00DC59FD" w:rsidRPr="00DC59FD" w:rsidRDefault="00DC59FD" w:rsidP="00DC59FD">
      <w:pPr>
        <w:pStyle w:val="a3"/>
        <w:rPr>
          <w:rtl/>
        </w:rPr>
      </w:pPr>
      <w:r w:rsidRPr="00DC59FD">
        <w:rPr>
          <w:rFonts w:hint="cs"/>
          <w:rtl/>
        </w:rPr>
        <w:t>גם השולחן ערוך</w:t>
      </w:r>
      <w:r w:rsidRPr="00DC59FD">
        <w:rPr>
          <w:rStyle w:val="FootnoteReference"/>
          <w:rtl/>
        </w:rPr>
        <w:footnoteReference w:id="208"/>
      </w:r>
      <w:r w:rsidRPr="00DC59FD">
        <w:rPr>
          <w:rFonts w:hint="cs"/>
          <w:vertAlign w:val="superscript"/>
          <w:rtl/>
        </w:rPr>
        <w:t xml:space="preserve"> </w:t>
      </w:r>
      <w:r w:rsidRPr="00DC59FD">
        <w:rPr>
          <w:rFonts w:hint="cs"/>
          <w:rtl/>
        </w:rPr>
        <w:t>הביא הלכה זו בלשון שיש בה מעט מן ההסתייגות: "ויש</w:t>
      </w:r>
      <w:r w:rsidRPr="00DC59FD">
        <w:rPr>
          <w:rtl/>
        </w:rPr>
        <w:t xml:space="preserve"> </w:t>
      </w:r>
      <w:r w:rsidRPr="00DC59FD">
        <w:rPr>
          <w:rFonts w:hint="cs"/>
          <w:rtl/>
        </w:rPr>
        <w:t>מי</w:t>
      </w:r>
      <w:r w:rsidRPr="00DC59FD">
        <w:rPr>
          <w:rtl/>
        </w:rPr>
        <w:t xml:space="preserve"> </w:t>
      </w:r>
      <w:r w:rsidRPr="00DC59FD">
        <w:rPr>
          <w:rFonts w:hint="cs"/>
          <w:rtl/>
        </w:rPr>
        <w:t>שאומר</w:t>
      </w:r>
      <w:r w:rsidRPr="00DC59FD">
        <w:rPr>
          <w:rtl/>
        </w:rPr>
        <w:t xml:space="preserve"> </w:t>
      </w:r>
      <w:r w:rsidRPr="00DC59FD">
        <w:rPr>
          <w:rFonts w:hint="cs"/>
          <w:rtl/>
        </w:rPr>
        <w:t>שאם</w:t>
      </w:r>
      <w:r w:rsidRPr="00DC59FD">
        <w:rPr>
          <w:rtl/>
        </w:rPr>
        <w:t xml:space="preserve"> </w:t>
      </w:r>
      <w:r w:rsidRPr="00DC59FD">
        <w:rPr>
          <w:rFonts w:hint="cs"/>
          <w:rtl/>
        </w:rPr>
        <w:t>רשות</w:t>
      </w:r>
      <w:r w:rsidRPr="00DC59FD">
        <w:rPr>
          <w:rtl/>
        </w:rPr>
        <w:t xml:space="preserve"> </w:t>
      </w:r>
      <w:r w:rsidRPr="00DC59FD">
        <w:rPr>
          <w:rFonts w:hint="cs"/>
          <w:rtl/>
        </w:rPr>
        <w:t>הרבים</w:t>
      </w:r>
      <w:r w:rsidRPr="00DC59FD">
        <w:rPr>
          <w:rtl/>
        </w:rPr>
        <w:t xml:space="preserve"> </w:t>
      </w:r>
      <w:r w:rsidRPr="00DC59FD">
        <w:rPr>
          <w:rFonts w:hint="cs"/>
          <w:rtl/>
        </w:rPr>
        <w:t>מפסקת</w:t>
      </w:r>
      <w:r w:rsidRPr="00DC59FD">
        <w:rPr>
          <w:rtl/>
        </w:rPr>
        <w:t xml:space="preserve"> </w:t>
      </w:r>
      <w:r w:rsidRPr="00DC59FD">
        <w:rPr>
          <w:rFonts w:hint="cs"/>
          <w:rtl/>
        </w:rPr>
        <w:t>בין</w:t>
      </w:r>
      <w:r w:rsidRPr="00DC59FD">
        <w:rPr>
          <w:rtl/>
        </w:rPr>
        <w:t xml:space="preserve"> </w:t>
      </w:r>
      <w:r w:rsidRPr="00DC59FD">
        <w:rPr>
          <w:rFonts w:hint="cs"/>
          <w:rtl/>
        </w:rPr>
        <w:t>שני</w:t>
      </w:r>
      <w:r w:rsidRPr="00DC59FD">
        <w:rPr>
          <w:rtl/>
        </w:rPr>
        <w:t xml:space="preserve"> </w:t>
      </w:r>
      <w:r w:rsidRPr="00DC59FD">
        <w:rPr>
          <w:rFonts w:hint="cs"/>
          <w:rtl/>
        </w:rPr>
        <w:t>הבתים</w:t>
      </w:r>
      <w:r w:rsidRPr="00DC59FD">
        <w:rPr>
          <w:rtl/>
        </w:rPr>
        <w:t xml:space="preserve"> </w:t>
      </w:r>
      <w:r w:rsidRPr="00DC59FD">
        <w:rPr>
          <w:rFonts w:hint="cs"/>
          <w:rtl/>
        </w:rPr>
        <w:t>אינם</w:t>
      </w:r>
      <w:r w:rsidRPr="00DC59FD">
        <w:rPr>
          <w:rtl/>
        </w:rPr>
        <w:t xml:space="preserve"> </w:t>
      </w:r>
      <w:r w:rsidRPr="00DC59FD">
        <w:rPr>
          <w:rFonts w:hint="cs"/>
          <w:rtl/>
        </w:rPr>
        <w:t>מצטרפין</w:t>
      </w:r>
      <w:r w:rsidRPr="00DC59FD">
        <w:rPr>
          <w:rtl/>
        </w:rPr>
        <w:t xml:space="preserve"> </w:t>
      </w:r>
      <w:r w:rsidRPr="00DC59FD">
        <w:rPr>
          <w:rFonts w:hint="cs"/>
          <w:rtl/>
        </w:rPr>
        <w:t>בשום</w:t>
      </w:r>
      <w:r w:rsidRPr="00DC59FD">
        <w:rPr>
          <w:rtl/>
        </w:rPr>
        <w:t xml:space="preserve"> </w:t>
      </w:r>
      <w:r w:rsidRPr="00DC59FD">
        <w:rPr>
          <w:rFonts w:hint="cs"/>
          <w:rtl/>
        </w:rPr>
        <w:t>ענין". ועל פי האמור יש לומר שהסיבה לכך כי גם הראשונים שהם מקור דין זה כתבוהו בלשון שאינה פסוקה.</w:t>
      </w:r>
    </w:p>
    <w:p w:rsidR="00DC59FD" w:rsidRPr="00DC59FD" w:rsidRDefault="00DC59FD" w:rsidP="00DC59FD">
      <w:pPr>
        <w:pStyle w:val="a3"/>
        <w:rPr>
          <w:rtl/>
        </w:rPr>
      </w:pPr>
      <w:r w:rsidRPr="00DC59FD">
        <w:rPr>
          <w:rFonts w:hint="cs"/>
          <w:rtl/>
        </w:rPr>
        <w:lastRenderedPageBreak/>
        <w:t>ואכן היעב"ץ בסידורו בית יעקב</w:t>
      </w:r>
      <w:r w:rsidRPr="00DC59FD">
        <w:rPr>
          <w:rStyle w:val="FootnoteReference"/>
          <w:rtl/>
        </w:rPr>
        <w:footnoteReference w:id="209"/>
      </w:r>
      <w:r w:rsidRPr="00DC59FD">
        <w:rPr>
          <w:rtl/>
        </w:rPr>
        <w:t xml:space="preserve"> </w:t>
      </w:r>
      <w:r w:rsidRPr="00DC59FD">
        <w:rPr>
          <w:rFonts w:hint="cs"/>
          <w:rtl/>
        </w:rPr>
        <w:t>כותב מפורש שדין זה מסופק הוא:</w:t>
      </w:r>
      <w:r w:rsidRPr="00DC59FD">
        <w:rPr>
          <w:rtl/>
        </w:rPr>
        <w:t xml:space="preserve"> "ואם ר</w:t>
      </w:r>
      <w:r w:rsidRPr="00DC59FD">
        <w:rPr>
          <w:rFonts w:hint="cs"/>
          <w:rtl/>
        </w:rPr>
        <w:t>שות הרבים</w:t>
      </w:r>
      <w:r w:rsidRPr="00DC59FD">
        <w:rPr>
          <w:rtl/>
        </w:rPr>
        <w:t xml:space="preserve"> מפסקת בין ב' הבתים או ב' הכתות אפילו רואים זה את זה הדבר ספק</w:t>
      </w:r>
      <w:r w:rsidRPr="00DC59FD">
        <w:rPr>
          <w:rFonts w:hint="cs"/>
          <w:rtl/>
        </w:rPr>
        <w:t>"</w:t>
      </w:r>
      <w:r w:rsidRPr="00DC59FD">
        <w:rPr>
          <w:rtl/>
        </w:rPr>
        <w:t>.</w:t>
      </w:r>
    </w:p>
    <w:p w:rsidR="00DC59FD" w:rsidRPr="00DC59FD" w:rsidRDefault="00DC59FD" w:rsidP="00DC59FD">
      <w:pPr>
        <w:pStyle w:val="a3"/>
        <w:rPr>
          <w:rtl/>
        </w:rPr>
      </w:pPr>
      <w:r w:rsidRPr="00DC59FD">
        <w:rPr>
          <w:rFonts w:hint="cs"/>
          <w:rtl/>
        </w:rPr>
        <w:t>ועל כן מסיק היעב"ץ לענין מעשה: "</w:t>
      </w:r>
      <w:r w:rsidRPr="00DC59FD">
        <w:rPr>
          <w:rtl/>
        </w:rPr>
        <w:t>ונראה לי שלכתחילה יזמנו אלו לעצמם ואלו לעצמם</w:t>
      </w:r>
      <w:r w:rsidRPr="00DC59FD">
        <w:rPr>
          <w:rFonts w:hint="cs"/>
          <w:rtl/>
        </w:rPr>
        <w:t>,</w:t>
      </w:r>
      <w:r w:rsidRPr="00DC59FD">
        <w:rPr>
          <w:rtl/>
        </w:rPr>
        <w:t xml:space="preserve"> ואם זימנו יחד יצאו בדיעבד"</w:t>
      </w:r>
      <w:r w:rsidRPr="00DC59FD">
        <w:rPr>
          <w:rFonts w:hint="cs"/>
          <w:rtl/>
        </w:rPr>
        <w:t>.</w:t>
      </w:r>
    </w:p>
    <w:p w:rsidR="00DC59FD" w:rsidRPr="00DC59FD" w:rsidRDefault="00DC59FD" w:rsidP="00DC59FD">
      <w:pPr>
        <w:pStyle w:val="a3"/>
        <w:rPr>
          <w:rtl/>
        </w:rPr>
      </w:pPr>
      <w:r w:rsidRPr="00DC59FD">
        <w:rPr>
          <w:rFonts w:hint="cs"/>
          <w:rtl/>
        </w:rPr>
        <w:t>והנה לשון אדמו"ר הזקן בהלכה זו היא: "ב</w:t>
      </w:r>
      <w:r w:rsidRPr="00DC59FD">
        <w:rPr>
          <w:rtl/>
        </w:rPr>
        <w:t xml:space="preserve">' </w:t>
      </w:r>
      <w:r w:rsidRPr="00DC59FD">
        <w:rPr>
          <w:rFonts w:hint="cs"/>
          <w:rtl/>
        </w:rPr>
        <w:t>חבורות</w:t>
      </w:r>
      <w:r w:rsidRPr="00DC59FD">
        <w:rPr>
          <w:rtl/>
        </w:rPr>
        <w:t xml:space="preserve"> </w:t>
      </w:r>
      <w:r w:rsidRPr="00DC59FD">
        <w:rPr>
          <w:rFonts w:hint="cs"/>
          <w:rtl/>
        </w:rPr>
        <w:t>שאוכלות</w:t>
      </w:r>
      <w:r w:rsidRPr="00DC59FD">
        <w:rPr>
          <w:rtl/>
        </w:rPr>
        <w:t xml:space="preserve"> </w:t>
      </w:r>
      <w:r w:rsidRPr="00DC59FD">
        <w:rPr>
          <w:rFonts w:hint="cs"/>
          <w:rtl/>
        </w:rPr>
        <w:t>בבית</w:t>
      </w:r>
      <w:r w:rsidRPr="00DC59FD">
        <w:rPr>
          <w:rtl/>
        </w:rPr>
        <w:t xml:space="preserve"> </w:t>
      </w:r>
      <w:r w:rsidRPr="00DC59FD">
        <w:rPr>
          <w:rFonts w:hint="cs"/>
          <w:rtl/>
        </w:rPr>
        <w:t>אחד,</w:t>
      </w:r>
      <w:r w:rsidRPr="00DC59FD">
        <w:rPr>
          <w:rtl/>
        </w:rPr>
        <w:t xml:space="preserve"> </w:t>
      </w:r>
      <w:r w:rsidRPr="00DC59FD">
        <w:rPr>
          <w:rFonts w:hint="cs"/>
          <w:rtl/>
        </w:rPr>
        <w:t>או</w:t>
      </w:r>
      <w:r w:rsidRPr="00DC59FD">
        <w:rPr>
          <w:rtl/>
        </w:rPr>
        <w:t xml:space="preserve"> </w:t>
      </w:r>
      <w:r w:rsidRPr="00DC59FD">
        <w:rPr>
          <w:rFonts w:hint="cs"/>
          <w:rtl/>
        </w:rPr>
        <w:t>בב</w:t>
      </w:r>
      <w:r w:rsidRPr="00DC59FD">
        <w:rPr>
          <w:rtl/>
        </w:rPr>
        <w:t xml:space="preserve">' </w:t>
      </w:r>
      <w:r w:rsidRPr="00DC59FD">
        <w:rPr>
          <w:rFonts w:hint="cs"/>
          <w:rtl/>
        </w:rPr>
        <w:t>בתים</w:t>
      </w:r>
      <w:r w:rsidRPr="00DC59FD">
        <w:rPr>
          <w:rtl/>
        </w:rPr>
        <w:t xml:space="preserve"> </w:t>
      </w:r>
      <w:r w:rsidRPr="00DC59FD">
        <w:rPr>
          <w:rFonts w:hint="cs"/>
          <w:rtl/>
        </w:rPr>
        <w:t>שאין</w:t>
      </w:r>
      <w:r w:rsidRPr="00DC59FD">
        <w:rPr>
          <w:rtl/>
        </w:rPr>
        <w:t xml:space="preserve"> </w:t>
      </w:r>
      <w:r w:rsidRPr="00DC59FD">
        <w:rPr>
          <w:rFonts w:hint="cs"/>
          <w:rtl/>
        </w:rPr>
        <w:t>דרך</w:t>
      </w:r>
      <w:r w:rsidRPr="00DC59FD">
        <w:rPr>
          <w:rtl/>
        </w:rPr>
        <w:t xml:space="preserve"> </w:t>
      </w:r>
      <w:r w:rsidRPr="00DC59FD">
        <w:rPr>
          <w:rFonts w:hint="cs"/>
          <w:rtl/>
        </w:rPr>
        <w:t>הרבים</w:t>
      </w:r>
      <w:r w:rsidRPr="00DC59FD">
        <w:rPr>
          <w:rtl/>
        </w:rPr>
        <w:t xml:space="preserve"> </w:t>
      </w:r>
      <w:r w:rsidRPr="00DC59FD">
        <w:rPr>
          <w:rFonts w:hint="cs"/>
          <w:rtl/>
        </w:rPr>
        <w:t>מפסקת</w:t>
      </w:r>
      <w:r w:rsidRPr="00DC59FD">
        <w:rPr>
          <w:rtl/>
        </w:rPr>
        <w:t xml:space="preserve"> </w:t>
      </w:r>
      <w:r w:rsidRPr="00DC59FD">
        <w:rPr>
          <w:rFonts w:hint="cs"/>
          <w:rtl/>
        </w:rPr>
        <w:t>ביניהם,</w:t>
      </w:r>
      <w:r w:rsidRPr="00DC59FD">
        <w:rPr>
          <w:rtl/>
        </w:rPr>
        <w:t xml:space="preserve"> </w:t>
      </w:r>
      <w:r w:rsidRPr="00DC59FD">
        <w:rPr>
          <w:rFonts w:hint="cs"/>
          <w:rtl/>
        </w:rPr>
        <w:t>אם</w:t>
      </w:r>
      <w:r w:rsidRPr="00DC59FD">
        <w:rPr>
          <w:rtl/>
        </w:rPr>
        <w:t xml:space="preserve"> </w:t>
      </w:r>
      <w:r w:rsidRPr="00DC59FD">
        <w:rPr>
          <w:rFonts w:hint="cs"/>
          <w:rtl/>
        </w:rPr>
        <w:t>מקצתן</w:t>
      </w:r>
      <w:r w:rsidRPr="00DC59FD">
        <w:rPr>
          <w:rtl/>
        </w:rPr>
        <w:t xml:space="preserve"> </w:t>
      </w:r>
      <w:r w:rsidRPr="00DC59FD">
        <w:rPr>
          <w:rFonts w:hint="cs"/>
          <w:rtl/>
        </w:rPr>
        <w:t>רואים</w:t>
      </w:r>
      <w:r w:rsidRPr="00DC59FD">
        <w:rPr>
          <w:rtl/>
        </w:rPr>
        <w:t xml:space="preserve"> </w:t>
      </w:r>
      <w:r w:rsidRPr="00DC59FD">
        <w:rPr>
          <w:rFonts w:hint="cs"/>
          <w:rtl/>
        </w:rPr>
        <w:t>אלו</w:t>
      </w:r>
      <w:r w:rsidRPr="00DC59FD">
        <w:rPr>
          <w:rtl/>
        </w:rPr>
        <w:t xml:space="preserve"> </w:t>
      </w:r>
      <w:r w:rsidRPr="00DC59FD">
        <w:rPr>
          <w:rFonts w:hint="cs"/>
          <w:rtl/>
        </w:rPr>
        <w:t>את</w:t>
      </w:r>
      <w:r w:rsidRPr="00DC59FD">
        <w:rPr>
          <w:rtl/>
        </w:rPr>
        <w:t xml:space="preserve"> </w:t>
      </w:r>
      <w:r w:rsidRPr="00DC59FD">
        <w:rPr>
          <w:rFonts w:hint="cs"/>
          <w:rtl/>
        </w:rPr>
        <w:t>אלו</w:t>
      </w:r>
      <w:r w:rsidRPr="00DC59FD">
        <w:rPr>
          <w:rtl/>
        </w:rPr>
        <w:t xml:space="preserve"> </w:t>
      </w:r>
      <w:r w:rsidRPr="00DC59FD">
        <w:rPr>
          <w:rFonts w:hint="cs"/>
          <w:rtl/>
        </w:rPr>
        <w:t>מצטרפות</w:t>
      </w:r>
      <w:r w:rsidRPr="00DC59FD">
        <w:rPr>
          <w:rtl/>
        </w:rPr>
        <w:t xml:space="preserve"> </w:t>
      </w:r>
      <w:r w:rsidRPr="00DC59FD">
        <w:rPr>
          <w:rFonts w:hint="cs"/>
          <w:rtl/>
        </w:rPr>
        <w:t xml:space="preserve">לזימון". כלומר, בשונה מלשון הראשונים ומלשון שולחן ערוך המחבר הנ"ל שהתייחסו במפורש למצב בו יש דרך הרבים מפסקת בין שני הבתים וכתבו ברור שמשום כך אין מצטרפים לזימון (אלא שזה גופא כתבו בלשון שאינה פסוקה כנ"ל), אדה"ז אינו מתייחס בדבריו למצב בו יש דרך הרבים מפסקת אלא כותב רק כיצד היא ההנהגה לכתחילה לענין צירוף לזימון </w:t>
      </w:r>
      <w:r w:rsidRPr="00DC59FD">
        <w:rPr>
          <w:rFonts w:hint="eastAsia"/>
          <w:rtl/>
        </w:rPr>
        <w:t>–</w:t>
      </w:r>
      <w:r w:rsidRPr="00DC59FD">
        <w:rPr>
          <w:rFonts w:hint="cs"/>
          <w:rtl/>
        </w:rPr>
        <w:t xml:space="preserve"> שבכדי להצטרף משני בתים צריך שלא תהיה דרך הרבים מפסקת ביניהם. מניסוח זה אין עדיין הוכחה ברורה כיצד הדין לדעתו לענין דיעבד. כלומר, יתכן שאדה"ז מסכים עם דברי היעב"ץ שכיון שהראשונים עצמם כתבו תנאי זה בלשון "ונראה", "ונראה לכאורה", ואף בשולחן ערוך הובא דין זה בלשון "ויש מי שאומר", על כן אף שלכתחילה אין לצרף לזימון משני בתים שדרך הרבים מפסקת ביניהם, מכל מקום בדיעבד אם עשו כן יצאו ידי חובה.</w:t>
      </w:r>
    </w:p>
    <w:p w:rsidR="00DC59FD" w:rsidRPr="00DC59FD" w:rsidRDefault="00DC59FD" w:rsidP="00DC59FD">
      <w:pPr>
        <w:pStyle w:val="a3"/>
        <w:rPr>
          <w:rtl/>
        </w:rPr>
      </w:pPr>
      <w:r w:rsidRPr="00DC59FD">
        <w:rPr>
          <w:rFonts w:hint="cs"/>
          <w:rtl/>
        </w:rPr>
        <w:t>לפי זה, גם לדברי הפרי מגדים הנ"ל שדין צירוף למנין כדין צירוף לזימון לענין הפסק דרך הרבים, אין הדברים אמורים אלא לענין לכתחילה, אבל בדיעבד שהתפללו על ידי צירוף מב' בתים שדרך הרבים מפסקת ביניהם, נחשב להם שהתפללו במנין.</w:t>
      </w:r>
    </w:p>
    <w:p w:rsidR="00DC59FD" w:rsidRPr="00DC59FD" w:rsidRDefault="00DC59FD" w:rsidP="00DC59FD">
      <w:pPr>
        <w:pStyle w:val="a3"/>
        <w:rPr>
          <w:rtl/>
        </w:rPr>
      </w:pPr>
      <w:r w:rsidRPr="00DC59FD">
        <w:rPr>
          <w:rFonts w:hint="cs"/>
          <w:rtl/>
        </w:rPr>
        <w:t xml:space="preserve">והנה </w:t>
      </w:r>
      <w:r w:rsidRPr="00DC59FD">
        <w:rPr>
          <w:rtl/>
        </w:rPr>
        <w:t>בהלכה מצאנו כמה וכמה פעמי</w:t>
      </w:r>
      <w:r w:rsidRPr="00DC59FD">
        <w:rPr>
          <w:rFonts w:hint="cs"/>
          <w:rtl/>
        </w:rPr>
        <w:t>ם ש"שעת הדחק הרי זה כדיעבד"</w:t>
      </w:r>
      <w:r w:rsidRPr="00DC59FD">
        <w:rPr>
          <w:rStyle w:val="FootnoteReference"/>
          <w:rtl/>
        </w:rPr>
        <w:footnoteReference w:id="210"/>
      </w:r>
      <w:r w:rsidRPr="00DC59FD">
        <w:rPr>
          <w:rFonts w:hint="cs"/>
          <w:rtl/>
        </w:rPr>
        <w:t xml:space="preserve">. </w:t>
      </w:r>
      <w:r w:rsidRPr="00DC59FD">
        <w:rPr>
          <w:rtl/>
        </w:rPr>
        <w:t>ו</w:t>
      </w:r>
      <w:r w:rsidRPr="00DC59FD">
        <w:rPr>
          <w:rFonts w:hint="cs"/>
          <w:rtl/>
        </w:rPr>
        <w:t>יש שכתבו</w:t>
      </w:r>
      <w:r w:rsidRPr="00DC59FD">
        <w:rPr>
          <w:rStyle w:val="FootnoteReference"/>
          <w:rtl/>
        </w:rPr>
        <w:footnoteReference w:id="211"/>
      </w:r>
      <w:r w:rsidRPr="00DC59FD">
        <w:rPr>
          <w:rFonts w:hint="cs"/>
          <w:vertAlign w:val="superscript"/>
          <w:rtl/>
        </w:rPr>
        <w:t xml:space="preserve"> </w:t>
      </w:r>
      <w:r w:rsidRPr="00DC59FD">
        <w:rPr>
          <w:rFonts w:hint="cs"/>
          <w:rtl/>
        </w:rPr>
        <w:t>יתירה מזו, ש</w:t>
      </w:r>
      <w:r w:rsidRPr="00DC59FD">
        <w:rPr>
          <w:rtl/>
        </w:rPr>
        <w:t>"שעת הדחק עדיף מדיעבד"</w:t>
      </w:r>
      <w:r w:rsidRPr="00DC59FD">
        <w:rPr>
          <w:rFonts w:hint="cs"/>
          <w:rtl/>
        </w:rPr>
        <w:t xml:space="preserve">. על פי זה יש מקום לומר שבשעת הדחק, כגון בזמן התפשטות מחלה מדבקת שבגינה אוסרים השלטונות על אנשים להתאסף יחד, ואין אפשרות להתפלל במנין אלא בצירוף אנשים על ידי ראייה מבתים ומרפסות שדרך הרבים מפסקת ביניהם, אפשר לכתחילה לסמוך על דברי </w:t>
      </w:r>
      <w:r w:rsidRPr="00DC59FD">
        <w:rPr>
          <w:rFonts w:hint="cs"/>
          <w:rtl/>
        </w:rPr>
        <w:lastRenderedPageBreak/>
        <w:t>היעב"ץ ולצרפם למנין.</w:t>
      </w:r>
    </w:p>
    <w:p w:rsidR="00DC59FD" w:rsidRPr="00DC59FD" w:rsidRDefault="00DC59FD" w:rsidP="00DC59FD">
      <w:pPr>
        <w:pStyle w:val="a3"/>
        <w:rPr>
          <w:rtl/>
        </w:rPr>
      </w:pPr>
      <w:r w:rsidRPr="00DC59FD">
        <w:rPr>
          <w:rFonts w:hint="cs"/>
          <w:rtl/>
        </w:rPr>
        <w:t>ואף דכללא נקוט בידן 'ספק ברכות להקל', וכיצד נסמוך בשעת הדחק על הספק לעשות חזרת הש"ץ ושמא יהיו ברכות הש"ץ לבטלה?</w:t>
      </w:r>
    </w:p>
    <w:p w:rsidR="00DC59FD" w:rsidRPr="00DC59FD" w:rsidRDefault="00DC59FD" w:rsidP="00DC59FD">
      <w:pPr>
        <w:pStyle w:val="a3"/>
        <w:rPr>
          <w:rtl/>
        </w:rPr>
      </w:pPr>
      <w:r w:rsidRPr="00DC59FD">
        <w:rPr>
          <w:rFonts w:hint="cs"/>
          <w:rtl/>
        </w:rPr>
        <w:t>הנה כבר מצאנו להחיד"א במחזיק ברכה</w:t>
      </w:r>
      <w:r w:rsidRPr="00DC59FD">
        <w:rPr>
          <w:rStyle w:val="FootnoteReference"/>
          <w:rtl/>
        </w:rPr>
        <w:footnoteReference w:id="212"/>
      </w:r>
      <w:r w:rsidRPr="00DC59FD">
        <w:rPr>
          <w:rFonts w:hint="cs"/>
          <w:rtl/>
        </w:rPr>
        <w:t xml:space="preserve"> שדן במקרה דומה בו נחלקו הפוסקים האם מצטרפים העשרה למנין או לא, והסיק: "וכיון</w:t>
      </w:r>
      <w:r w:rsidRPr="00DC59FD">
        <w:rPr>
          <w:rtl/>
        </w:rPr>
        <w:t xml:space="preserve"> </w:t>
      </w:r>
      <w:r w:rsidRPr="00DC59FD">
        <w:rPr>
          <w:rFonts w:hint="cs"/>
          <w:rtl/>
        </w:rPr>
        <w:t>דאיכא</w:t>
      </w:r>
      <w:r w:rsidRPr="00DC59FD">
        <w:rPr>
          <w:rtl/>
        </w:rPr>
        <w:t xml:space="preserve"> </w:t>
      </w:r>
      <w:r w:rsidRPr="00DC59FD">
        <w:rPr>
          <w:rFonts w:hint="cs"/>
          <w:rtl/>
        </w:rPr>
        <w:t>כמה</w:t>
      </w:r>
      <w:r w:rsidRPr="00DC59FD">
        <w:rPr>
          <w:rtl/>
        </w:rPr>
        <w:t xml:space="preserve"> </w:t>
      </w:r>
      <w:r w:rsidRPr="00DC59FD">
        <w:rPr>
          <w:rFonts w:hint="cs"/>
          <w:rtl/>
        </w:rPr>
        <w:t>פוסקים</w:t>
      </w:r>
      <w:r w:rsidRPr="00DC59FD">
        <w:rPr>
          <w:rtl/>
        </w:rPr>
        <w:t xml:space="preserve"> </w:t>
      </w:r>
      <w:r w:rsidRPr="00DC59FD">
        <w:rPr>
          <w:rFonts w:hint="cs"/>
          <w:rtl/>
        </w:rPr>
        <w:t>נראה</w:t>
      </w:r>
      <w:r w:rsidRPr="00DC59FD">
        <w:rPr>
          <w:rtl/>
        </w:rPr>
        <w:t xml:space="preserve"> </w:t>
      </w:r>
      <w:r w:rsidRPr="00DC59FD">
        <w:rPr>
          <w:rFonts w:hint="cs"/>
          <w:rtl/>
        </w:rPr>
        <w:t>לסמוך</w:t>
      </w:r>
      <w:r w:rsidRPr="00DC59FD">
        <w:rPr>
          <w:rtl/>
        </w:rPr>
        <w:t xml:space="preserve"> </w:t>
      </w:r>
      <w:r w:rsidRPr="00DC59FD">
        <w:rPr>
          <w:rFonts w:hint="cs"/>
          <w:rtl/>
        </w:rPr>
        <w:t>עליהם</w:t>
      </w:r>
      <w:r w:rsidRPr="00DC59FD">
        <w:rPr>
          <w:rtl/>
        </w:rPr>
        <w:t xml:space="preserve"> </w:t>
      </w:r>
      <w:r w:rsidRPr="00DC59FD">
        <w:rPr>
          <w:rFonts w:hint="cs"/>
          <w:rtl/>
        </w:rPr>
        <w:t>ולא</w:t>
      </w:r>
      <w:r w:rsidRPr="00DC59FD">
        <w:rPr>
          <w:rtl/>
        </w:rPr>
        <w:t xml:space="preserve"> </w:t>
      </w:r>
      <w:r w:rsidRPr="00DC59FD">
        <w:rPr>
          <w:rFonts w:hint="cs"/>
          <w:rtl/>
        </w:rPr>
        <w:t>יתבטלו</w:t>
      </w:r>
      <w:r w:rsidRPr="00DC59FD">
        <w:rPr>
          <w:rtl/>
        </w:rPr>
        <w:t xml:space="preserve"> </w:t>
      </w:r>
      <w:r w:rsidRPr="00DC59FD">
        <w:rPr>
          <w:rFonts w:hint="cs"/>
          <w:rtl/>
        </w:rPr>
        <w:t>מ</w:t>
      </w:r>
      <w:r w:rsidRPr="00DC59FD">
        <w:rPr>
          <w:rtl/>
        </w:rPr>
        <w:t xml:space="preserve">' </w:t>
      </w:r>
      <w:r w:rsidRPr="00DC59FD">
        <w:rPr>
          <w:rFonts w:hint="cs"/>
          <w:rtl/>
        </w:rPr>
        <w:t>יום</w:t>
      </w:r>
      <w:r w:rsidRPr="00DC59FD">
        <w:rPr>
          <w:rtl/>
        </w:rPr>
        <w:t xml:space="preserve"> </w:t>
      </w:r>
      <w:r w:rsidRPr="00DC59FD">
        <w:rPr>
          <w:rFonts w:hint="cs"/>
          <w:rtl/>
        </w:rPr>
        <w:t>מלהתפלל</w:t>
      </w:r>
      <w:r w:rsidRPr="00DC59FD">
        <w:rPr>
          <w:rtl/>
        </w:rPr>
        <w:t xml:space="preserve"> </w:t>
      </w:r>
      <w:r w:rsidRPr="00DC59FD">
        <w:rPr>
          <w:rFonts w:hint="cs"/>
          <w:rtl/>
        </w:rPr>
        <w:t>בצבור".</w:t>
      </w:r>
    </w:p>
    <w:p w:rsidR="00DC59FD" w:rsidRPr="00DC59FD" w:rsidRDefault="00DC59FD" w:rsidP="00DC59FD">
      <w:pPr>
        <w:pStyle w:val="a3"/>
        <w:rPr>
          <w:rtl/>
        </w:rPr>
      </w:pPr>
      <w:r w:rsidRPr="00DC59FD">
        <w:rPr>
          <w:rFonts w:hint="cs"/>
          <w:rtl/>
        </w:rPr>
        <w:t>ועל דרך זה נאמר אף אנן, דבשעת הדחק שאין אפשרות לצרף למנין על ידי ראייה ללא דרך הרבים המפסקת, ואם לא נתיר לצרפם יתבטלו אותם אנשים מתפילה בציבור מ' יום, אפשר לכתחילה לסמוך על דברי היעב"ץ האמורים (שכאמור לעיל אין להם סתירה מדברי רבינו הזקן) – שבדיעבד אין דרך הרבים מפסקת.</w:t>
      </w:r>
    </w:p>
    <w:p w:rsidR="00DC59FD" w:rsidRPr="00DC59FD" w:rsidRDefault="00DC59FD" w:rsidP="00DC59FD">
      <w:pPr>
        <w:pStyle w:val="11"/>
        <w:bidi/>
        <w:rPr>
          <w:rtl/>
        </w:rPr>
      </w:pPr>
      <w:r w:rsidRPr="00DC59FD">
        <w:rPr>
          <w:rFonts w:hint="cs"/>
          <w:rtl/>
        </w:rPr>
        <w:t>ד. סיכום הדברים:</w:t>
      </w:r>
    </w:p>
    <w:p w:rsidR="00DC59FD" w:rsidRPr="00DC59FD" w:rsidRDefault="00DC59FD" w:rsidP="00DC59FD">
      <w:pPr>
        <w:pStyle w:val="a3"/>
      </w:pPr>
      <w:r w:rsidRPr="00DC59FD">
        <w:rPr>
          <w:rFonts w:hint="cs"/>
          <w:rtl/>
        </w:rPr>
        <w:t xml:space="preserve">מדברי אדה"ז אין סתירה לדברי הפרי מגדים שדרך הרבים מפסקת לענין צירוף למנין כשם שמפסקת לענין צירוף לזימון. ומכל מקום, על פי דברי היעב"ץ (ומשמעות הראשונים והשולחן ערוך) שדין זה בספק יסודו ועל כן בדיעבד אין דרך הרבים מפסקת, בשעת הדחק – שעלולים להתבטל מתפילה במנין תקופה ארוכה (ארבעים יום) </w:t>
      </w:r>
      <w:r w:rsidRPr="00DC59FD">
        <w:rPr>
          <w:rFonts w:hint="eastAsia"/>
          <w:rtl/>
        </w:rPr>
        <w:t>–</w:t>
      </w:r>
      <w:r w:rsidRPr="00DC59FD">
        <w:rPr>
          <w:rFonts w:hint="cs"/>
          <w:rtl/>
        </w:rPr>
        <w:t xml:space="preserve"> יכולים להצטרף לכתחילה על ידי ראייה אף שדרך הרבים מפסקת ביניהם.</w:t>
      </w:r>
    </w:p>
    <w:p w:rsidR="00DC59FD" w:rsidRDefault="00DC59FD" w:rsidP="00DC59FD">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7D68AC" w:rsidRDefault="007D68AC" w:rsidP="007D68AC">
      <w:pPr>
        <w:pStyle w:val="a0"/>
        <w:rPr>
          <w:rtl/>
        </w:rPr>
      </w:pPr>
      <w:bookmarkStart w:id="176" w:name="_Toc43963140"/>
      <w:r w:rsidRPr="00105D4F">
        <w:rPr>
          <w:rFonts w:hint="cs"/>
          <w:rtl/>
        </w:rPr>
        <w:t>הגדה על הכוסות</w:t>
      </w:r>
      <w:r w:rsidR="00900523">
        <w:rPr>
          <w:rFonts w:hint="cs"/>
          <w:rtl/>
        </w:rPr>
        <w:t xml:space="preserve"> (גליון)</w:t>
      </w:r>
      <w:bookmarkEnd w:id="176"/>
    </w:p>
    <w:p w:rsidR="007D68AC" w:rsidRDefault="007D68AC" w:rsidP="00F146A6">
      <w:pPr>
        <w:pStyle w:val="a"/>
        <w:rPr>
          <w:rtl/>
        </w:rPr>
      </w:pPr>
      <w:bookmarkStart w:id="177" w:name="_Toc43963141"/>
      <w:r>
        <w:rPr>
          <w:rFonts w:hint="cs"/>
          <w:rtl/>
        </w:rPr>
        <w:t>הרב שמעון בן ציון אייזנבך</w:t>
      </w:r>
      <w:bookmarkEnd w:id="177"/>
    </w:p>
    <w:p w:rsidR="007D68AC" w:rsidRDefault="007D68AC" w:rsidP="007D68AC">
      <w:pPr>
        <w:pStyle w:val="a1"/>
        <w:rPr>
          <w:rtl/>
        </w:rPr>
      </w:pPr>
      <w:r>
        <w:rPr>
          <w:rFonts w:hint="cs"/>
          <w:rtl/>
        </w:rPr>
        <w:t>ר"מ בישיבת תו"ת ברינואה</w:t>
      </w:r>
    </w:p>
    <w:p w:rsidR="007D68AC" w:rsidRPr="00A13B37" w:rsidRDefault="007D68AC" w:rsidP="00F146A6">
      <w:pPr>
        <w:pStyle w:val="11"/>
        <w:bidi/>
        <w:rPr>
          <w:rtl/>
        </w:rPr>
      </w:pPr>
      <w:r>
        <w:rPr>
          <w:rFonts w:hint="cs"/>
          <w:rtl/>
        </w:rPr>
        <w:t>א.</w:t>
      </w:r>
    </w:p>
    <w:p w:rsidR="007D68AC" w:rsidRPr="00A13B37" w:rsidRDefault="007D68AC" w:rsidP="00F146A6">
      <w:pPr>
        <w:pStyle w:val="a3"/>
        <w:rPr>
          <w:rtl/>
        </w:rPr>
      </w:pPr>
      <w:r>
        <w:rPr>
          <w:rFonts w:hint="cs"/>
          <w:rtl/>
        </w:rPr>
        <w:t>בגליון האחרון</w:t>
      </w:r>
      <w:r w:rsidRPr="00A13B37">
        <w:rPr>
          <w:rFonts w:hint="cs"/>
          <w:rtl/>
        </w:rPr>
        <w:t xml:space="preserve"> הביא הרב ב. א. שליט"א מספר נפש הרב שהגרמ"ס ז"ל הסתפק מה דינו של מי שנשפך לו בליל פסח כוס שני קודם שבירך ברכת אשר גאלנו. אם צריך לחזור ולומר כל ההגדה על הכוס או לא. והספק הוא אם התקנה היא בדווקא שתהא אמירת ההגדה על הכוס או לא. ולמעשה החמיר הגרמ"ס שצריך לחזור וכו'.</w:t>
      </w:r>
    </w:p>
    <w:p w:rsidR="007D68AC" w:rsidRPr="00A13B37" w:rsidRDefault="007D68AC" w:rsidP="00F146A6">
      <w:pPr>
        <w:pStyle w:val="a3"/>
        <w:rPr>
          <w:rtl/>
        </w:rPr>
      </w:pPr>
      <w:r w:rsidRPr="00A13B37">
        <w:rPr>
          <w:rFonts w:hint="cs"/>
          <w:rtl/>
        </w:rPr>
        <w:t xml:space="preserve">והביא את דברי רבינו הזקן בשו"ע סימן תעג סעיף מ </w:t>
      </w:r>
      <w:r w:rsidRPr="00A13B37">
        <w:rPr>
          <w:rtl/>
        </w:rPr>
        <w:t>וז"ל: "</w:t>
      </w:r>
      <w:bookmarkStart w:id="178" w:name="סימן_תעג_"/>
      <w:r w:rsidRPr="00A13B37">
        <w:rPr>
          <w:rtl/>
        </w:rPr>
        <w:t xml:space="preserve">ואף על פי שאין צריך לאחוז הכוס בידו עד שיגיע ללפיכך כמו שיתבאר אף על פי כן צריך למזוג מיד קודם </w:t>
      </w:r>
      <w:r w:rsidRPr="00A13B37">
        <w:rPr>
          <w:rtl/>
        </w:rPr>
        <w:lastRenderedPageBreak/>
        <w:t>התחלת אמירת ההגדה כדי שישאלו התינוקות למה שותין כוס שני קודם הסעודה שאין דרך לשתות כן בכל ימות השנה ועל ידי כך יתעוררו לשאול גם כן שאר השאלות מה נשתנה וכו'</w:t>
      </w:r>
      <w:bookmarkEnd w:id="178"/>
      <w:r w:rsidRPr="00A13B37">
        <w:rPr>
          <w:rFonts w:hint="cs"/>
          <w:rtl/>
        </w:rPr>
        <w:t>"</w:t>
      </w:r>
    </w:p>
    <w:p w:rsidR="007D68AC" w:rsidRPr="00A13B37" w:rsidRDefault="007D68AC" w:rsidP="00F146A6">
      <w:pPr>
        <w:pStyle w:val="a3"/>
        <w:rPr>
          <w:rtl/>
        </w:rPr>
      </w:pPr>
      <w:r w:rsidRPr="00A13B37">
        <w:rPr>
          <w:rFonts w:hint="cs"/>
          <w:rtl/>
        </w:rPr>
        <w:t>דמוכח דס"ל שצריך לאחוז את הכוס רק באמירת ה"לפיכך", ומה שמוזגים קודם אמירת ההגדה הוא רק כדי להתמיה התינוקות. ומשמע דלא ס"ל שצריך לומר כל ההגדה על הכוס.</w:t>
      </w:r>
      <w:r>
        <w:rPr>
          <w:rFonts w:hint="cs"/>
          <w:rtl/>
        </w:rPr>
        <w:t xml:space="preserve"> </w:t>
      </w:r>
      <w:r w:rsidRPr="00A13B37">
        <w:rPr>
          <w:rFonts w:hint="cs"/>
          <w:rtl/>
        </w:rPr>
        <w:t>ו</w:t>
      </w:r>
      <w:r>
        <w:rPr>
          <w:rFonts w:hint="cs"/>
          <w:rtl/>
        </w:rPr>
        <w:t>ש</w:t>
      </w:r>
      <w:r w:rsidRPr="00A13B37">
        <w:rPr>
          <w:rFonts w:hint="cs"/>
          <w:rtl/>
        </w:rPr>
        <w:t xml:space="preserve">כן משמע גם בדברי רבינו הזקן בסימן </w:t>
      </w:r>
      <w:r>
        <w:rPr>
          <w:rFonts w:hint="cs"/>
          <w:rtl/>
        </w:rPr>
        <w:t>תע"ב</w:t>
      </w:r>
      <w:r w:rsidRPr="00A13B37">
        <w:rPr>
          <w:rFonts w:hint="cs"/>
          <w:rtl/>
        </w:rPr>
        <w:t xml:space="preserve"> סט"ז.</w:t>
      </w:r>
    </w:p>
    <w:p w:rsidR="007D68AC" w:rsidRPr="00A13B37" w:rsidRDefault="007D68AC" w:rsidP="00F146A6">
      <w:pPr>
        <w:pStyle w:val="a3"/>
        <w:rPr>
          <w:rtl/>
        </w:rPr>
      </w:pPr>
      <w:r w:rsidRPr="00A13B37">
        <w:rPr>
          <w:rFonts w:hint="cs"/>
          <w:rtl/>
        </w:rPr>
        <w:t xml:space="preserve">ורציתי להוסיף על זה דהנה בסימן </w:t>
      </w:r>
      <w:r>
        <w:rPr>
          <w:rFonts w:hint="cs"/>
          <w:rtl/>
        </w:rPr>
        <w:t>תע"ב</w:t>
      </w:r>
      <w:r w:rsidRPr="00A13B37">
        <w:rPr>
          <w:rFonts w:hint="cs"/>
          <w:rtl/>
        </w:rPr>
        <w:t xml:space="preserve"> </w:t>
      </w:r>
      <w:r w:rsidRPr="00A13B37">
        <w:rPr>
          <w:rtl/>
        </w:rPr>
        <w:t>ס</w:t>
      </w:r>
      <w:bookmarkStart w:id="179" w:name="סימן_תעב_"/>
      <w:r w:rsidRPr="00A13B37">
        <w:rPr>
          <w:rtl/>
        </w:rPr>
        <w:t xml:space="preserve">עיף כ"ה כתב וז"ל: "ואף הקטנים חייב אביהם לחנכם במצות להשקותם כוסות על הסדר שיתבאר אם כבר הגיעו לחינוך (דהיינו שהגיעו לזמן שראוי לחנכם לשמוע הדברים שאומרים על הכוסות כגון שהן יודעין מענין קדושת יום טוב ולכן ראוי לחנכם לשמוע הקידוש שאומרים על כוס ראשון (עיין סי' רס''ט) וגם יש בהן דעת להבין מה שמספרים להם מיציאת מצרים באמירת ההגדה ולכן ראוי לחנכם </w:t>
      </w:r>
      <w:r w:rsidRPr="00A13B37">
        <w:rPr>
          <w:b/>
          <w:bCs/>
          <w:rtl/>
        </w:rPr>
        <w:t>לשמוע ההגדה שאומרים על כוס שני</w:t>
      </w:r>
      <w:bookmarkEnd w:id="179"/>
      <w:r w:rsidRPr="00A13B37">
        <w:rPr>
          <w:b/>
          <w:bCs/>
          <w:rtl/>
        </w:rPr>
        <w:t>"</w:t>
      </w:r>
      <w:r w:rsidRPr="00A13B37">
        <w:rPr>
          <w:rtl/>
        </w:rPr>
        <w:t>. עכ"ל. ו</w:t>
      </w:r>
      <w:r w:rsidRPr="00A13B37">
        <w:rPr>
          <w:rFonts w:hint="cs"/>
          <w:rtl/>
        </w:rPr>
        <w:t xml:space="preserve">מדבריו אלו לכאורה </w:t>
      </w:r>
      <w:r w:rsidRPr="00A13B37">
        <w:rPr>
          <w:rtl/>
        </w:rPr>
        <w:t xml:space="preserve">משמע </w:t>
      </w:r>
      <w:r w:rsidRPr="00A13B37">
        <w:rPr>
          <w:rFonts w:hint="cs"/>
          <w:rtl/>
        </w:rPr>
        <w:t>כן ש</w:t>
      </w:r>
      <w:r w:rsidRPr="00A13B37">
        <w:rPr>
          <w:rtl/>
        </w:rPr>
        <w:t xml:space="preserve">ההגדה וסיפור יציאת מצרים צריכים לאמרם על הכוס. ולכאורה זה סותר דבריו </w:t>
      </w:r>
      <w:r w:rsidRPr="00A13B37">
        <w:rPr>
          <w:rFonts w:hint="cs"/>
          <w:rtl/>
        </w:rPr>
        <w:t>הנ"ל.</w:t>
      </w:r>
    </w:p>
    <w:p w:rsidR="007D68AC" w:rsidRDefault="007D68AC" w:rsidP="00F146A6">
      <w:pPr>
        <w:pStyle w:val="11"/>
        <w:bidi/>
        <w:rPr>
          <w:rtl/>
        </w:rPr>
      </w:pPr>
      <w:r>
        <w:rPr>
          <w:rFonts w:hint="cs"/>
          <w:rtl/>
        </w:rPr>
        <w:t>ב.</w:t>
      </w:r>
    </w:p>
    <w:p w:rsidR="007D68AC" w:rsidRPr="00A13B37" w:rsidRDefault="007D68AC" w:rsidP="00F146A6">
      <w:pPr>
        <w:pStyle w:val="a3"/>
        <w:rPr>
          <w:b/>
          <w:bCs/>
          <w:rtl/>
        </w:rPr>
      </w:pPr>
      <w:r w:rsidRPr="00A13B37">
        <w:rPr>
          <w:rFonts w:hint="cs"/>
          <w:rtl/>
        </w:rPr>
        <w:t>והנראה לומר ובהקדים דהנה נדון זה אם צריך לומר ההגדה על הכוס לכאורה הוא מחלוקת הראשונים דז"ל ה</w:t>
      </w:r>
      <w:r w:rsidRPr="00A13B37">
        <w:rPr>
          <w:rtl/>
        </w:rPr>
        <w:t xml:space="preserve">רמב"ם </w:t>
      </w:r>
      <w:r w:rsidRPr="00A13B37">
        <w:rPr>
          <w:rFonts w:hint="cs"/>
          <w:rtl/>
        </w:rPr>
        <w:t>ב</w:t>
      </w:r>
      <w:r w:rsidRPr="00A13B37">
        <w:rPr>
          <w:rtl/>
        </w:rPr>
        <w:t>הלכות חמץ ומצה פ"ז ה"י:</w:t>
      </w:r>
      <w:r w:rsidRPr="00A13B37">
        <w:rPr>
          <w:rFonts w:hint="cs"/>
          <w:rtl/>
        </w:rPr>
        <w:t xml:space="preserve"> "</w:t>
      </w:r>
      <w:r w:rsidRPr="00A13B37">
        <w:rPr>
          <w:rtl/>
        </w:rPr>
        <w:t>כל כוס וכוס מארבעה כוסות הללו מברך עליו ברכה בפני עצמה וכוס ראשון אומר עליו קדוש היום כוס שני קורא עליו את ההגדה כוס שלישי מברך עליו ברכת המזון כוס רביעית גומר עליו את ההלל ומברך עליו ברכת השיר".</w:t>
      </w:r>
    </w:p>
    <w:p w:rsidR="007D68AC" w:rsidRPr="00A13B37" w:rsidRDefault="007D68AC" w:rsidP="00F146A6">
      <w:pPr>
        <w:pStyle w:val="a3"/>
        <w:rPr>
          <w:rtl/>
        </w:rPr>
      </w:pPr>
      <w:r w:rsidRPr="00A13B37">
        <w:rPr>
          <w:rtl/>
        </w:rPr>
        <w:t>ומבואר בדברי הרמב"ם דמה שמוזגין כוס שני קודם אמירת ההגדה הוא משום שצריך לומר עליו ההגדה. וכמו שעל כוס ראשון אומר עליו קדוש היום</w:t>
      </w:r>
      <w:r w:rsidRPr="00A13B37">
        <w:rPr>
          <w:rFonts w:hint="cs"/>
          <w:rtl/>
        </w:rPr>
        <w:t>,</w:t>
      </w:r>
      <w:r w:rsidRPr="00A13B37">
        <w:rPr>
          <w:rtl/>
        </w:rPr>
        <w:t xml:space="preserve"> ו</w:t>
      </w:r>
      <w:r w:rsidRPr="00A13B37">
        <w:rPr>
          <w:rFonts w:hint="cs"/>
          <w:rtl/>
        </w:rPr>
        <w:t xml:space="preserve">על </w:t>
      </w:r>
      <w:r w:rsidRPr="00A13B37">
        <w:rPr>
          <w:rtl/>
        </w:rPr>
        <w:t xml:space="preserve">כוס שלישי ברכת המזון כך על כוס שני צריך לומר את ההגדה. </w:t>
      </w:r>
    </w:p>
    <w:p w:rsidR="007D68AC" w:rsidRPr="00A13B37" w:rsidRDefault="007D68AC" w:rsidP="00F146A6">
      <w:pPr>
        <w:pStyle w:val="a3"/>
        <w:rPr>
          <w:rtl/>
        </w:rPr>
      </w:pPr>
      <w:r w:rsidRPr="00A13B37">
        <w:rPr>
          <w:rFonts w:hint="cs"/>
          <w:rtl/>
        </w:rPr>
        <w:t>וכן יש לדייק גם מדבריו שכתב</w:t>
      </w:r>
      <w:r w:rsidRPr="00A13B37">
        <w:rPr>
          <w:rtl/>
        </w:rPr>
        <w:t xml:space="preserve"> קודם נוסח ההגדה וז"ל: "נוסח ההגדה שנהגו בה ישראל בזמן הגלות כך היא </w:t>
      </w:r>
      <w:r w:rsidRPr="00A13B37">
        <w:rPr>
          <w:b/>
          <w:bCs/>
          <w:rtl/>
        </w:rPr>
        <w:t>מתחיל על כוס שני ואומר</w:t>
      </w:r>
      <w:r w:rsidRPr="00A13B37">
        <w:rPr>
          <w:rtl/>
        </w:rPr>
        <w:t xml:space="preserve"> בבהילו יצאנו ממצרים"</w:t>
      </w:r>
      <w:r w:rsidRPr="00A13B37">
        <w:rPr>
          <w:rFonts w:hint="cs"/>
          <w:rtl/>
        </w:rPr>
        <w:t xml:space="preserve"> ו</w:t>
      </w:r>
      <w:r w:rsidRPr="00A13B37">
        <w:rPr>
          <w:rtl/>
        </w:rPr>
        <w:t xml:space="preserve">מבואר שההגדה צריך לאומרה על </w:t>
      </w:r>
      <w:r w:rsidRPr="00A13B37">
        <w:rPr>
          <w:rFonts w:hint="cs"/>
          <w:rtl/>
        </w:rPr>
        <w:t>ה</w:t>
      </w:r>
      <w:r w:rsidRPr="00A13B37">
        <w:rPr>
          <w:rtl/>
        </w:rPr>
        <w:t>כוס.</w:t>
      </w:r>
    </w:p>
    <w:p w:rsidR="007D68AC" w:rsidRPr="00A13B37" w:rsidRDefault="007D68AC" w:rsidP="00F146A6">
      <w:pPr>
        <w:pStyle w:val="a3"/>
        <w:rPr>
          <w:rtl/>
        </w:rPr>
      </w:pPr>
      <w:r w:rsidRPr="00A13B37">
        <w:rPr>
          <w:rtl/>
        </w:rPr>
        <w:t>אבל מדברי הטור והשלחן ערוך לא משמע כן, שכתב הטור בסי' תע</w:t>
      </w:r>
      <w:r>
        <w:rPr>
          <w:rFonts w:hint="cs"/>
          <w:rtl/>
        </w:rPr>
        <w:t>"</w:t>
      </w:r>
      <w:r w:rsidRPr="00A13B37">
        <w:rPr>
          <w:rtl/>
        </w:rPr>
        <w:t>ג ס"ז "ומוזגין מיד כוס שני כדי שישאל התינוק למה שותין כוס שני קודם סעודה"</w:t>
      </w:r>
      <w:r w:rsidRPr="00A13B37">
        <w:rPr>
          <w:rFonts w:hint="cs"/>
          <w:rtl/>
        </w:rPr>
        <w:t>.</w:t>
      </w:r>
      <w:r w:rsidRPr="00A13B37">
        <w:rPr>
          <w:rtl/>
        </w:rPr>
        <w:t xml:space="preserve"> וכן המחבר כתב: "מוזגין לו מיד כוס שני כדי שישאלו התינוקות למה שותין כוס שני קודם הסעודה" ומדבריהם משמע שהטעם שמוזגין כוס שני קודם ההגדה אינו משום שההגדה צריכה להיאמר על כוס שני, אלא כדי שישאלו התינוקות. </w:t>
      </w:r>
    </w:p>
    <w:p w:rsidR="007D68AC" w:rsidRPr="00A13B37" w:rsidRDefault="007D68AC" w:rsidP="00F146A6">
      <w:pPr>
        <w:pStyle w:val="a3"/>
        <w:rPr>
          <w:rtl/>
        </w:rPr>
      </w:pPr>
      <w:r w:rsidRPr="00A13B37">
        <w:rPr>
          <w:rtl/>
        </w:rPr>
        <w:t xml:space="preserve">ומדבריהם </w:t>
      </w:r>
      <w:r w:rsidRPr="00A13B37">
        <w:rPr>
          <w:rFonts w:hint="cs"/>
          <w:rtl/>
        </w:rPr>
        <w:t xml:space="preserve">נראה </w:t>
      </w:r>
      <w:r w:rsidRPr="00A13B37">
        <w:rPr>
          <w:rtl/>
        </w:rPr>
        <w:t>שמעיקר הדין היה אפשר למז</w:t>
      </w:r>
      <w:r w:rsidRPr="00A13B37">
        <w:rPr>
          <w:rFonts w:hint="cs"/>
          <w:rtl/>
        </w:rPr>
        <w:t>וג כוס שני לאחר ההגדה,</w:t>
      </w:r>
      <w:r w:rsidRPr="00A13B37">
        <w:rPr>
          <w:rtl/>
        </w:rPr>
        <w:t xml:space="preserve"> קודם </w:t>
      </w:r>
      <w:r w:rsidRPr="00A13B37">
        <w:rPr>
          <w:rtl/>
        </w:rPr>
        <w:lastRenderedPageBreak/>
        <w:t xml:space="preserve">אמירת </w:t>
      </w:r>
      <w:r w:rsidRPr="00A13B37">
        <w:rPr>
          <w:rFonts w:hint="cs"/>
          <w:rtl/>
        </w:rPr>
        <w:t>ה"</w:t>
      </w:r>
      <w:r w:rsidRPr="00A13B37">
        <w:rPr>
          <w:rtl/>
        </w:rPr>
        <w:t>לפיכך</w:t>
      </w:r>
      <w:r w:rsidRPr="00A13B37">
        <w:rPr>
          <w:rFonts w:hint="cs"/>
          <w:rtl/>
        </w:rPr>
        <w:t>"</w:t>
      </w:r>
      <w:r w:rsidRPr="00A13B37">
        <w:rPr>
          <w:rtl/>
        </w:rPr>
        <w:t xml:space="preserve"> </w:t>
      </w:r>
      <w:r>
        <w:rPr>
          <w:rFonts w:hint="cs"/>
          <w:rtl/>
        </w:rPr>
        <w:t>(</w:t>
      </w:r>
      <w:r w:rsidRPr="00A13B37">
        <w:rPr>
          <w:rtl/>
        </w:rPr>
        <w:t>ד</w:t>
      </w:r>
      <w:r>
        <w:rPr>
          <w:rFonts w:hint="cs"/>
          <w:rtl/>
        </w:rPr>
        <w:t>מ"לפיכך"</w:t>
      </w:r>
      <w:r w:rsidRPr="00A13B37">
        <w:rPr>
          <w:rtl/>
        </w:rPr>
        <w:t xml:space="preserve"> צריך ל</w:t>
      </w:r>
      <w:r w:rsidRPr="00A13B37">
        <w:rPr>
          <w:rFonts w:hint="cs"/>
          <w:rtl/>
        </w:rPr>
        <w:t>ומר</w:t>
      </w:r>
      <w:r w:rsidRPr="00A13B37">
        <w:rPr>
          <w:rtl/>
        </w:rPr>
        <w:t xml:space="preserve"> על הכוס וכמו שכתב הטור "ונוהגין באשכנז כשמגיעין עד לפיכך מגביה כל אחד כוסו ואוחזו בידו עד סיום ברכת אשר גאלנו והכי איתא במדרש שוחר טוב לי כשמגיע ללפיכך אוחז כוסו בידו כדי לומר שירה על היין" ונראה דמה שאמר "נוהגין" זה קאי על המנהג להגביה את הכוס, אבל עצם דין האמירה על היין הוא מעיקר הדין דאין אומרים שירה אלא על היין. וכן הוא בשו"ע "וכשיגיע ללפיכך יגביה כל אחד כוסו עד שחותם גאל ישראל"). </w:t>
      </w:r>
    </w:p>
    <w:p w:rsidR="007D68AC" w:rsidRPr="00A13B37" w:rsidRDefault="007D68AC" w:rsidP="00F146A6">
      <w:pPr>
        <w:pStyle w:val="a3"/>
        <w:rPr>
          <w:rtl/>
        </w:rPr>
      </w:pPr>
      <w:r w:rsidRPr="00A13B37">
        <w:rPr>
          <w:rtl/>
        </w:rPr>
        <w:t xml:space="preserve">ובפסחים קטז. במשנה "מזגו לו כוס שני וכאן הבן שואל" וברש"י וכאן הבן שואל: "כאן במזיגת כוס שני הבן שואל את אביו מה נשתנה עכשיו שמוזגין כוס שני קודם האכילה" וכ"ה ברשב"ם. ומבואר כדברי </w:t>
      </w:r>
      <w:r w:rsidRPr="00A13B37">
        <w:rPr>
          <w:rFonts w:hint="cs"/>
          <w:rtl/>
        </w:rPr>
        <w:t>הטור ו</w:t>
      </w:r>
      <w:r w:rsidRPr="00A13B37">
        <w:rPr>
          <w:rtl/>
        </w:rPr>
        <w:t>המחבר דענין מזיגת כוס שני קודם ההגדה היא בכדי שישאלו התינוקות.</w:t>
      </w:r>
    </w:p>
    <w:p w:rsidR="007D68AC" w:rsidRPr="00A13B37" w:rsidRDefault="007D68AC" w:rsidP="00F146A6">
      <w:pPr>
        <w:pStyle w:val="a3"/>
        <w:rPr>
          <w:rtl/>
        </w:rPr>
      </w:pPr>
      <w:r w:rsidRPr="00A13B37">
        <w:rPr>
          <w:rtl/>
        </w:rPr>
        <w:t xml:space="preserve">אולם ברשב"ם שם הביא עוד וז"ל: "ורבינו קיבל מרבו ר' יעקב בן יקר וכן הבן שואל כמו כן בנות צלפחד כלומר דין הוא שיהא שואל במזיגת כוס שני מה נשתנה". ולפירוש זה יש לומר כשיטת הרמב"ם שיש דין אמירת ההגדה על הכוס. ולכן הבן שואל </w:t>
      </w:r>
      <w:r w:rsidRPr="00A13B37">
        <w:rPr>
          <w:rFonts w:hint="cs"/>
          <w:rtl/>
        </w:rPr>
        <w:t>ב</w:t>
      </w:r>
      <w:r w:rsidRPr="00A13B37">
        <w:rPr>
          <w:rtl/>
        </w:rPr>
        <w:t>מזיגת הכוס. וכנראה שהרמב"ם יפרש כרבינו יעקב בן יקר</w:t>
      </w:r>
      <w:r w:rsidRPr="00A13B37">
        <w:rPr>
          <w:rFonts w:hint="cs"/>
          <w:rtl/>
        </w:rPr>
        <w:t>.</w:t>
      </w:r>
    </w:p>
    <w:p w:rsidR="007D68AC" w:rsidRPr="00A13B37" w:rsidRDefault="007D68AC" w:rsidP="00F146A6">
      <w:pPr>
        <w:pStyle w:val="a3"/>
        <w:rPr>
          <w:rtl/>
        </w:rPr>
      </w:pPr>
      <w:r w:rsidRPr="00A13B37">
        <w:rPr>
          <w:rtl/>
        </w:rPr>
        <w:t>הרי שלשיטת הרמב"ם יש דין אמירת ההגדה על הכוס, ולשיטת ה</w:t>
      </w:r>
      <w:r w:rsidRPr="00A13B37">
        <w:rPr>
          <w:rFonts w:hint="cs"/>
          <w:rtl/>
        </w:rPr>
        <w:t>טור וה</w:t>
      </w:r>
      <w:r w:rsidRPr="00A13B37">
        <w:rPr>
          <w:rtl/>
        </w:rPr>
        <w:t xml:space="preserve">שו"ע אין דין אמירת </w:t>
      </w:r>
      <w:r w:rsidRPr="00A13B37">
        <w:rPr>
          <w:rFonts w:hint="cs"/>
          <w:rtl/>
        </w:rPr>
        <w:t xml:space="preserve">כל </w:t>
      </w:r>
      <w:r w:rsidRPr="00A13B37">
        <w:rPr>
          <w:rtl/>
        </w:rPr>
        <w:t>ההגדה על הכוס</w:t>
      </w:r>
      <w:r w:rsidRPr="00A13B37">
        <w:rPr>
          <w:rFonts w:hint="cs"/>
          <w:rtl/>
        </w:rPr>
        <w:t>.</w:t>
      </w:r>
    </w:p>
    <w:p w:rsidR="007D68AC" w:rsidRPr="00A13B37" w:rsidRDefault="007D68AC" w:rsidP="00F146A6">
      <w:pPr>
        <w:pStyle w:val="a3"/>
        <w:rPr>
          <w:rtl/>
        </w:rPr>
      </w:pPr>
      <w:r w:rsidRPr="00A13B37">
        <w:rPr>
          <w:rtl/>
        </w:rPr>
        <w:t xml:space="preserve">והנפק"מ בין ב' השיטות היא לכאורה </w:t>
      </w:r>
      <w:r w:rsidRPr="00A13B37">
        <w:rPr>
          <w:rFonts w:hint="cs"/>
          <w:rtl/>
        </w:rPr>
        <w:t>בנדון הנ"ל</w:t>
      </w:r>
      <w:r w:rsidRPr="00A13B37">
        <w:rPr>
          <w:rtl/>
        </w:rPr>
        <w:t xml:space="preserve"> </w:t>
      </w:r>
      <w:r w:rsidRPr="00A13B37">
        <w:rPr>
          <w:rFonts w:hint="cs"/>
          <w:rtl/>
        </w:rPr>
        <w:t xml:space="preserve">שנשפך הכוס לאחר אמירת ההגדה או </w:t>
      </w:r>
      <w:r w:rsidRPr="00A13B37">
        <w:rPr>
          <w:rtl/>
        </w:rPr>
        <w:t>אם שכח ולא מזג את הכוס וסיים ההגדה עד "לפיכך". דלשיטת הרמב"ם שיש דין אמירת ההגדה על הכוס לכאורה יש לו לחזור ולקרות ההגדה על הכוס. אבל לשיטת</w:t>
      </w:r>
      <w:r w:rsidRPr="00A13B37">
        <w:rPr>
          <w:rFonts w:hint="cs"/>
          <w:rtl/>
        </w:rPr>
        <w:t xml:space="preserve"> הטור</w:t>
      </w:r>
      <w:r w:rsidRPr="00A13B37">
        <w:rPr>
          <w:rtl/>
        </w:rPr>
        <w:t xml:space="preserve"> המחבר אינו צריך.</w:t>
      </w:r>
    </w:p>
    <w:p w:rsidR="007D68AC" w:rsidRPr="00A13B37" w:rsidRDefault="007D68AC" w:rsidP="00F146A6">
      <w:pPr>
        <w:pStyle w:val="11"/>
        <w:bidi/>
        <w:rPr>
          <w:rtl/>
        </w:rPr>
      </w:pPr>
      <w:r>
        <w:rPr>
          <w:rFonts w:hint="cs"/>
          <w:rtl/>
        </w:rPr>
        <w:t>ג.</w:t>
      </w:r>
    </w:p>
    <w:p w:rsidR="007D68AC" w:rsidRPr="00A13B37" w:rsidRDefault="007D68AC" w:rsidP="00F146A6">
      <w:pPr>
        <w:pStyle w:val="a3"/>
        <w:rPr>
          <w:rtl/>
        </w:rPr>
      </w:pPr>
      <w:r w:rsidRPr="00A13B37">
        <w:rPr>
          <w:rtl/>
        </w:rPr>
        <w:t xml:space="preserve">והנה נחלקו הראשונים אם צריך לברך בפה"ג על כל כוס וכוס </w:t>
      </w:r>
      <w:r w:rsidRPr="00A13B37">
        <w:rPr>
          <w:rFonts w:hint="cs"/>
          <w:rtl/>
        </w:rPr>
        <w:t xml:space="preserve">מהד' כוסות </w:t>
      </w:r>
      <w:r w:rsidRPr="00A13B37">
        <w:rPr>
          <w:rtl/>
        </w:rPr>
        <w:t xml:space="preserve">דהרי"ף </w:t>
      </w:r>
      <w:r w:rsidRPr="00A13B37">
        <w:rPr>
          <w:rFonts w:hint="cs"/>
          <w:rtl/>
        </w:rPr>
        <w:t>ס"ל</w:t>
      </w:r>
      <w:r w:rsidRPr="00A13B37">
        <w:rPr>
          <w:rtl/>
        </w:rPr>
        <w:t xml:space="preserve"> דצריך לברך על כל כוס וכוס וכתב הרי"ף </w:t>
      </w:r>
      <w:r w:rsidRPr="00A13B37">
        <w:rPr>
          <w:rFonts w:hint="cs"/>
          <w:rtl/>
        </w:rPr>
        <w:t>בתוך הדברים</w:t>
      </w:r>
      <w:r w:rsidRPr="00A13B37">
        <w:rPr>
          <w:rtl/>
        </w:rPr>
        <w:t xml:space="preserve"> ד"כיון דלא אפשר ליה למקרי ומשתי בהדי הדדי צריך לחזור ולברך בתר דגמר ההגדה ובתר דגמר הלילא". </w:t>
      </w:r>
    </w:p>
    <w:p w:rsidR="007D68AC" w:rsidRPr="00A13B37" w:rsidRDefault="007D68AC" w:rsidP="00F146A6">
      <w:pPr>
        <w:pStyle w:val="a3"/>
        <w:rPr>
          <w:rtl/>
        </w:rPr>
      </w:pPr>
      <w:r w:rsidRPr="00A13B37">
        <w:rPr>
          <w:rtl/>
        </w:rPr>
        <w:t>ובבעל המאור נחלק על</w:t>
      </w:r>
      <w:r w:rsidRPr="00A13B37">
        <w:rPr>
          <w:rFonts w:hint="cs"/>
          <w:rtl/>
        </w:rPr>
        <w:t xml:space="preserve">יו </w:t>
      </w:r>
      <w:r w:rsidRPr="00A13B37">
        <w:rPr>
          <w:rtl/>
        </w:rPr>
        <w:t xml:space="preserve">וכתב: "אנו אומרים כי אם רצה לשתות בתוך ההגדה הרשות בידו כדתנן בין הכוסות הללו אם רצה לשתות ישתה ואין הפרש בין שותה לפני ההגדה לשותה בתוך ההגדה". </w:t>
      </w:r>
    </w:p>
    <w:p w:rsidR="007D68AC" w:rsidRPr="00A13B37" w:rsidRDefault="007D68AC" w:rsidP="00F146A6">
      <w:pPr>
        <w:pStyle w:val="a3"/>
        <w:rPr>
          <w:noProof/>
          <w:rtl/>
          <w:lang w:eastAsia="fr-FR"/>
        </w:rPr>
      </w:pPr>
      <w:r w:rsidRPr="00A13B37">
        <w:rPr>
          <w:rtl/>
        </w:rPr>
        <w:t>והרמב"ן במלחמות כתב: "חס ושלום שלא התירו אלא בין כוס לכוס אבל משמזגו לו כוס שני והתחיל במצוותו לשאול עליו ולדרוש אינו רשאי להפסיק בשתיה"</w:t>
      </w:r>
    </w:p>
    <w:p w:rsidR="007D68AC" w:rsidRPr="00A13B37" w:rsidRDefault="007D68AC" w:rsidP="00F146A6">
      <w:pPr>
        <w:pStyle w:val="a3"/>
        <w:rPr>
          <w:rtl/>
        </w:rPr>
      </w:pPr>
      <w:r w:rsidRPr="00A13B37">
        <w:rPr>
          <w:rtl/>
        </w:rPr>
        <w:t xml:space="preserve">והר"ן כתב על דברי בעל המאור: "דאע"ג דאמרינן דבין הכוסות הללו אם רצה לשתות ישתה משמע ודאי דהיינו בין הכוסות אבל לא באמצע הכוס שאחר שמזג הכוס לספר עליו יציאת מצרים שהוא מן התורה אינו בדין שימזוג כוס אחר וישתה". </w:t>
      </w:r>
      <w:r w:rsidRPr="00A13B37">
        <w:rPr>
          <w:rtl/>
        </w:rPr>
        <w:lastRenderedPageBreak/>
        <w:t>עכ"ל.</w:t>
      </w:r>
    </w:p>
    <w:p w:rsidR="007D68AC" w:rsidRPr="00A13B37" w:rsidRDefault="007D68AC" w:rsidP="00F146A6">
      <w:pPr>
        <w:pStyle w:val="a3"/>
        <w:rPr>
          <w:rtl/>
        </w:rPr>
      </w:pPr>
      <w:r w:rsidRPr="00A13B37">
        <w:rPr>
          <w:rtl/>
        </w:rPr>
        <w:t>ונראה לתלות מחלוקתם בהנ"ל דהרי</w:t>
      </w:r>
      <w:r w:rsidRPr="00A13B37">
        <w:rPr>
          <w:rFonts w:hint="cs"/>
          <w:rtl/>
        </w:rPr>
        <w:t>"</w:t>
      </w:r>
      <w:r w:rsidRPr="00A13B37">
        <w:rPr>
          <w:rtl/>
        </w:rPr>
        <w:t>ף</w:t>
      </w:r>
      <w:r w:rsidRPr="00A13B37">
        <w:rPr>
          <w:rFonts w:hint="cs"/>
          <w:rtl/>
        </w:rPr>
        <w:t>, ה</w:t>
      </w:r>
      <w:r w:rsidRPr="00A13B37">
        <w:rPr>
          <w:rtl/>
        </w:rPr>
        <w:t xml:space="preserve">רמב"ן והר"ן ס"ל כהרמב"ם שיש דין אמירת הגדה על הכוס וכמדוייק לשון הרמב"ן "משמזגו לו כוס שני </w:t>
      </w:r>
      <w:r w:rsidRPr="00A13B37">
        <w:rPr>
          <w:b/>
          <w:bCs/>
          <w:rtl/>
        </w:rPr>
        <w:t>והתחיל במצוותו לשאול עליו ולדרוש</w:t>
      </w:r>
      <w:r w:rsidRPr="00A13B37">
        <w:rPr>
          <w:rtl/>
        </w:rPr>
        <w:t xml:space="preserve">" וכן בר"ן: "שמזג הכוס </w:t>
      </w:r>
      <w:r w:rsidRPr="00A13B37">
        <w:rPr>
          <w:b/>
          <w:bCs/>
          <w:rtl/>
        </w:rPr>
        <w:t>לספר עליו יציאת מצרים</w:t>
      </w:r>
      <w:r w:rsidRPr="00A13B37">
        <w:rPr>
          <w:rtl/>
        </w:rPr>
        <w:t>".</w:t>
      </w:r>
      <w:r w:rsidRPr="00A13B37">
        <w:rPr>
          <w:rFonts w:hint="cs"/>
          <w:rtl/>
        </w:rPr>
        <w:t xml:space="preserve"> </w:t>
      </w:r>
      <w:r w:rsidRPr="00A13B37">
        <w:rPr>
          <w:rtl/>
        </w:rPr>
        <w:t>ו</w:t>
      </w:r>
      <w:r w:rsidRPr="00A13B37">
        <w:rPr>
          <w:rFonts w:hint="cs"/>
          <w:rtl/>
        </w:rPr>
        <w:t>משום זה</w:t>
      </w:r>
      <w:r w:rsidRPr="00A13B37">
        <w:rPr>
          <w:rtl/>
        </w:rPr>
        <w:t xml:space="preserve"> ס"ל שאין רשאי להפסיק בשתיית יין. </w:t>
      </w:r>
    </w:p>
    <w:p w:rsidR="007D68AC" w:rsidRPr="00A13B37" w:rsidRDefault="007D68AC" w:rsidP="00F146A6">
      <w:pPr>
        <w:pStyle w:val="a3"/>
        <w:rPr>
          <w:rtl/>
        </w:rPr>
      </w:pPr>
      <w:r w:rsidRPr="00A13B37">
        <w:rPr>
          <w:rtl/>
        </w:rPr>
        <w:t xml:space="preserve">אבל בעל המאור </w:t>
      </w:r>
      <w:r w:rsidRPr="00A13B37">
        <w:rPr>
          <w:rFonts w:hint="cs"/>
          <w:rtl/>
        </w:rPr>
        <w:t>יש לומר ד</w:t>
      </w:r>
      <w:r w:rsidRPr="00A13B37">
        <w:rPr>
          <w:rtl/>
        </w:rPr>
        <w:t>ס"ל שכל ענין המזיגה הוא רק כדי להתמיה התינוקות שישאלו מה נשתנה. אבל אין דין אמיר</w:t>
      </w:r>
      <w:r w:rsidRPr="00A13B37">
        <w:rPr>
          <w:rFonts w:hint="cs"/>
          <w:rtl/>
        </w:rPr>
        <w:t>ת ההגדה</w:t>
      </w:r>
      <w:r w:rsidRPr="00A13B37">
        <w:rPr>
          <w:rtl/>
        </w:rPr>
        <w:t xml:space="preserve"> על הכוס</w:t>
      </w:r>
      <w:r w:rsidRPr="00A13B37">
        <w:rPr>
          <w:rFonts w:hint="cs"/>
          <w:rtl/>
        </w:rPr>
        <w:t xml:space="preserve"> וכדעת הטור והשו"ע.</w:t>
      </w:r>
      <w:r w:rsidRPr="00A13B37">
        <w:rPr>
          <w:rtl/>
        </w:rPr>
        <w:t xml:space="preserve"> ולכ</w:t>
      </w:r>
      <w:r w:rsidRPr="00A13B37">
        <w:rPr>
          <w:rFonts w:hint="cs"/>
          <w:rtl/>
        </w:rPr>
        <w:t>ן</w:t>
      </w:r>
      <w:r w:rsidRPr="00A13B37">
        <w:rPr>
          <w:rtl/>
        </w:rPr>
        <w:t xml:space="preserve"> ס"ל שיכול להפסיק בשתיה אף שכבר מזג כוס השני משום שאין זה נקרא הפסק במצוות הכוס כי </w:t>
      </w:r>
      <w:r w:rsidRPr="00A13B37">
        <w:rPr>
          <w:rFonts w:hint="cs"/>
          <w:rtl/>
        </w:rPr>
        <w:t xml:space="preserve">לשיטתו </w:t>
      </w:r>
      <w:r w:rsidRPr="00A13B37">
        <w:rPr>
          <w:rtl/>
        </w:rPr>
        <w:t>אין כלל דין אמירת ההגדה על הכוס.</w:t>
      </w:r>
    </w:p>
    <w:p w:rsidR="007D68AC" w:rsidRPr="00A13B37" w:rsidRDefault="007D68AC" w:rsidP="00F146A6">
      <w:pPr>
        <w:pStyle w:val="a3"/>
        <w:rPr>
          <w:rtl/>
        </w:rPr>
      </w:pPr>
      <w:r w:rsidRPr="00A13B37">
        <w:rPr>
          <w:rtl/>
        </w:rPr>
        <w:t xml:space="preserve">ועיין ברבינו דוד קט. בד"ה רבינא אמר שהביא </w:t>
      </w:r>
      <w:r w:rsidRPr="00A13B37">
        <w:rPr>
          <w:rFonts w:hint="cs"/>
          <w:rtl/>
        </w:rPr>
        <w:t xml:space="preserve">את </w:t>
      </w:r>
      <w:r w:rsidRPr="00A13B37">
        <w:rPr>
          <w:rtl/>
        </w:rPr>
        <w:t>דברי בעל המאור הנ"ל וכתב: "ואין זה כלום שאם אמרו בין הכוסות אין לומר שישתה באמצע הכוס שאינו בדין שימזוג את הכוס לספר עליו ביציאת מצרים שהוא מצוה מן התורה וישתה אותו עד שלא תגמור מצותו כסדר שתקנו חכמים".</w:t>
      </w:r>
    </w:p>
    <w:p w:rsidR="007D68AC" w:rsidRPr="00A13B37" w:rsidRDefault="007D68AC" w:rsidP="00F146A6">
      <w:pPr>
        <w:pStyle w:val="a3"/>
        <w:rPr>
          <w:rtl/>
        </w:rPr>
      </w:pPr>
      <w:r w:rsidRPr="00A13B37">
        <w:rPr>
          <w:rtl/>
        </w:rPr>
        <w:t>ו</w:t>
      </w:r>
      <w:r w:rsidRPr="00A13B37">
        <w:rPr>
          <w:rFonts w:hint="cs"/>
          <w:rtl/>
        </w:rPr>
        <w:t>משמ</w:t>
      </w:r>
      <w:r>
        <w:rPr>
          <w:rFonts w:hint="cs"/>
          <w:rtl/>
        </w:rPr>
        <w:t>ע</w:t>
      </w:r>
      <w:r w:rsidRPr="00A13B37">
        <w:rPr>
          <w:rFonts w:hint="cs"/>
          <w:rtl/>
        </w:rPr>
        <w:t xml:space="preserve"> ד</w:t>
      </w:r>
      <w:r w:rsidRPr="00A13B37">
        <w:rPr>
          <w:rtl/>
        </w:rPr>
        <w:t xml:space="preserve">בעיקר </w:t>
      </w:r>
      <w:r w:rsidRPr="00A13B37">
        <w:rPr>
          <w:rFonts w:hint="cs"/>
          <w:rtl/>
        </w:rPr>
        <w:t>הדברים ס"ל</w:t>
      </w:r>
      <w:r w:rsidRPr="00A13B37">
        <w:rPr>
          <w:rtl/>
        </w:rPr>
        <w:t xml:space="preserve"> </w:t>
      </w:r>
      <w:r w:rsidRPr="00A13B37">
        <w:rPr>
          <w:rFonts w:hint="cs"/>
          <w:rtl/>
        </w:rPr>
        <w:t xml:space="preserve">לרבינו דוד </w:t>
      </w:r>
      <w:r w:rsidRPr="00A13B37">
        <w:rPr>
          <w:rtl/>
        </w:rPr>
        <w:t xml:space="preserve">כהר"ן והרמב"ן. </w:t>
      </w:r>
      <w:r w:rsidRPr="00A13B37">
        <w:rPr>
          <w:rFonts w:hint="cs"/>
          <w:rtl/>
        </w:rPr>
        <w:t>וכן משמע ממש"כ</w:t>
      </w:r>
      <w:r w:rsidRPr="00A13B37">
        <w:rPr>
          <w:rtl/>
        </w:rPr>
        <w:t xml:space="preserve"> לעיל מזה </w:t>
      </w:r>
      <w:r w:rsidRPr="00A13B37">
        <w:rPr>
          <w:rFonts w:hint="cs"/>
          <w:rtl/>
        </w:rPr>
        <w:t>ד</w:t>
      </w:r>
      <w:r w:rsidRPr="00A13B37">
        <w:rPr>
          <w:rtl/>
        </w:rPr>
        <w:t xml:space="preserve">"כיון שתקנו כל חד למצותו זה לקדוש וזה </w:t>
      </w:r>
      <w:r w:rsidRPr="00A13B37">
        <w:rPr>
          <w:b/>
          <w:bCs/>
          <w:rtl/>
        </w:rPr>
        <w:t>לספור ההגדה</w:t>
      </w:r>
      <w:r w:rsidRPr="00A13B37">
        <w:rPr>
          <w:rtl/>
        </w:rPr>
        <w:t xml:space="preserve"> וזה לברכת המזון וזה להלל". אולם יש בדבריו חידוש במה שנראה שהבין מדברי בעל המאור דס"ל שהכוס עצמו יכול לשתות באמצע אמירת ההגדה שכתב "וישתה אותו" וזהו חידוש גדול שיסבור בעל המאור שיוכל לשתות הכוס עצמו באמצע אמירת ההגדה. </w:t>
      </w:r>
    </w:p>
    <w:p w:rsidR="007D68AC" w:rsidRPr="00A13B37" w:rsidRDefault="007D68AC" w:rsidP="00F146A6">
      <w:pPr>
        <w:pStyle w:val="a3"/>
        <w:rPr>
          <w:rtl/>
        </w:rPr>
      </w:pPr>
      <w:r w:rsidRPr="00A13B37">
        <w:rPr>
          <w:rFonts w:hint="cs"/>
          <w:rtl/>
        </w:rPr>
        <w:t>ו</w:t>
      </w:r>
      <w:r w:rsidRPr="00A13B37">
        <w:rPr>
          <w:rtl/>
        </w:rPr>
        <w:t xml:space="preserve">להנ"ל </w:t>
      </w:r>
      <w:r w:rsidRPr="00A13B37">
        <w:rPr>
          <w:rFonts w:hint="cs"/>
          <w:rtl/>
        </w:rPr>
        <w:t>יומתק,</w:t>
      </w:r>
      <w:r w:rsidRPr="00A13B37">
        <w:rPr>
          <w:rtl/>
        </w:rPr>
        <w:t xml:space="preserve"> דכיון שלשיטת</w:t>
      </w:r>
      <w:r w:rsidRPr="00A13B37">
        <w:rPr>
          <w:rFonts w:hint="cs"/>
          <w:rtl/>
        </w:rPr>
        <w:t xml:space="preserve"> בעל המאור</w:t>
      </w:r>
      <w:r w:rsidRPr="00A13B37">
        <w:rPr>
          <w:rtl/>
        </w:rPr>
        <w:t xml:space="preserve"> אין כלל דין אמירה על הכוס ומה שמוזגים </w:t>
      </w:r>
      <w:r w:rsidRPr="00A13B37">
        <w:rPr>
          <w:rFonts w:hint="cs"/>
          <w:rtl/>
        </w:rPr>
        <w:t xml:space="preserve">קודם </w:t>
      </w:r>
      <w:r w:rsidRPr="00A13B37">
        <w:rPr>
          <w:rtl/>
        </w:rPr>
        <w:t>הוא רק כדי להתמיה התינוקות הרי ש</w:t>
      </w:r>
      <w:r w:rsidRPr="00A13B37">
        <w:rPr>
          <w:rFonts w:hint="cs"/>
          <w:rtl/>
        </w:rPr>
        <w:t>אין סברא לחלק בין כוס זה לכוס אחר.</w:t>
      </w:r>
    </w:p>
    <w:p w:rsidR="007D68AC" w:rsidRPr="00A13B37" w:rsidRDefault="007D68AC" w:rsidP="00F146A6">
      <w:pPr>
        <w:pStyle w:val="11"/>
        <w:bidi/>
        <w:rPr>
          <w:rtl/>
        </w:rPr>
      </w:pPr>
      <w:r>
        <w:rPr>
          <w:rFonts w:hint="cs"/>
          <w:rtl/>
        </w:rPr>
        <w:t>ד.</w:t>
      </w:r>
    </w:p>
    <w:p w:rsidR="007D68AC" w:rsidRPr="00A13B37" w:rsidRDefault="007D68AC" w:rsidP="00F146A6">
      <w:pPr>
        <w:pStyle w:val="a3"/>
        <w:rPr>
          <w:rtl/>
        </w:rPr>
      </w:pPr>
      <w:r w:rsidRPr="00A13B37">
        <w:rPr>
          <w:rtl/>
        </w:rPr>
        <w:t xml:space="preserve">והנה </w:t>
      </w:r>
      <w:r w:rsidRPr="00A13B37">
        <w:rPr>
          <w:rFonts w:hint="cs"/>
          <w:rtl/>
        </w:rPr>
        <w:t xml:space="preserve">כאמור </w:t>
      </w:r>
      <w:r w:rsidRPr="00A13B37">
        <w:rPr>
          <w:rtl/>
        </w:rPr>
        <w:t>דברי רבינו הזקן בשולחן ערוך בענין זה לכאורה נראים כסותרים, דבסימן תעג סעיף מ כתב וז"ל: "ואף על פי שאין צריך לאחוז הכוס בידו עד שיגיע ללפיכך כמו שיתבאר אף על פי כן צריך למזוג מיד קודם התחלת אמירת ההגדה כדי שישאלו התינוקות למה שותין כוס שני קודם הסעודה שאין דרך לשתות כן בכל ימות השנה ועל ידי כך יתעוררו לשאול גם כן שאר השאלות מה נשתנה וכו' לקיים לבניו מה שנאמר כי ישאלך בנך מחר לאמר מה העדות והחוקים והמשפטים וגו' ואמרת לבנך עבדים היינו וכו'".</w:t>
      </w:r>
    </w:p>
    <w:p w:rsidR="007D68AC" w:rsidRPr="00A13B37" w:rsidRDefault="007D68AC" w:rsidP="00F146A6">
      <w:pPr>
        <w:pStyle w:val="a3"/>
        <w:rPr>
          <w:rtl/>
        </w:rPr>
      </w:pPr>
      <w:r w:rsidRPr="00A13B37">
        <w:rPr>
          <w:rtl/>
        </w:rPr>
        <w:t>ומבואר מדבריו דס"ל כמו שכתב המחבר שאין דין אמירה על הכוס אלא מלפיכך. ואע"פ כן צריך למזוג קודם ההגדה כדי להתמיה התינוקות.</w:t>
      </w:r>
    </w:p>
    <w:p w:rsidR="007D68AC" w:rsidRPr="00A13B37" w:rsidRDefault="007D68AC" w:rsidP="00F146A6">
      <w:pPr>
        <w:pStyle w:val="a3"/>
        <w:rPr>
          <w:rtl/>
        </w:rPr>
      </w:pPr>
      <w:r w:rsidRPr="00A13B37">
        <w:rPr>
          <w:rtl/>
        </w:rPr>
        <w:t xml:space="preserve">אולם בסי' תע"ב סעיף כ"ה כתב וז"ל: "ואף הקטנים חייב אביהם לחנכם במצות </w:t>
      </w:r>
      <w:r w:rsidRPr="00A13B37">
        <w:rPr>
          <w:rtl/>
        </w:rPr>
        <w:lastRenderedPageBreak/>
        <w:t xml:space="preserve">להשקותם כוסות על הסדר שיתבאר אם כבר הגיעו לחינוך (דהיינו שהגיעו לזמן שראוי לחנכם לשמוע הדברים שאומרים על הכוסות כגון שהן יודעין מענין קדושת יום טוב ולכן ראוי לחנכם לשמוע הקידוש שאומרים על כוס ראשון (עיין סי' רס''ט) וגם יש בהן דעת להבין מה שמספרים להם מיציאת מצרים באמירת ההגדה ולכן ראוי לחנכם </w:t>
      </w:r>
      <w:r w:rsidRPr="00A13B37">
        <w:rPr>
          <w:b/>
          <w:bCs/>
          <w:rtl/>
        </w:rPr>
        <w:t>לשמוע ההגדה שאומרים על כוס שני"</w:t>
      </w:r>
      <w:r w:rsidRPr="00A13B37">
        <w:rPr>
          <w:rtl/>
        </w:rPr>
        <w:t>. עכ"ל. ומשמע שאמירת ההגדה וסיפור יציאת מצרים צריכים לאמרם על הכוס. ולכאורה זה סותר דבריו בסי' תע"ג דשם משמע דס"ל כהמחבר וכאן משמע כהרמב"ם. וצ"ע.</w:t>
      </w:r>
    </w:p>
    <w:p w:rsidR="007D68AC" w:rsidRPr="00105D4F" w:rsidRDefault="007D68AC" w:rsidP="00F146A6">
      <w:pPr>
        <w:pStyle w:val="a3"/>
        <w:rPr>
          <w:rtl/>
        </w:rPr>
      </w:pPr>
      <w:r w:rsidRPr="00A13B37">
        <w:rPr>
          <w:rtl/>
        </w:rPr>
        <w:t xml:space="preserve">ונראה לומר בשיטת </w:t>
      </w:r>
      <w:r w:rsidRPr="00A13B37">
        <w:rPr>
          <w:rFonts w:hint="cs"/>
          <w:rtl/>
        </w:rPr>
        <w:t>רבינו</w:t>
      </w:r>
      <w:r w:rsidRPr="00A13B37">
        <w:rPr>
          <w:rtl/>
        </w:rPr>
        <w:t xml:space="preserve"> הזקן, דבעיקר הדבר ס"ל כהמחבר דכל מה שתקנו למזוג כוס שני מיד קודם לאמירת ההגדה הוא כדי שיתמהו התינוקות וישאלו מה נשתנה. ולא משום שסיפור ההגדה צריך לאמרו על הכוס</w:t>
      </w:r>
      <w:r w:rsidRPr="00A13B37">
        <w:rPr>
          <w:rFonts w:hint="cs"/>
          <w:rtl/>
        </w:rPr>
        <w:t>.</w:t>
      </w:r>
      <w:r w:rsidRPr="00A13B37">
        <w:rPr>
          <w:rtl/>
        </w:rPr>
        <w:t xml:space="preserve"> ומה שכתב בסימן </w:t>
      </w:r>
      <w:r>
        <w:rPr>
          <w:rtl/>
        </w:rPr>
        <w:t>תע»ב</w:t>
      </w:r>
      <w:r w:rsidRPr="00A13B37">
        <w:rPr>
          <w:rtl/>
        </w:rPr>
        <w:t xml:space="preserve"> בנוגע לחינוך הבנים בארבע כוסות שהוא משום ש"יש בהן דעת להבין מה שמספרים להם </w:t>
      </w:r>
      <w:r>
        <w:rPr>
          <w:rFonts w:hint="cs"/>
          <w:rtl/>
        </w:rPr>
        <w:t xml:space="preserve">וכו' </w:t>
      </w:r>
      <w:r w:rsidRPr="00A13B37">
        <w:rPr>
          <w:rtl/>
        </w:rPr>
        <w:t>ולכן ראוי לחנכם לשמוע ההגדה שאומרים על כוס שני".</w:t>
      </w:r>
      <w:r w:rsidRPr="00A13B37">
        <w:rPr>
          <w:rFonts w:hint="cs"/>
          <w:rtl/>
        </w:rPr>
        <w:t xml:space="preserve"> הוא משום</w:t>
      </w:r>
      <w:r w:rsidRPr="00A13B37">
        <w:rPr>
          <w:rtl/>
        </w:rPr>
        <w:t xml:space="preserve"> שמ"מ </w:t>
      </w:r>
      <w:r>
        <w:rPr>
          <w:rFonts w:hint="cs"/>
          <w:rtl/>
        </w:rPr>
        <w:t xml:space="preserve">כך </w:t>
      </w:r>
      <w:r w:rsidRPr="00A13B37">
        <w:rPr>
          <w:rtl/>
        </w:rPr>
        <w:t>היתה התקנה שימזגו</w:t>
      </w:r>
      <w:r>
        <w:rPr>
          <w:rFonts w:hint="cs"/>
          <w:rtl/>
        </w:rPr>
        <w:t xml:space="preserve"> את הכוס</w:t>
      </w:r>
      <w:r w:rsidRPr="00A13B37">
        <w:rPr>
          <w:rtl/>
        </w:rPr>
        <w:t xml:space="preserve"> קודם אמירת ההגדה, </w:t>
      </w:r>
      <w:r w:rsidRPr="00A13B37">
        <w:rPr>
          <w:rFonts w:hint="cs"/>
          <w:rtl/>
        </w:rPr>
        <w:t>ו</w:t>
      </w:r>
      <w:r w:rsidRPr="00A13B37">
        <w:rPr>
          <w:rtl/>
        </w:rPr>
        <w:t xml:space="preserve">נמצא </w:t>
      </w:r>
      <w:r>
        <w:rPr>
          <w:rFonts w:hint="cs"/>
          <w:rtl/>
        </w:rPr>
        <w:t>ד</w:t>
      </w:r>
      <w:r w:rsidRPr="00A13B37">
        <w:rPr>
          <w:rFonts w:hint="cs"/>
          <w:rtl/>
        </w:rPr>
        <w:t>סוף סוף תקנת חכמים</w:t>
      </w:r>
      <w:r w:rsidRPr="00A13B37">
        <w:rPr>
          <w:rtl/>
        </w:rPr>
        <w:t xml:space="preserve"> שיאמרו ההגדה על הכוס. </w:t>
      </w:r>
      <w:r w:rsidRPr="00A13B37">
        <w:rPr>
          <w:b/>
          <w:bCs/>
          <w:rtl/>
        </w:rPr>
        <w:t>ואף שסיבת התקנה אינה משום שצריך לאמרה על הכוס</w:t>
      </w:r>
      <w:r w:rsidRPr="00A13B37">
        <w:rPr>
          <w:rtl/>
        </w:rPr>
        <w:t xml:space="preserve">, מ"מ כך הייתה התקנה שימזגו את הכוס מתחילת ההגדה וישתוה רק לאחר שמסיימים ברכת אשר גאלנו. </w:t>
      </w:r>
    </w:p>
    <w:p w:rsidR="007D68AC" w:rsidRPr="00A13B37" w:rsidRDefault="007D68AC" w:rsidP="00F146A6">
      <w:pPr>
        <w:pStyle w:val="11"/>
        <w:bidi/>
        <w:rPr>
          <w:rtl/>
        </w:rPr>
      </w:pPr>
      <w:r>
        <w:rPr>
          <w:rFonts w:hint="cs"/>
          <w:rtl/>
        </w:rPr>
        <w:t>ה.</w:t>
      </w:r>
    </w:p>
    <w:p w:rsidR="007D68AC" w:rsidRDefault="007D68AC" w:rsidP="00F146A6">
      <w:pPr>
        <w:pStyle w:val="a3"/>
        <w:rPr>
          <w:rtl/>
        </w:rPr>
      </w:pPr>
      <w:r w:rsidRPr="00A13B37">
        <w:rPr>
          <w:rFonts w:hint="cs"/>
          <w:rtl/>
        </w:rPr>
        <w:t xml:space="preserve">אכן </w:t>
      </w:r>
      <w:r w:rsidRPr="00A13B37">
        <w:rPr>
          <w:rtl/>
        </w:rPr>
        <w:t>יותר נראה לומר</w:t>
      </w:r>
      <w:r>
        <w:rPr>
          <w:rFonts w:hint="cs"/>
          <w:rtl/>
        </w:rPr>
        <w:t>,</w:t>
      </w:r>
      <w:r w:rsidRPr="00A13B37">
        <w:rPr>
          <w:rtl/>
        </w:rPr>
        <w:t xml:space="preserve"> ובהקדם דקדוק </w:t>
      </w:r>
      <w:r w:rsidRPr="00A13B37">
        <w:rPr>
          <w:rFonts w:hint="cs"/>
          <w:rtl/>
        </w:rPr>
        <w:t>ב</w:t>
      </w:r>
      <w:r w:rsidRPr="00A13B37">
        <w:rPr>
          <w:rtl/>
        </w:rPr>
        <w:t>דברי רבינו הזקן</w:t>
      </w:r>
      <w:r>
        <w:rPr>
          <w:rFonts w:hint="cs"/>
          <w:rtl/>
        </w:rPr>
        <w:t>,</w:t>
      </w:r>
      <w:r w:rsidRPr="00A13B37">
        <w:rPr>
          <w:rtl/>
        </w:rPr>
        <w:t xml:space="preserve"> דהנה בתחילת דבריו שם בסימן תע</w:t>
      </w:r>
      <w:r>
        <w:rPr>
          <w:rFonts w:hint="cs"/>
          <w:rtl/>
        </w:rPr>
        <w:t>"</w:t>
      </w:r>
      <w:r w:rsidRPr="00A13B37">
        <w:rPr>
          <w:rtl/>
        </w:rPr>
        <w:t xml:space="preserve">ב כתב שצריכים לחנך את הקטנים </w:t>
      </w:r>
      <w:r>
        <w:rPr>
          <w:rFonts w:hint="cs"/>
          <w:rtl/>
        </w:rPr>
        <w:t>"</w:t>
      </w:r>
      <w:r w:rsidRPr="00A13B37">
        <w:rPr>
          <w:rtl/>
        </w:rPr>
        <w:t>להשקותם כוסות</w:t>
      </w:r>
      <w:r>
        <w:rPr>
          <w:rFonts w:hint="cs"/>
          <w:rtl/>
        </w:rPr>
        <w:t>",</w:t>
      </w:r>
      <w:r w:rsidRPr="00A13B37">
        <w:rPr>
          <w:rtl/>
        </w:rPr>
        <w:t xml:space="preserve"> ובהמשך בחצאי עיגול מבאר את החיוב שלהם </w:t>
      </w:r>
      <w:r w:rsidRPr="0094742C">
        <w:rPr>
          <w:b/>
          <w:bCs/>
          <w:rtl/>
        </w:rPr>
        <w:t>לשמוע את הדברים שנאמרים</w:t>
      </w:r>
      <w:r w:rsidRPr="00A13B37">
        <w:rPr>
          <w:rtl/>
        </w:rPr>
        <w:t xml:space="preserve"> על הכוס ואינו מדבר על עצם </w:t>
      </w:r>
      <w:r w:rsidRPr="0094742C">
        <w:rPr>
          <w:b/>
          <w:bCs/>
          <w:rtl/>
        </w:rPr>
        <w:t>חיוב שתיית הד' כוסות</w:t>
      </w:r>
      <w:r w:rsidRPr="00A13B37">
        <w:rPr>
          <w:rtl/>
        </w:rPr>
        <w:t>. ונראה</w:t>
      </w:r>
      <w:r w:rsidRPr="00A13B37">
        <w:rPr>
          <w:rFonts w:hint="cs"/>
          <w:rtl/>
        </w:rPr>
        <w:t xml:space="preserve"> שלא</w:t>
      </w:r>
      <w:r w:rsidRPr="00A13B37">
        <w:rPr>
          <w:rtl/>
        </w:rPr>
        <w:t xml:space="preserve"> </w:t>
      </w:r>
      <w:r w:rsidRPr="00A13B37">
        <w:rPr>
          <w:rFonts w:hint="cs"/>
          <w:rtl/>
        </w:rPr>
        <w:t>נתכוין</w:t>
      </w:r>
      <w:r w:rsidRPr="00A13B37">
        <w:rPr>
          <w:rtl/>
        </w:rPr>
        <w:t xml:space="preserve"> </w:t>
      </w:r>
      <w:r w:rsidRPr="00A13B37">
        <w:rPr>
          <w:rFonts w:hint="cs"/>
          <w:rtl/>
        </w:rPr>
        <w:t xml:space="preserve">דהחיוב </w:t>
      </w:r>
      <w:r w:rsidRPr="00A13B37">
        <w:rPr>
          <w:rtl/>
        </w:rPr>
        <w:t xml:space="preserve">לחנך </w:t>
      </w:r>
      <w:r>
        <w:rPr>
          <w:rFonts w:hint="cs"/>
          <w:rtl/>
        </w:rPr>
        <w:t xml:space="preserve">את </w:t>
      </w:r>
      <w:r w:rsidRPr="00A13B37">
        <w:rPr>
          <w:rtl/>
        </w:rPr>
        <w:t>הקטנים לשמוע את מה שאומרים על הכוסות</w:t>
      </w:r>
      <w:r w:rsidRPr="00A13B37">
        <w:rPr>
          <w:rFonts w:hint="cs"/>
          <w:rtl/>
        </w:rPr>
        <w:t xml:space="preserve">, הוא מצד עצם הדברים הנאמרים עליהם. </w:t>
      </w:r>
      <w:r w:rsidRPr="00A13B37">
        <w:rPr>
          <w:rtl/>
        </w:rPr>
        <w:t xml:space="preserve">אלא </w:t>
      </w:r>
      <w:r w:rsidRPr="00A13B37">
        <w:rPr>
          <w:rFonts w:hint="cs"/>
          <w:rtl/>
        </w:rPr>
        <w:t xml:space="preserve">שהחיוב לחנכם לשמוע, הוא רק משום </w:t>
      </w:r>
      <w:r w:rsidRPr="00A13B37">
        <w:rPr>
          <w:rtl/>
        </w:rPr>
        <w:t xml:space="preserve">שצריך שהד' כוסות יהיה על הסדר. דז"ל "ואף הקטנים חייב אביהם לחנכם במצות להשקותם כוסות </w:t>
      </w:r>
      <w:r w:rsidRPr="00A13B37">
        <w:rPr>
          <w:b/>
          <w:bCs/>
          <w:rtl/>
        </w:rPr>
        <w:t>על הסדר שיתבאר</w:t>
      </w:r>
      <w:r w:rsidRPr="00A13B37">
        <w:rPr>
          <w:rtl/>
        </w:rPr>
        <w:t>" וכו' והיינו שלא די לחנך את הקטנים לשתות ד' כוסות אלא שצריך שהד' כוסות יהיו על הסדר.</w:t>
      </w:r>
      <w:r>
        <w:rPr>
          <w:rFonts w:hint="cs"/>
          <w:rtl/>
        </w:rPr>
        <w:t xml:space="preserve"> ומשום זה צריך שישמעו את הדברים הנאמרים על הכוסות.</w:t>
      </w:r>
    </w:p>
    <w:p w:rsidR="007D68AC" w:rsidRPr="00A13B37" w:rsidRDefault="007D68AC" w:rsidP="00F146A6">
      <w:pPr>
        <w:pStyle w:val="a3"/>
        <w:rPr>
          <w:rtl/>
        </w:rPr>
      </w:pPr>
      <w:r w:rsidRPr="00A13B37">
        <w:rPr>
          <w:rFonts w:hint="cs"/>
          <w:rtl/>
        </w:rPr>
        <w:t xml:space="preserve">והטעם הוא כמ"ש </w:t>
      </w:r>
      <w:r w:rsidRPr="00A13B37">
        <w:rPr>
          <w:rtl/>
        </w:rPr>
        <w:t>ב</w:t>
      </w:r>
      <w:r w:rsidRPr="00A13B37">
        <w:rPr>
          <w:rFonts w:hint="cs"/>
          <w:rtl/>
        </w:rPr>
        <w:t xml:space="preserve">סי' </w:t>
      </w:r>
      <w:r w:rsidRPr="00A13B37">
        <w:rPr>
          <w:rtl/>
        </w:rPr>
        <w:t>תע"ב סעיף טז</w:t>
      </w:r>
      <w:r w:rsidRPr="00A13B37">
        <w:rPr>
          <w:rFonts w:hint="cs"/>
          <w:rtl/>
        </w:rPr>
        <w:t xml:space="preserve">: </w:t>
      </w:r>
      <w:r w:rsidRPr="00A13B37">
        <w:rPr>
          <w:rtl/>
        </w:rPr>
        <w:t>"צריך לשתות הד' כוסות על הסדר שיתבאר דהיינו שבין כוס ראשון לשני ובין שלישי לרביעי יפסיק באמירת ההגדה וההלל ובין שני לשלישי יפסיק באכילת מצה וברכת המזון ואם לא הפסיק ביניהם בדברים הללו אלא שתה ד' כוסות זה אחר זה לא יצא ידי ד' כוסות אלא כולן נחשבין לו לכוס אחד וחייב לשתות עוד ג' כוסות על הסדר שיתבאר".</w:t>
      </w:r>
    </w:p>
    <w:p w:rsidR="007D68AC" w:rsidRPr="00A13B37" w:rsidRDefault="007D68AC" w:rsidP="00F146A6">
      <w:pPr>
        <w:pStyle w:val="a3"/>
        <w:rPr>
          <w:rtl/>
        </w:rPr>
      </w:pPr>
      <w:r w:rsidRPr="00A13B37">
        <w:rPr>
          <w:rtl/>
        </w:rPr>
        <w:t>והיינו דדין ד' כוסות נאמר דווקא אם שותה אותו על הסדר</w:t>
      </w:r>
      <w:r w:rsidRPr="00A13B37">
        <w:rPr>
          <w:rFonts w:hint="cs"/>
          <w:rtl/>
        </w:rPr>
        <w:t xml:space="preserve">, </w:t>
      </w:r>
      <w:r w:rsidRPr="00A13B37">
        <w:rPr>
          <w:rtl/>
        </w:rPr>
        <w:t xml:space="preserve">וכפירוש הרשב"ם בפסחים קח: "שתאן בבת אחת רב אמר ידי ארבע כוסות לא יצא" ופי' הרשב"ם "ונ"ל </w:t>
      </w:r>
      <w:r w:rsidRPr="00A13B37">
        <w:rPr>
          <w:rtl/>
        </w:rPr>
        <w:lastRenderedPageBreak/>
        <w:t xml:space="preserve">דהכי פירושו בבת אחת שלא על סדר משנתינו" ע"כ. (ודלא כפרש"י </w:t>
      </w:r>
      <w:r w:rsidRPr="00A13B37">
        <w:rPr>
          <w:rFonts w:hint="cs"/>
          <w:rtl/>
        </w:rPr>
        <w:t>שם</w:t>
      </w:r>
      <w:r w:rsidRPr="00A13B37">
        <w:rPr>
          <w:rtl/>
        </w:rPr>
        <w:t xml:space="preserve">). </w:t>
      </w:r>
    </w:p>
    <w:p w:rsidR="007D68AC" w:rsidRDefault="007D68AC" w:rsidP="00F146A6">
      <w:pPr>
        <w:pStyle w:val="a3"/>
        <w:rPr>
          <w:rtl/>
        </w:rPr>
      </w:pPr>
      <w:r w:rsidRPr="00A13B37">
        <w:rPr>
          <w:rtl/>
        </w:rPr>
        <w:t>וזהו שבא אדמוה"ז בסעיף כ"ה לומר שאף את הקטנים צריכים לחנך להשקותם כוסות על הסדר ומבאר שם בסוגריים : "דהיינו שהגיעו לזמן שראוי לחנכם לשמוע הדברים שאומרים על הכוסות" והיינו שאין הכוונה כאן מצד החיוב לחנכם לשמוע קידוש וברכת המזון וכו' אלא מדין ד' כוסות</w:t>
      </w:r>
      <w:r w:rsidRPr="00A13B37">
        <w:rPr>
          <w:rFonts w:hint="cs"/>
          <w:rtl/>
        </w:rPr>
        <w:t>.</w:t>
      </w:r>
      <w:r w:rsidRPr="00A13B37">
        <w:rPr>
          <w:rtl/>
        </w:rPr>
        <w:t xml:space="preserve"> </w:t>
      </w:r>
    </w:p>
    <w:p w:rsidR="007D68AC" w:rsidRPr="00A13B37" w:rsidRDefault="007D68AC" w:rsidP="00F146A6">
      <w:pPr>
        <w:pStyle w:val="a3"/>
        <w:rPr>
          <w:rtl/>
        </w:rPr>
      </w:pPr>
      <w:r w:rsidRPr="00A13B37">
        <w:rPr>
          <w:rtl/>
        </w:rPr>
        <w:t>ד</w:t>
      </w:r>
      <w:r w:rsidRPr="00A13B37">
        <w:rPr>
          <w:rFonts w:hint="cs"/>
          <w:rtl/>
        </w:rPr>
        <w:t xml:space="preserve">הנה </w:t>
      </w:r>
      <w:r w:rsidRPr="00A13B37">
        <w:rPr>
          <w:rtl/>
        </w:rPr>
        <w:t xml:space="preserve">בכל זה הסימן מדבר רק מענין הסיבה וד' כוסות </w:t>
      </w:r>
      <w:r>
        <w:rPr>
          <w:rFonts w:hint="cs"/>
          <w:rtl/>
        </w:rPr>
        <w:t>וזהו</w:t>
      </w:r>
      <w:r w:rsidRPr="00A13B37">
        <w:rPr>
          <w:rtl/>
        </w:rPr>
        <w:t xml:space="preserve"> </w:t>
      </w:r>
      <w:r>
        <w:rPr>
          <w:rFonts w:hint="cs"/>
          <w:rtl/>
        </w:rPr>
        <w:t>שכותב</w:t>
      </w:r>
      <w:r w:rsidRPr="00A13B37">
        <w:rPr>
          <w:rtl/>
        </w:rPr>
        <w:t xml:space="preserve"> שגם בקטנים שהגיעו לחינוך </w:t>
      </w:r>
      <w:r>
        <w:rPr>
          <w:rFonts w:hint="cs"/>
          <w:rtl/>
        </w:rPr>
        <w:t xml:space="preserve">שייכים לד' כוסות </w:t>
      </w:r>
      <w:r w:rsidRPr="00A13B37">
        <w:rPr>
          <w:rtl/>
        </w:rPr>
        <w:t xml:space="preserve">על הסדר שהרי מבינים מה שאומרים וכו' וא"כ </w:t>
      </w:r>
      <w:r w:rsidRPr="00A13B37">
        <w:rPr>
          <w:rFonts w:hint="cs"/>
          <w:rtl/>
        </w:rPr>
        <w:t>גם אצלם שייך</w:t>
      </w:r>
      <w:r w:rsidRPr="00A13B37">
        <w:rPr>
          <w:rtl/>
        </w:rPr>
        <w:t xml:space="preserve"> "הפסק</w:t>
      </w:r>
      <w:r w:rsidRPr="00A13B37">
        <w:rPr>
          <w:rFonts w:hint="cs"/>
          <w:rtl/>
        </w:rPr>
        <w:t>ות</w:t>
      </w:r>
      <w:r w:rsidRPr="00A13B37">
        <w:rPr>
          <w:rtl/>
        </w:rPr>
        <w:t>"</w:t>
      </w:r>
      <w:r w:rsidRPr="00A13B37">
        <w:rPr>
          <w:rFonts w:hint="cs"/>
          <w:rtl/>
        </w:rPr>
        <w:t xml:space="preserve"> בין הכוסות</w:t>
      </w:r>
      <w:r w:rsidRPr="00A13B37">
        <w:rPr>
          <w:rtl/>
        </w:rPr>
        <w:t>.</w:t>
      </w:r>
    </w:p>
    <w:p w:rsidR="007D68AC" w:rsidRDefault="007D68AC" w:rsidP="00F146A6">
      <w:pPr>
        <w:pStyle w:val="a3"/>
        <w:rPr>
          <w:rtl/>
        </w:rPr>
      </w:pPr>
      <w:r w:rsidRPr="00A13B37">
        <w:rPr>
          <w:rtl/>
        </w:rPr>
        <w:t>(ובזה יש להמתיק קצת מה ש</w:t>
      </w:r>
      <w:r w:rsidRPr="00A13B37">
        <w:rPr>
          <w:rFonts w:hint="cs"/>
          <w:rtl/>
        </w:rPr>
        <w:t xml:space="preserve">ראיתי מקשים </w:t>
      </w:r>
      <w:r w:rsidRPr="00A13B37">
        <w:rPr>
          <w:rtl/>
        </w:rPr>
        <w:t>על לשון</w:t>
      </w:r>
      <w:r w:rsidRPr="00A13B37">
        <w:rPr>
          <w:rFonts w:hint="cs"/>
          <w:rtl/>
        </w:rPr>
        <w:t xml:space="preserve"> אדמוה"ז שכתב</w:t>
      </w:r>
      <w:r w:rsidRPr="00A13B37">
        <w:rPr>
          <w:rtl/>
        </w:rPr>
        <w:t xml:space="preserve"> "ראוי לחנכם לשמוע קידוש" והקשו על זה שהרי נתבאר בהלכות קידוש שיש </w:t>
      </w:r>
      <w:r w:rsidRPr="00A13B37">
        <w:rPr>
          <w:b/>
          <w:bCs/>
          <w:rtl/>
        </w:rPr>
        <w:t>חיוב</w:t>
      </w:r>
      <w:r w:rsidRPr="00A13B37">
        <w:rPr>
          <w:rtl/>
        </w:rPr>
        <w:t xml:space="preserve"> לחנכם לשמוע קידוש. אכן להנ"ל </w:t>
      </w:r>
      <w:r w:rsidRPr="00A13B37">
        <w:rPr>
          <w:rFonts w:hint="cs"/>
          <w:rtl/>
        </w:rPr>
        <w:t xml:space="preserve"> יש לומר ש</w:t>
      </w:r>
      <w:r w:rsidRPr="00A13B37">
        <w:rPr>
          <w:rtl/>
        </w:rPr>
        <w:t>לא בא ללמד כאן עצם חיוב שמיעת הקידוש וכו' אלא רק לענין שגם הם ראויים לשמוע ובמילא הוי להו "הפסק"</w:t>
      </w:r>
      <w:r w:rsidRPr="00A13B37">
        <w:rPr>
          <w:rFonts w:hint="cs"/>
          <w:rtl/>
        </w:rPr>
        <w:t xml:space="preserve"> בין הכוסות</w:t>
      </w:r>
      <w:r w:rsidRPr="00A13B37">
        <w:rPr>
          <w:rtl/>
        </w:rPr>
        <w:t xml:space="preserve">. </w:t>
      </w:r>
      <w:r>
        <w:rPr>
          <w:rFonts w:hint="cs"/>
          <w:rtl/>
        </w:rPr>
        <w:t>אבל</w:t>
      </w:r>
      <w:r w:rsidRPr="00A13B37">
        <w:rPr>
          <w:rFonts w:hint="cs"/>
          <w:rtl/>
        </w:rPr>
        <w:t xml:space="preserve"> </w:t>
      </w:r>
      <w:r w:rsidRPr="00A13B37">
        <w:rPr>
          <w:rtl/>
        </w:rPr>
        <w:t>בהמשך גבי ברכת המזון נקט לשון "חייב לחנכם" וצ"ע).</w:t>
      </w:r>
    </w:p>
    <w:p w:rsidR="007D68AC" w:rsidRPr="00A13B37" w:rsidRDefault="007D68AC" w:rsidP="00F146A6">
      <w:pPr>
        <w:pStyle w:val="11"/>
        <w:bidi/>
        <w:rPr>
          <w:rtl/>
        </w:rPr>
      </w:pPr>
      <w:r>
        <w:rPr>
          <w:rFonts w:hint="cs"/>
          <w:rtl/>
        </w:rPr>
        <w:t>ו.</w:t>
      </w:r>
    </w:p>
    <w:p w:rsidR="007D68AC" w:rsidRPr="00A13B37" w:rsidRDefault="007D68AC" w:rsidP="00F146A6">
      <w:pPr>
        <w:pStyle w:val="a3"/>
        <w:rPr>
          <w:rtl/>
        </w:rPr>
      </w:pPr>
      <w:r w:rsidRPr="00A13B37">
        <w:rPr>
          <w:rFonts w:hint="cs"/>
          <w:rtl/>
        </w:rPr>
        <w:t xml:space="preserve">אלא דעדיין יש לדקדק אמאי </w:t>
      </w:r>
      <w:r w:rsidRPr="00A13B37">
        <w:rPr>
          <w:rtl/>
        </w:rPr>
        <w:t>בהלכה ט</w:t>
      </w:r>
      <w:r>
        <w:rPr>
          <w:rFonts w:hint="cs"/>
          <w:rtl/>
        </w:rPr>
        <w:t>"</w:t>
      </w:r>
      <w:r w:rsidRPr="00A13B37">
        <w:rPr>
          <w:rtl/>
        </w:rPr>
        <w:t xml:space="preserve">ז </w:t>
      </w:r>
      <w:r w:rsidRPr="00A13B37">
        <w:rPr>
          <w:rFonts w:hint="cs"/>
          <w:rtl/>
        </w:rPr>
        <w:t xml:space="preserve">שמדבר על חיוב הגדולים בארבע כוסות </w:t>
      </w:r>
      <w:r w:rsidRPr="00A13B37">
        <w:rPr>
          <w:rtl/>
        </w:rPr>
        <w:t xml:space="preserve">כתב ד"על הסדר" </w:t>
      </w:r>
      <w:r w:rsidRPr="00A13B37">
        <w:rPr>
          <w:rFonts w:hint="cs"/>
          <w:rtl/>
        </w:rPr>
        <w:t>היינו</w:t>
      </w:r>
      <w:r w:rsidRPr="00A13B37">
        <w:rPr>
          <w:rtl/>
        </w:rPr>
        <w:t xml:space="preserve"> שצריך "להפסיק" באמירת ההגדה וההלל וכן באכילת המצה וברכת המזון. ולא כתב ד"על הסדר" הוא שצריך לקדש על כוס ראשון ולאמר ההגדה על כוס שני וברכת המזון על כוס שלישי והלל וברכת השיר על כוס רביעי. ואילו בסעיף כה כשמדבר בחינוך הקטנים נקט על הסדר שראוי שישמעו הקידוש שאומרים על הכוס וכו'.</w:t>
      </w:r>
    </w:p>
    <w:p w:rsidR="007D68AC" w:rsidRPr="00A13B37" w:rsidRDefault="007D68AC" w:rsidP="00F146A6">
      <w:pPr>
        <w:pStyle w:val="a3"/>
        <w:rPr>
          <w:rtl/>
        </w:rPr>
      </w:pPr>
      <w:r w:rsidRPr="00A13B37">
        <w:rPr>
          <w:rtl/>
        </w:rPr>
        <w:t>והנראה דהנה בסימן תע</w:t>
      </w:r>
      <w:r>
        <w:rPr>
          <w:rFonts w:hint="cs"/>
          <w:rtl/>
        </w:rPr>
        <w:t>"</w:t>
      </w:r>
      <w:r w:rsidRPr="00A13B37">
        <w:rPr>
          <w:rtl/>
        </w:rPr>
        <w:t>ב</w:t>
      </w:r>
      <w:r w:rsidRPr="00A13B37">
        <w:rPr>
          <w:rFonts w:hint="cs"/>
          <w:rtl/>
        </w:rPr>
        <w:t xml:space="preserve"> "דיני הסיבה וד' כוסות"</w:t>
      </w:r>
      <w:r w:rsidRPr="00A13B37">
        <w:rPr>
          <w:rtl/>
        </w:rPr>
        <w:t xml:space="preserve"> מדבר בהלכות ארבע כוסות (וההלכה ט</w:t>
      </w:r>
      <w:r>
        <w:rPr>
          <w:rFonts w:hint="cs"/>
          <w:rtl/>
        </w:rPr>
        <w:t>"</w:t>
      </w:r>
      <w:r w:rsidRPr="00A13B37">
        <w:rPr>
          <w:rtl/>
        </w:rPr>
        <w:t>ז שאומר שצריך להיות על הסדר היא ההלכה הראשונה בזה דעד סעיף ט</w:t>
      </w:r>
      <w:r>
        <w:rPr>
          <w:rFonts w:hint="cs"/>
          <w:rtl/>
        </w:rPr>
        <w:t>"</w:t>
      </w:r>
      <w:r w:rsidRPr="00A13B37">
        <w:rPr>
          <w:rtl/>
        </w:rPr>
        <w:t>ז מדבר בהלכות הסיבה ו</w:t>
      </w:r>
      <w:r>
        <w:rPr>
          <w:rFonts w:hint="cs"/>
          <w:rtl/>
        </w:rPr>
        <w:t>ב</w:t>
      </w:r>
      <w:r w:rsidRPr="00A13B37">
        <w:rPr>
          <w:rtl/>
        </w:rPr>
        <w:t>סע</w:t>
      </w:r>
      <w:r>
        <w:rPr>
          <w:rFonts w:hint="cs"/>
          <w:rtl/>
        </w:rPr>
        <w:t>י</w:t>
      </w:r>
      <w:r w:rsidRPr="00A13B37">
        <w:rPr>
          <w:rtl/>
        </w:rPr>
        <w:t>ף ט</w:t>
      </w:r>
      <w:r>
        <w:rPr>
          <w:rFonts w:hint="cs"/>
          <w:rtl/>
        </w:rPr>
        <w:t>"</w:t>
      </w:r>
      <w:r w:rsidRPr="00A13B37">
        <w:rPr>
          <w:rtl/>
        </w:rPr>
        <w:t>ז מתחיל לומר הלכות ארבעה כוסות)</w:t>
      </w:r>
      <w:r>
        <w:rPr>
          <w:rFonts w:hint="cs"/>
          <w:rtl/>
        </w:rPr>
        <w:t>,</w:t>
      </w:r>
      <w:r w:rsidRPr="00A13B37">
        <w:rPr>
          <w:rtl/>
        </w:rPr>
        <w:t xml:space="preserve"> ונראה מדבריו שמדין</w:t>
      </w:r>
      <w:r w:rsidRPr="00A13B37">
        <w:rPr>
          <w:rFonts w:hint="cs"/>
          <w:rtl/>
        </w:rPr>
        <w:t xml:space="preserve"> ארבע</w:t>
      </w:r>
      <w:r w:rsidRPr="00A13B37">
        <w:rPr>
          <w:rtl/>
        </w:rPr>
        <w:t xml:space="preserve"> כוסות אין צריך אלא שיהיה הפסק בדברים הללו (הגדה, הלל, ברכת המזון וכו') דבלא הפסק זה אין זה נחשב לארבע כוסות אלא לכוס אחד. אבל אין חייבים מדין ארבע כוסות לומר ההגדה ההלל וברכת המזון על הכוסות אלא להפסיק ביניהם. </w:t>
      </w:r>
      <w:r>
        <w:rPr>
          <w:rFonts w:hint="cs"/>
          <w:rtl/>
        </w:rPr>
        <w:t>אבל</w:t>
      </w:r>
      <w:r w:rsidRPr="00A13B37">
        <w:rPr>
          <w:rtl/>
        </w:rPr>
        <w:t xml:space="preserve"> בסימנים שלאח"ז מתע</w:t>
      </w:r>
      <w:r>
        <w:rPr>
          <w:rFonts w:hint="cs"/>
          <w:rtl/>
        </w:rPr>
        <w:t>"</w:t>
      </w:r>
      <w:r w:rsidRPr="00A13B37">
        <w:rPr>
          <w:rtl/>
        </w:rPr>
        <w:t xml:space="preserve">ג ואילך שמדבר על דיני הסדר הקידוש וההלל וכו' ומצד דין קידוש </w:t>
      </w:r>
      <w:r w:rsidRPr="0094742C">
        <w:rPr>
          <w:b/>
          <w:bCs/>
          <w:rtl/>
        </w:rPr>
        <w:t>צריך שיהיה על הכוס</w:t>
      </w:r>
      <w:r w:rsidRPr="00A13B37">
        <w:rPr>
          <w:rtl/>
        </w:rPr>
        <w:t>. וכן ההלל משום שאין אומרים שירה אלא על היין ו</w:t>
      </w:r>
      <w:r>
        <w:rPr>
          <w:rFonts w:hint="cs"/>
          <w:rtl/>
        </w:rPr>
        <w:t>עד"ז</w:t>
      </w:r>
      <w:r w:rsidRPr="00A13B37">
        <w:rPr>
          <w:rtl/>
        </w:rPr>
        <w:t xml:space="preserve"> ברכת המזון.</w:t>
      </w:r>
    </w:p>
    <w:p w:rsidR="007D68AC" w:rsidRPr="00A13B37" w:rsidRDefault="007D68AC" w:rsidP="00F146A6">
      <w:pPr>
        <w:pStyle w:val="a3"/>
        <w:rPr>
          <w:rtl/>
        </w:rPr>
      </w:pPr>
      <w:r w:rsidRPr="00A13B37">
        <w:rPr>
          <w:rtl/>
        </w:rPr>
        <w:t xml:space="preserve">ובפסחים קיז: במשנה "מזגו לו כוס שלישי מברך על מזונו" ובגמרא "א"ל רב חנן לרבא ש"מ ברכת המזון טעונה כוס א"ל ארבע כסי תקנו רבנן דרך חירות כל חד וחד נעביד ביה מצוה" וברש"י "כלומר: ראוי שיעשה בו מצוה אבל בשאר ימות השנה לא בעי כוס שאף כאן אין הכוס בא בשביל ברכת המזון" עכ"ל ומבואר שבין למ"ד ברכת </w:t>
      </w:r>
      <w:r w:rsidRPr="00A13B37">
        <w:rPr>
          <w:rtl/>
        </w:rPr>
        <w:lastRenderedPageBreak/>
        <w:t>המזון טעונה כוס ובין למ"ד שאין טעונה כוס, הנה הכוס עצמה אינה לברכת המזון ובלא ברכת המזון על הכוס שפיר יוצאים י"ח ארבע כוסות אלא משום שברכת המזון טעונה כוס לכן צריך לאומרה על הכוס או למ"ד שאין טעונה כוס מ"מ "ראוי שיעשה בה מצוה" אבל מכל מקום "אין הכוס בא בשביל ברכת המזון".</w:t>
      </w:r>
    </w:p>
    <w:p w:rsidR="007D68AC" w:rsidRPr="00A13B37" w:rsidRDefault="007D68AC" w:rsidP="00F146A6">
      <w:pPr>
        <w:pStyle w:val="a3"/>
        <w:rPr>
          <w:rtl/>
        </w:rPr>
      </w:pPr>
      <w:r w:rsidRPr="00A13B37">
        <w:rPr>
          <w:rtl/>
        </w:rPr>
        <w:t>ו</w:t>
      </w:r>
      <w:r w:rsidRPr="00A13B37">
        <w:rPr>
          <w:rFonts w:hint="cs"/>
          <w:rtl/>
        </w:rPr>
        <w:t xml:space="preserve">מכל </w:t>
      </w:r>
      <w:r w:rsidRPr="00A13B37">
        <w:rPr>
          <w:rtl/>
        </w:rPr>
        <w:t>זה יוצא שמדין ד' כוסות אין צריך כלל למזוג קודם ההלל ההגדה וברכת המזון אלא שצריך ששתיית הכוסות יהיו ע"י הפסק</w:t>
      </w:r>
      <w:r w:rsidRPr="00A13B37">
        <w:rPr>
          <w:rFonts w:hint="cs"/>
          <w:rtl/>
        </w:rPr>
        <w:t>ות</w:t>
      </w:r>
      <w:r w:rsidRPr="00A13B37">
        <w:rPr>
          <w:rtl/>
        </w:rPr>
        <w:t xml:space="preserve"> </w:t>
      </w:r>
      <w:r w:rsidRPr="00A13B37">
        <w:rPr>
          <w:rFonts w:hint="cs"/>
          <w:rtl/>
        </w:rPr>
        <w:t>א</w:t>
      </w:r>
      <w:r w:rsidRPr="00A13B37">
        <w:rPr>
          <w:rtl/>
        </w:rPr>
        <w:t xml:space="preserve">לו. ומעתה הרי לענין מצות ארבע כוסות אין דין כלל שיאמרו על הכוסות. ואם כן מה שכתב בסעיף כה בנוגע לחינוך הקטנים ונקט שם "לשמוע הקידוש </w:t>
      </w:r>
      <w:r w:rsidRPr="00A13B37">
        <w:rPr>
          <w:b/>
          <w:bCs/>
          <w:rtl/>
        </w:rPr>
        <w:t xml:space="preserve">שאומרים על </w:t>
      </w:r>
      <w:r w:rsidRPr="00A13B37">
        <w:rPr>
          <w:rtl/>
        </w:rPr>
        <w:t>כוס ראשון" וכן ההגדה "</w:t>
      </w:r>
      <w:r w:rsidRPr="00A13B37">
        <w:rPr>
          <w:b/>
          <w:bCs/>
          <w:rtl/>
        </w:rPr>
        <w:t>שאומרים על</w:t>
      </w:r>
      <w:r w:rsidRPr="00A13B37">
        <w:rPr>
          <w:rtl/>
        </w:rPr>
        <w:t xml:space="preserve"> כוס שני "ברכת המזון </w:t>
      </w:r>
      <w:r w:rsidRPr="00A13B37">
        <w:rPr>
          <w:b/>
          <w:bCs/>
          <w:rtl/>
        </w:rPr>
        <w:t>שאומרים על</w:t>
      </w:r>
      <w:r w:rsidRPr="00A13B37">
        <w:rPr>
          <w:rtl/>
        </w:rPr>
        <w:t xml:space="preserve"> כוס שלישי וכו' </w:t>
      </w:r>
      <w:r w:rsidRPr="00A13B37">
        <w:rPr>
          <w:b/>
          <w:bCs/>
          <w:rtl/>
        </w:rPr>
        <w:t>שאומרים על</w:t>
      </w:r>
      <w:r w:rsidRPr="00A13B37">
        <w:rPr>
          <w:rtl/>
        </w:rPr>
        <w:t xml:space="preserve"> כוס רביעי" </w:t>
      </w:r>
      <w:r w:rsidRPr="00A13B37">
        <w:rPr>
          <w:rFonts w:hint="cs"/>
          <w:rtl/>
        </w:rPr>
        <w:t xml:space="preserve">הרי </w:t>
      </w:r>
      <w:r w:rsidRPr="00A13B37">
        <w:rPr>
          <w:rFonts w:hint="cs"/>
          <w:b/>
          <w:bCs/>
          <w:rtl/>
        </w:rPr>
        <w:t>בהכרח</w:t>
      </w:r>
      <w:r w:rsidRPr="00A13B37">
        <w:rPr>
          <w:rtl/>
        </w:rPr>
        <w:t xml:space="preserve"> </w:t>
      </w:r>
      <w:r w:rsidRPr="00A13B37">
        <w:rPr>
          <w:rFonts w:hint="cs"/>
          <w:rtl/>
        </w:rPr>
        <w:t>ש</w:t>
      </w:r>
      <w:r w:rsidRPr="00A13B37">
        <w:rPr>
          <w:rtl/>
        </w:rPr>
        <w:t>אין הכוונה שצריך לאמרם על הכוסות וכתנתבאר</w:t>
      </w:r>
      <w:r w:rsidRPr="00A13B37">
        <w:rPr>
          <w:rFonts w:hint="cs"/>
          <w:rtl/>
        </w:rPr>
        <w:t>.</w:t>
      </w:r>
      <w:r w:rsidRPr="00A13B37">
        <w:rPr>
          <w:rtl/>
        </w:rPr>
        <w:t xml:space="preserve"> אלא נקט כן שהרי בפועל כך עושים וכמבואר בסימנים שלאח"ז והיינו שהרי התקנה היא שעושים קידוש על כוס ראשון וכו' וע"ז כתב שראוי לחנך הקטנים שישמעו מה שעושים אבל א</w:t>
      </w:r>
      <w:r>
        <w:rPr>
          <w:rFonts w:hint="cs"/>
          <w:rtl/>
        </w:rPr>
        <w:t>ין כוונתו</w:t>
      </w:r>
      <w:r w:rsidRPr="00A13B37">
        <w:rPr>
          <w:rtl/>
        </w:rPr>
        <w:t xml:space="preserve"> שיש דין </w:t>
      </w:r>
      <w:r>
        <w:rPr>
          <w:rFonts w:hint="cs"/>
          <w:rtl/>
        </w:rPr>
        <w:t>אמירה</w:t>
      </w:r>
      <w:r w:rsidRPr="00A13B37">
        <w:rPr>
          <w:rtl/>
        </w:rPr>
        <w:t xml:space="preserve"> על הכוסות וכנתבאר שהרי מדין ד' כוסות אין צריך לומר כלום על הכוסות. </w:t>
      </w:r>
    </w:p>
    <w:p w:rsidR="007D68AC" w:rsidRPr="00A13B37" w:rsidRDefault="007D68AC" w:rsidP="00F146A6">
      <w:pPr>
        <w:pStyle w:val="a3"/>
        <w:rPr>
          <w:rtl/>
        </w:rPr>
      </w:pPr>
      <w:r w:rsidRPr="00A13B37">
        <w:rPr>
          <w:rtl/>
        </w:rPr>
        <w:t>ולפי זה גם אמירת ההלל וברכת המזון לענין עצם חיוב שתיית הכוסות הם שוים לאמירת ההגדה על כוס שני שאין חיוב בזה מצד חיוב הארבע כוסות. וא"כ לא יקשה מה שנקט כאן "סיפור יציאת מצריים שאומרים על כוס שני" שהרי לא בא לומר אלא ההפסק שיש באמירת ההגדה (והנה הקטנים שייכים טפי להבין סיפור יציאת מצריים יותר משאר ההגדה ולכן דייק לומר "להבין מה שמספרים להם מיציאת מצרים) אלא שנקט שאומרים על הכוס שני משום שסוף סוף כך הייתה התקנה שימזגו קודם כוס שני</w:t>
      </w:r>
      <w:r w:rsidRPr="00A13B37">
        <w:rPr>
          <w:rFonts w:hint="cs"/>
          <w:rtl/>
        </w:rPr>
        <w:t>.</w:t>
      </w:r>
    </w:p>
    <w:p w:rsidR="007D68AC" w:rsidRDefault="007D68AC" w:rsidP="007D68AC">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A80BCE" w:rsidRDefault="00A80BCE" w:rsidP="00A80BCE">
      <w:pPr>
        <w:pStyle w:val="a0"/>
        <w:bidi w:val="0"/>
        <w:rPr>
          <w:rFonts w:eastAsia="Calibri"/>
          <w:rtl/>
        </w:rPr>
      </w:pPr>
      <w:bookmarkStart w:id="180" w:name="_Toc522059220"/>
      <w:bookmarkStart w:id="181" w:name="_Toc39649263"/>
      <w:bookmarkStart w:id="182" w:name="_Toc41488735"/>
      <w:bookmarkStart w:id="183" w:name="_Toc43963142"/>
      <w:r>
        <w:rPr>
          <w:rFonts w:eastAsia="Calibri"/>
          <w:rtl/>
        </w:rPr>
        <w:t>הוספת שם לאחד המחותנים</w:t>
      </w:r>
      <w:r>
        <w:rPr>
          <w:rFonts w:eastAsia="Calibri" w:hint="cs"/>
          <w:rtl/>
        </w:rPr>
        <w:t xml:space="preserve"> </w:t>
      </w:r>
      <w:r w:rsidR="0061153E">
        <w:rPr>
          <w:rFonts w:eastAsia="Calibri" w:hint="cs"/>
          <w:rtl/>
        </w:rPr>
        <w:t>(</w:t>
      </w:r>
      <w:r>
        <w:rPr>
          <w:rFonts w:eastAsia="Calibri" w:hint="cs"/>
          <w:rtl/>
        </w:rPr>
        <w:t>גליון</w:t>
      </w:r>
      <w:r w:rsidR="0061153E">
        <w:rPr>
          <w:rFonts w:eastAsia="Calibri" w:hint="cs"/>
          <w:rtl/>
        </w:rPr>
        <w:t>)</w:t>
      </w:r>
      <w:bookmarkEnd w:id="183"/>
    </w:p>
    <w:p w:rsidR="00A80BCE" w:rsidRDefault="00A80BCE" w:rsidP="00F146A6">
      <w:pPr>
        <w:pStyle w:val="a"/>
        <w:rPr>
          <w:rtl/>
        </w:rPr>
      </w:pPr>
      <w:bookmarkStart w:id="184" w:name="_Toc43963143"/>
      <w:r>
        <w:rPr>
          <w:rtl/>
        </w:rPr>
        <w:t>הרב יוסף וויינבערגער</w:t>
      </w:r>
      <w:bookmarkEnd w:id="184"/>
    </w:p>
    <w:p w:rsidR="00A80BCE" w:rsidRPr="00A80BCE" w:rsidRDefault="00A80BCE" w:rsidP="0061153E">
      <w:pPr>
        <w:pStyle w:val="a1"/>
        <w:rPr>
          <w:rtl/>
          <w:lang w:val="en-GB"/>
        </w:rPr>
      </w:pPr>
      <w:r>
        <w:rPr>
          <w:rtl/>
          <w:lang w:val="en-GB"/>
        </w:rPr>
        <w:t xml:space="preserve">תושב </w:t>
      </w:r>
      <w:r>
        <w:rPr>
          <w:rFonts w:hint="cs"/>
          <w:rtl/>
          <w:lang w:val="en-GB"/>
        </w:rPr>
        <w:t>השכונה</w:t>
      </w:r>
    </w:p>
    <w:p w:rsidR="00A80BCE" w:rsidRDefault="00A80BCE" w:rsidP="00F146A6">
      <w:pPr>
        <w:pStyle w:val="a3"/>
        <w:rPr>
          <w:rtl/>
        </w:rPr>
      </w:pPr>
      <w:r w:rsidRPr="00334BE7">
        <w:rPr>
          <w:rtl/>
        </w:rPr>
        <w:t xml:space="preserve">בהערות וביאורים </w:t>
      </w:r>
      <w:r>
        <w:rPr>
          <w:rFonts w:hint="cs"/>
          <w:rtl/>
        </w:rPr>
        <w:t>גליון א'</w:t>
      </w:r>
      <w:r w:rsidRPr="00334BE7">
        <w:rPr>
          <w:rFonts w:hint="cs"/>
          <w:rtl/>
        </w:rPr>
        <w:t>קע</w:t>
      </w:r>
      <w:r w:rsidRPr="00334BE7">
        <w:rPr>
          <w:rtl/>
        </w:rPr>
        <w:t>"</w:t>
      </w:r>
      <w:r w:rsidRPr="00334BE7">
        <w:rPr>
          <w:rFonts w:hint="cs"/>
          <w:rtl/>
        </w:rPr>
        <w:t>ט</w:t>
      </w:r>
      <w:r>
        <w:rPr>
          <w:rFonts w:hint="cs"/>
          <w:rtl/>
        </w:rPr>
        <w:t xml:space="preserve"> </w:t>
      </w:r>
      <w:r w:rsidRPr="00334BE7">
        <w:rPr>
          <w:rtl/>
        </w:rPr>
        <w:t>עמ</w:t>
      </w:r>
      <w:r>
        <w:rPr>
          <w:rFonts w:hint="cs"/>
          <w:rtl/>
        </w:rPr>
        <w:t>'</w:t>
      </w:r>
      <w:r w:rsidRPr="00334BE7">
        <w:rPr>
          <w:rtl/>
        </w:rPr>
        <w:t xml:space="preserve"> </w:t>
      </w:r>
      <w:r>
        <w:rPr>
          <w:rFonts w:hint="cs"/>
          <w:rtl/>
        </w:rPr>
        <w:t xml:space="preserve">106 כתב </w:t>
      </w:r>
      <w:r w:rsidRPr="00334BE7">
        <w:rPr>
          <w:rFonts w:hint="cs"/>
          <w:rtl/>
        </w:rPr>
        <w:t>הרב</w:t>
      </w:r>
      <w:r w:rsidRPr="00334BE7">
        <w:rPr>
          <w:rtl/>
        </w:rPr>
        <w:t xml:space="preserve"> </w:t>
      </w:r>
      <w:r w:rsidRPr="00334BE7">
        <w:rPr>
          <w:rFonts w:hint="cs"/>
          <w:rtl/>
        </w:rPr>
        <w:t>מנחם</w:t>
      </w:r>
      <w:r w:rsidRPr="00334BE7">
        <w:rPr>
          <w:rtl/>
        </w:rPr>
        <w:t xml:space="preserve"> </w:t>
      </w:r>
      <w:r w:rsidRPr="00334BE7">
        <w:rPr>
          <w:rFonts w:hint="cs"/>
          <w:rtl/>
        </w:rPr>
        <w:t>מענדל</w:t>
      </w:r>
      <w:r w:rsidRPr="00334BE7">
        <w:rPr>
          <w:rtl/>
        </w:rPr>
        <w:t xml:space="preserve"> </w:t>
      </w:r>
      <w:r w:rsidRPr="00334BE7">
        <w:rPr>
          <w:rFonts w:hint="cs"/>
          <w:rtl/>
        </w:rPr>
        <w:t>רייצס</w:t>
      </w:r>
      <w:r>
        <w:rPr>
          <w:rFonts w:hint="cs"/>
          <w:rtl/>
        </w:rPr>
        <w:t xml:space="preserve"> שבד"כ במקרה שה</w:t>
      </w:r>
      <w:r w:rsidRPr="00114CF2">
        <w:rPr>
          <w:rFonts w:hint="cs"/>
          <w:rtl/>
        </w:rPr>
        <w:t>שמות</w:t>
      </w:r>
      <w:r w:rsidRPr="00114CF2">
        <w:rPr>
          <w:rtl/>
        </w:rPr>
        <w:t xml:space="preserve"> </w:t>
      </w:r>
      <w:r>
        <w:rPr>
          <w:rFonts w:hint="cs"/>
          <w:rtl/>
        </w:rPr>
        <w:t xml:space="preserve">של </w:t>
      </w:r>
      <w:r w:rsidRPr="00114CF2">
        <w:rPr>
          <w:rFonts w:hint="cs"/>
          <w:rtl/>
        </w:rPr>
        <w:t>חתן</w:t>
      </w:r>
      <w:r w:rsidRPr="00114CF2">
        <w:rPr>
          <w:rtl/>
        </w:rPr>
        <w:t xml:space="preserve"> </w:t>
      </w:r>
      <w:r w:rsidRPr="00114CF2">
        <w:rPr>
          <w:rFonts w:hint="cs"/>
          <w:rtl/>
        </w:rPr>
        <w:t>וחמיו</w:t>
      </w:r>
      <w:r>
        <w:rPr>
          <w:rFonts w:hint="cs"/>
          <w:rtl/>
        </w:rPr>
        <w:t>,</w:t>
      </w:r>
      <w:r w:rsidRPr="00114CF2">
        <w:rPr>
          <w:rFonts w:hint="cs"/>
          <w:rtl/>
        </w:rPr>
        <w:t xml:space="preserve"> כלה</w:t>
      </w:r>
      <w:r w:rsidRPr="00114CF2">
        <w:rPr>
          <w:rtl/>
        </w:rPr>
        <w:t xml:space="preserve"> </w:t>
      </w:r>
      <w:r w:rsidRPr="00114CF2">
        <w:rPr>
          <w:rFonts w:hint="cs"/>
          <w:rtl/>
        </w:rPr>
        <w:t>וחמותה</w:t>
      </w:r>
      <w:r>
        <w:rPr>
          <w:rFonts w:hint="cs"/>
          <w:rtl/>
        </w:rPr>
        <w:t>, ו</w:t>
      </w:r>
      <w:r w:rsidRPr="00114CF2">
        <w:rPr>
          <w:rFonts w:hint="cs"/>
          <w:rtl/>
        </w:rPr>
        <w:t>מחותנים</w:t>
      </w:r>
      <w:r w:rsidRPr="00114CF2">
        <w:rPr>
          <w:rtl/>
        </w:rPr>
        <w:t xml:space="preserve"> </w:t>
      </w:r>
      <w:r>
        <w:rPr>
          <w:rFonts w:hint="cs"/>
          <w:rtl/>
        </w:rPr>
        <w:t>ו</w:t>
      </w:r>
      <w:r w:rsidRPr="00114CF2">
        <w:rPr>
          <w:rFonts w:hint="cs"/>
          <w:rtl/>
        </w:rPr>
        <w:t>מחותנות</w:t>
      </w:r>
      <w:r>
        <w:rPr>
          <w:rFonts w:hint="cs"/>
          <w:rtl/>
        </w:rPr>
        <w:t xml:space="preserve"> זהות - אז הורה הרבי להוסיף שם, ומוסיף שלמרות שבד"כ הרבי לא ציין איזה שם להוסיף, </w:t>
      </w:r>
      <w:r w:rsidRPr="00114CF2">
        <w:rPr>
          <w:rFonts w:hint="cs"/>
          <w:rtl/>
        </w:rPr>
        <w:t>והשאיר</w:t>
      </w:r>
      <w:r w:rsidRPr="00114CF2">
        <w:rPr>
          <w:rtl/>
        </w:rPr>
        <w:t xml:space="preserve"> </w:t>
      </w:r>
      <w:r w:rsidRPr="00114CF2">
        <w:rPr>
          <w:rFonts w:hint="cs"/>
          <w:rtl/>
        </w:rPr>
        <w:t>הדבר</w:t>
      </w:r>
      <w:r w:rsidRPr="00114CF2">
        <w:rPr>
          <w:rtl/>
        </w:rPr>
        <w:t xml:space="preserve"> </w:t>
      </w:r>
      <w:r w:rsidRPr="00114CF2">
        <w:rPr>
          <w:rFonts w:hint="cs"/>
          <w:rtl/>
        </w:rPr>
        <w:t>להחלטתו</w:t>
      </w:r>
      <w:r w:rsidRPr="00114CF2">
        <w:rPr>
          <w:rtl/>
        </w:rPr>
        <w:t xml:space="preserve"> </w:t>
      </w:r>
      <w:r w:rsidRPr="00114CF2">
        <w:rPr>
          <w:rFonts w:hint="cs"/>
          <w:rtl/>
        </w:rPr>
        <w:t>הפרטית</w:t>
      </w:r>
      <w:r w:rsidRPr="00114CF2">
        <w:rPr>
          <w:rtl/>
        </w:rPr>
        <w:t xml:space="preserve"> </w:t>
      </w:r>
      <w:r w:rsidRPr="00114CF2">
        <w:rPr>
          <w:rFonts w:hint="cs"/>
          <w:rtl/>
        </w:rPr>
        <w:t>של</w:t>
      </w:r>
      <w:r w:rsidRPr="00114CF2">
        <w:rPr>
          <w:rtl/>
        </w:rPr>
        <w:t xml:space="preserve"> </w:t>
      </w:r>
      <w:r w:rsidRPr="00114CF2">
        <w:rPr>
          <w:rFonts w:hint="cs"/>
          <w:rtl/>
        </w:rPr>
        <w:t>כאו</w:t>
      </w:r>
      <w:r w:rsidRPr="00114CF2">
        <w:rPr>
          <w:rtl/>
        </w:rPr>
        <w:t>"</w:t>
      </w:r>
      <w:r w:rsidRPr="00114CF2">
        <w:rPr>
          <w:rFonts w:hint="cs"/>
          <w:rtl/>
        </w:rPr>
        <w:t>א</w:t>
      </w:r>
      <w:r>
        <w:rPr>
          <w:rFonts w:hint="cs"/>
          <w:rtl/>
        </w:rPr>
        <w:t>,</w:t>
      </w:r>
      <w:r w:rsidRPr="00114CF2">
        <w:rPr>
          <w:rFonts w:hint="cs"/>
          <w:rtl/>
        </w:rPr>
        <w:t xml:space="preserve"> </w:t>
      </w:r>
      <w:r>
        <w:rPr>
          <w:rFonts w:hint="cs"/>
          <w:rtl/>
        </w:rPr>
        <w:t xml:space="preserve">הנה בכל זאת ישנם </w:t>
      </w:r>
      <w:r w:rsidRPr="00114CF2">
        <w:rPr>
          <w:rFonts w:hint="cs"/>
          <w:rtl/>
        </w:rPr>
        <w:t>כמה</w:t>
      </w:r>
      <w:r w:rsidRPr="00114CF2">
        <w:rPr>
          <w:rtl/>
        </w:rPr>
        <w:t xml:space="preserve"> </w:t>
      </w:r>
      <w:r w:rsidRPr="00114CF2">
        <w:rPr>
          <w:rFonts w:hint="cs"/>
          <w:rtl/>
        </w:rPr>
        <w:t>עדויות</w:t>
      </w:r>
      <w:r w:rsidRPr="00114CF2">
        <w:rPr>
          <w:rtl/>
        </w:rPr>
        <w:t xml:space="preserve"> </w:t>
      </w:r>
      <w:r w:rsidRPr="00114CF2">
        <w:rPr>
          <w:rFonts w:hint="cs"/>
          <w:rtl/>
        </w:rPr>
        <w:t>שבהם</w:t>
      </w:r>
      <w:r w:rsidRPr="00114CF2">
        <w:rPr>
          <w:rtl/>
        </w:rPr>
        <w:t xml:space="preserve"> </w:t>
      </w:r>
      <w:r>
        <w:rPr>
          <w:rFonts w:hint="cs"/>
          <w:rtl/>
        </w:rPr>
        <w:t xml:space="preserve">הרבי </w:t>
      </w:r>
      <w:r w:rsidRPr="00114CF2">
        <w:rPr>
          <w:rFonts w:hint="cs"/>
          <w:rtl/>
        </w:rPr>
        <w:t>כן</w:t>
      </w:r>
      <w:r w:rsidRPr="00114CF2">
        <w:rPr>
          <w:rtl/>
        </w:rPr>
        <w:t xml:space="preserve"> </w:t>
      </w:r>
      <w:r w:rsidRPr="00114CF2">
        <w:rPr>
          <w:rFonts w:hint="cs"/>
          <w:rtl/>
        </w:rPr>
        <w:lastRenderedPageBreak/>
        <w:t>נקב</w:t>
      </w:r>
      <w:r w:rsidRPr="00114CF2">
        <w:rPr>
          <w:rtl/>
        </w:rPr>
        <w:t xml:space="preserve"> </w:t>
      </w:r>
      <w:r w:rsidRPr="00114CF2">
        <w:rPr>
          <w:rFonts w:hint="cs"/>
          <w:rtl/>
        </w:rPr>
        <w:t>בשם</w:t>
      </w:r>
      <w:r w:rsidRPr="00114CF2">
        <w:rPr>
          <w:rtl/>
        </w:rPr>
        <w:t xml:space="preserve"> </w:t>
      </w:r>
      <w:r w:rsidRPr="00114CF2">
        <w:rPr>
          <w:rFonts w:hint="cs"/>
          <w:rtl/>
        </w:rPr>
        <w:t>מפורש</w:t>
      </w:r>
      <w:r w:rsidRPr="00114CF2">
        <w:rPr>
          <w:rtl/>
        </w:rPr>
        <w:t xml:space="preserve"> </w:t>
      </w:r>
      <w:r w:rsidRPr="00114CF2">
        <w:rPr>
          <w:rFonts w:hint="cs"/>
          <w:rtl/>
        </w:rPr>
        <w:t>כהצעה</w:t>
      </w:r>
      <w:r w:rsidRPr="00114CF2">
        <w:rPr>
          <w:rtl/>
        </w:rPr>
        <w:t xml:space="preserve"> </w:t>
      </w:r>
      <w:r w:rsidRPr="00114CF2">
        <w:rPr>
          <w:rFonts w:hint="cs"/>
          <w:rtl/>
        </w:rPr>
        <w:t>להוספה</w:t>
      </w:r>
      <w:r>
        <w:rPr>
          <w:rFonts w:hint="cs"/>
          <w:rtl/>
        </w:rPr>
        <w:t>: "</w:t>
      </w:r>
      <w:r w:rsidRPr="00114CF2">
        <w:rPr>
          <w:rFonts w:hint="cs"/>
          <w:rtl/>
        </w:rPr>
        <w:t>בן</w:t>
      </w:r>
      <w:r w:rsidRPr="00114CF2">
        <w:rPr>
          <w:rtl/>
        </w:rPr>
        <w:t>-</w:t>
      </w:r>
      <w:r w:rsidRPr="00114CF2">
        <w:rPr>
          <w:rFonts w:hint="cs"/>
          <w:rtl/>
        </w:rPr>
        <w:t>ציון</w:t>
      </w:r>
      <w:r>
        <w:rPr>
          <w:rFonts w:hint="cs"/>
          <w:rtl/>
        </w:rPr>
        <w:t>"</w:t>
      </w:r>
      <w:r w:rsidRPr="00114CF2">
        <w:rPr>
          <w:rtl/>
        </w:rPr>
        <w:t xml:space="preserve">, </w:t>
      </w:r>
      <w:r>
        <w:rPr>
          <w:rFonts w:hint="cs"/>
          <w:rtl/>
        </w:rPr>
        <w:t>"</w:t>
      </w:r>
      <w:r w:rsidRPr="00114CF2">
        <w:rPr>
          <w:rFonts w:hint="cs"/>
          <w:rtl/>
        </w:rPr>
        <w:t>ברוך</w:t>
      </w:r>
      <w:r>
        <w:rPr>
          <w:rFonts w:hint="cs"/>
          <w:rtl/>
        </w:rPr>
        <w:t>"</w:t>
      </w:r>
      <w:r>
        <w:rPr>
          <w:rStyle w:val="FootnoteReference"/>
          <w:rtl/>
        </w:rPr>
        <w:footnoteReference w:id="213"/>
      </w:r>
      <w:r w:rsidRPr="00114CF2">
        <w:rPr>
          <w:rtl/>
        </w:rPr>
        <w:t xml:space="preserve">, </w:t>
      </w:r>
      <w:r>
        <w:rPr>
          <w:rFonts w:hint="cs"/>
          <w:rtl/>
        </w:rPr>
        <w:t>"</w:t>
      </w:r>
      <w:r w:rsidRPr="00114CF2">
        <w:rPr>
          <w:rFonts w:hint="cs"/>
          <w:rtl/>
        </w:rPr>
        <w:t>יוסף</w:t>
      </w:r>
      <w:r>
        <w:rPr>
          <w:rFonts w:hint="cs"/>
          <w:rtl/>
        </w:rPr>
        <w:t>"</w:t>
      </w:r>
      <w:r w:rsidRPr="00114CF2">
        <w:rPr>
          <w:rtl/>
        </w:rPr>
        <w:t xml:space="preserve"> </w:t>
      </w:r>
      <w:r w:rsidRPr="00114CF2">
        <w:rPr>
          <w:rFonts w:hint="cs"/>
          <w:rtl/>
        </w:rPr>
        <w:t>ו</w:t>
      </w:r>
      <w:r>
        <w:rPr>
          <w:rFonts w:hint="cs"/>
          <w:rtl/>
        </w:rPr>
        <w:t>"</w:t>
      </w:r>
      <w:r w:rsidRPr="00114CF2">
        <w:rPr>
          <w:rFonts w:hint="cs"/>
          <w:rtl/>
        </w:rPr>
        <w:t>אלטע</w:t>
      </w:r>
      <w:r>
        <w:rPr>
          <w:rFonts w:hint="cs"/>
          <w:rtl/>
        </w:rPr>
        <w:t>".</w:t>
      </w:r>
    </w:p>
    <w:p w:rsidR="00A80BCE" w:rsidRDefault="00A80BCE" w:rsidP="00F146A6">
      <w:pPr>
        <w:pStyle w:val="a3"/>
        <w:rPr>
          <w:rtl/>
        </w:rPr>
      </w:pPr>
      <w:r>
        <w:rPr>
          <w:rFonts w:hint="cs"/>
          <w:rtl/>
        </w:rPr>
        <w:t>רציתי להוסיף עוד מספר מקרים:</w:t>
      </w:r>
    </w:p>
    <w:p w:rsidR="00A80BCE" w:rsidRDefault="00A80BCE" w:rsidP="00F146A6">
      <w:pPr>
        <w:pStyle w:val="a3"/>
        <w:rPr>
          <w:rtl/>
        </w:rPr>
      </w:pPr>
      <w:r w:rsidRPr="00114CF2">
        <w:rPr>
          <w:rFonts w:hint="cs"/>
          <w:b/>
          <w:bCs/>
          <w:rtl/>
        </w:rPr>
        <w:t>השם המלא של אדמו"ר הריי"צ</w:t>
      </w:r>
      <w:r>
        <w:rPr>
          <w:rFonts w:hint="cs"/>
          <w:rtl/>
        </w:rPr>
        <w:t xml:space="preserve"> - בתשמ"ה לחתן ששמו "יצחק" וגם שם חמיו הי' "יצחק", הרבי הורה לחתן להוסיף שם כשמו של אדמו"ר הריי"צ, היינו </w:t>
      </w:r>
      <w:r>
        <w:rPr>
          <w:rtl/>
        </w:rPr>
        <w:t>–</w:t>
      </w:r>
      <w:r>
        <w:rPr>
          <w:rFonts w:hint="cs"/>
          <w:rtl/>
        </w:rPr>
        <w:t xml:space="preserve"> "יוסף"</w:t>
      </w:r>
      <w:r>
        <w:rPr>
          <w:rStyle w:val="FootnoteReference"/>
          <w:rtl/>
        </w:rPr>
        <w:footnoteReference w:id="214"/>
      </w:r>
      <w:r>
        <w:rPr>
          <w:rFonts w:hint="cs"/>
          <w:rtl/>
        </w:rPr>
        <w:t>.</w:t>
      </w:r>
    </w:p>
    <w:p w:rsidR="00A80BCE" w:rsidRDefault="00A80BCE" w:rsidP="00F146A6">
      <w:pPr>
        <w:pStyle w:val="a3"/>
        <w:rPr>
          <w:rtl/>
        </w:rPr>
      </w:pPr>
      <w:r>
        <w:rPr>
          <w:rFonts w:hint="cs"/>
          <w:rtl/>
        </w:rPr>
        <w:t>כמו"כ, בתשרי תש"ל, במקרה שלב' המחתנים קראו "יוסף", הורה</w:t>
      </w:r>
      <w:r w:rsidRPr="00A76621">
        <w:rPr>
          <w:rFonts w:hint="cs"/>
          <w:rtl/>
        </w:rPr>
        <w:t xml:space="preserve"> </w:t>
      </w:r>
      <w:r>
        <w:rPr>
          <w:rFonts w:hint="cs"/>
          <w:rtl/>
        </w:rPr>
        <w:t>הרבי להוסיף את השם "יצחק"</w:t>
      </w:r>
      <w:r>
        <w:rPr>
          <w:rStyle w:val="FootnoteReference"/>
          <w:rtl/>
        </w:rPr>
        <w:footnoteReference w:id="215"/>
      </w:r>
      <w:r>
        <w:rPr>
          <w:rFonts w:hint="cs"/>
          <w:rtl/>
        </w:rPr>
        <w:t>.</w:t>
      </w:r>
    </w:p>
    <w:p w:rsidR="00A80BCE" w:rsidRDefault="00A80BCE" w:rsidP="00F146A6">
      <w:pPr>
        <w:pStyle w:val="a3"/>
        <w:rPr>
          <w:rtl/>
        </w:rPr>
      </w:pPr>
      <w:r w:rsidRPr="00114CF2">
        <w:rPr>
          <w:rFonts w:hint="cs"/>
          <w:b/>
          <w:bCs/>
          <w:rtl/>
        </w:rPr>
        <w:t>אלתר</w:t>
      </w:r>
      <w:r>
        <w:rPr>
          <w:rFonts w:hint="cs"/>
          <w:rtl/>
        </w:rPr>
        <w:t xml:space="preserve"> </w:t>
      </w:r>
      <w:r>
        <w:rPr>
          <w:rtl/>
        </w:rPr>
        <w:t>–</w:t>
      </w:r>
      <w:r>
        <w:rPr>
          <w:rFonts w:hint="cs"/>
          <w:rtl/>
        </w:rPr>
        <w:t xml:space="preserve"> בסיון תשי"ג </w:t>
      </w:r>
      <w:r w:rsidRPr="009F6E26">
        <w:rPr>
          <w:rFonts w:hint="cs"/>
          <w:rtl/>
        </w:rPr>
        <w:t>כאשר</w:t>
      </w:r>
      <w:r w:rsidRPr="009F6E26">
        <w:rPr>
          <w:rtl/>
        </w:rPr>
        <w:t xml:space="preserve"> </w:t>
      </w:r>
      <w:r w:rsidRPr="009F6E26">
        <w:rPr>
          <w:rFonts w:hint="cs"/>
          <w:rtl/>
        </w:rPr>
        <w:t>בתו</w:t>
      </w:r>
      <w:r w:rsidRPr="009F6E26">
        <w:rPr>
          <w:rtl/>
        </w:rPr>
        <w:t xml:space="preserve"> </w:t>
      </w:r>
      <w:r>
        <w:rPr>
          <w:rFonts w:hint="cs"/>
          <w:rtl/>
        </w:rPr>
        <w:t xml:space="preserve">של ר' </w:t>
      </w:r>
      <w:r w:rsidRPr="00276AB9">
        <w:rPr>
          <w:rtl/>
        </w:rPr>
        <w:t>דובער ח</w:t>
      </w:r>
      <w:r>
        <w:rPr>
          <w:rFonts w:hint="cs"/>
          <w:rtl/>
        </w:rPr>
        <w:t>.</w:t>
      </w:r>
      <w:r w:rsidRPr="009F6E26">
        <w:rPr>
          <w:rtl/>
        </w:rPr>
        <w:t xml:space="preserve"> </w:t>
      </w:r>
      <w:r w:rsidRPr="009F6E26">
        <w:rPr>
          <w:rFonts w:hint="cs"/>
          <w:rtl/>
        </w:rPr>
        <w:t>עמדה</w:t>
      </w:r>
      <w:r w:rsidRPr="009F6E26">
        <w:rPr>
          <w:rtl/>
        </w:rPr>
        <w:t xml:space="preserve"> </w:t>
      </w:r>
      <w:r w:rsidRPr="009F6E26">
        <w:rPr>
          <w:rFonts w:hint="cs"/>
          <w:rtl/>
        </w:rPr>
        <w:t>להתחתן</w:t>
      </w:r>
      <w:r w:rsidRPr="009F6E26">
        <w:rPr>
          <w:rtl/>
        </w:rPr>
        <w:t xml:space="preserve">, </w:t>
      </w:r>
      <w:r>
        <w:rPr>
          <w:rFonts w:hint="cs"/>
          <w:rtl/>
        </w:rPr>
        <w:t xml:space="preserve">הוא שאל את הרבי </w:t>
      </w:r>
      <w:r w:rsidRPr="00FC18C7">
        <w:rPr>
          <w:rFonts w:hint="cs"/>
          <w:rtl/>
        </w:rPr>
        <w:t>אם</w:t>
      </w:r>
      <w:r w:rsidRPr="00FC18C7">
        <w:rPr>
          <w:rtl/>
        </w:rPr>
        <w:t xml:space="preserve"> </w:t>
      </w:r>
      <w:r w:rsidRPr="00FC18C7">
        <w:rPr>
          <w:rFonts w:hint="cs"/>
          <w:rtl/>
        </w:rPr>
        <w:t>יש</w:t>
      </w:r>
      <w:r w:rsidRPr="00FC18C7">
        <w:rPr>
          <w:rtl/>
        </w:rPr>
        <w:t xml:space="preserve"> </w:t>
      </w:r>
      <w:r w:rsidRPr="00FC18C7">
        <w:rPr>
          <w:rFonts w:hint="cs"/>
          <w:rtl/>
        </w:rPr>
        <w:t>חשש</w:t>
      </w:r>
      <w:r w:rsidRPr="00FC18C7">
        <w:rPr>
          <w:rtl/>
        </w:rPr>
        <w:t xml:space="preserve"> </w:t>
      </w:r>
      <w:r w:rsidRPr="00FC18C7">
        <w:rPr>
          <w:rFonts w:hint="cs"/>
          <w:rtl/>
        </w:rPr>
        <w:t>שהכינוי</w:t>
      </w:r>
      <w:r w:rsidRPr="00FC18C7">
        <w:rPr>
          <w:rtl/>
        </w:rPr>
        <w:t xml:space="preserve"> </w:t>
      </w:r>
      <w:r w:rsidRPr="00FC18C7">
        <w:rPr>
          <w:rFonts w:hint="cs"/>
          <w:rtl/>
        </w:rPr>
        <w:t>של</w:t>
      </w:r>
      <w:r w:rsidRPr="00FC18C7">
        <w:rPr>
          <w:rtl/>
        </w:rPr>
        <w:t xml:space="preserve"> </w:t>
      </w:r>
      <w:r w:rsidRPr="00FC18C7">
        <w:rPr>
          <w:rFonts w:hint="cs"/>
          <w:rtl/>
        </w:rPr>
        <w:t>החתן</w:t>
      </w:r>
      <w:r w:rsidRPr="00FC18C7">
        <w:rPr>
          <w:rtl/>
        </w:rPr>
        <w:t xml:space="preserve"> </w:t>
      </w:r>
      <w:r w:rsidRPr="00FC18C7">
        <w:rPr>
          <w:rFonts w:hint="cs"/>
          <w:rtl/>
        </w:rPr>
        <w:t>וחותנו</w:t>
      </w:r>
      <w:r w:rsidRPr="00FC18C7">
        <w:rPr>
          <w:rtl/>
        </w:rPr>
        <w:t xml:space="preserve"> </w:t>
      </w:r>
      <w:r w:rsidRPr="00FC18C7">
        <w:rPr>
          <w:rFonts w:hint="cs"/>
          <w:rtl/>
        </w:rPr>
        <w:t>שווים</w:t>
      </w:r>
      <w:r>
        <w:rPr>
          <w:rFonts w:hint="cs"/>
          <w:rtl/>
        </w:rPr>
        <w:t>.</w:t>
      </w:r>
      <w:r w:rsidRPr="00FC18C7">
        <w:rPr>
          <w:rFonts w:hint="cs"/>
          <w:rtl/>
        </w:rPr>
        <w:t xml:space="preserve"> </w:t>
      </w:r>
      <w:r>
        <w:rPr>
          <w:rFonts w:hint="cs"/>
          <w:rtl/>
        </w:rPr>
        <w:t xml:space="preserve">כי לו קראו </w:t>
      </w:r>
      <w:r>
        <w:rPr>
          <w:rtl/>
        </w:rPr>
        <w:t>–</w:t>
      </w:r>
      <w:r>
        <w:rPr>
          <w:rFonts w:hint="cs"/>
          <w:rtl/>
        </w:rPr>
        <w:t xml:space="preserve"> "בערל", ו</w:t>
      </w:r>
      <w:r w:rsidRPr="009F6E26">
        <w:rPr>
          <w:rFonts w:hint="cs"/>
          <w:rtl/>
        </w:rPr>
        <w:t>לחת</w:t>
      </w:r>
      <w:r>
        <w:rPr>
          <w:rFonts w:hint="cs"/>
          <w:rtl/>
        </w:rPr>
        <w:t>ן</w:t>
      </w:r>
      <w:r w:rsidRPr="009F6E26">
        <w:rPr>
          <w:rtl/>
        </w:rPr>
        <w:t xml:space="preserve"> </w:t>
      </w:r>
      <w:r>
        <w:rPr>
          <w:rFonts w:hint="cs"/>
          <w:rtl/>
        </w:rPr>
        <w:t>ששמו הי' "</w:t>
      </w:r>
      <w:r w:rsidRPr="009F6E26">
        <w:rPr>
          <w:rFonts w:hint="cs"/>
          <w:rtl/>
        </w:rPr>
        <w:t>שלום</w:t>
      </w:r>
      <w:r w:rsidRPr="009F6E26">
        <w:rPr>
          <w:rtl/>
        </w:rPr>
        <w:t xml:space="preserve"> </w:t>
      </w:r>
      <w:r w:rsidRPr="009F6E26">
        <w:rPr>
          <w:rFonts w:hint="cs"/>
          <w:rtl/>
        </w:rPr>
        <w:t>דובער</w:t>
      </w:r>
      <w:r>
        <w:rPr>
          <w:rFonts w:hint="cs"/>
          <w:rtl/>
        </w:rPr>
        <w:t>",</w:t>
      </w:r>
      <w:r w:rsidRPr="009F6E26">
        <w:rPr>
          <w:rtl/>
        </w:rPr>
        <w:t xml:space="preserve"> </w:t>
      </w:r>
      <w:r>
        <w:rPr>
          <w:rFonts w:hint="cs"/>
          <w:rtl/>
        </w:rPr>
        <w:t>גם כן קראו - "</w:t>
      </w:r>
      <w:r w:rsidRPr="009F6E26">
        <w:rPr>
          <w:rFonts w:hint="cs"/>
          <w:rtl/>
        </w:rPr>
        <w:t>בערל</w:t>
      </w:r>
      <w:r>
        <w:rPr>
          <w:rFonts w:hint="cs"/>
          <w:rtl/>
        </w:rPr>
        <w:t>". והרבי</w:t>
      </w:r>
      <w:r w:rsidRPr="009F6E26">
        <w:rPr>
          <w:rtl/>
        </w:rPr>
        <w:t xml:space="preserve"> </w:t>
      </w:r>
      <w:r>
        <w:rPr>
          <w:rFonts w:hint="cs"/>
          <w:rtl/>
        </w:rPr>
        <w:t>הורה לו לה</w:t>
      </w:r>
      <w:r w:rsidRPr="009F6E26">
        <w:rPr>
          <w:rFonts w:hint="cs"/>
          <w:rtl/>
        </w:rPr>
        <w:t>וסיף</w:t>
      </w:r>
      <w:r w:rsidRPr="009F6E26">
        <w:rPr>
          <w:rtl/>
        </w:rPr>
        <w:t xml:space="preserve"> </w:t>
      </w:r>
      <w:r w:rsidRPr="009F6E26">
        <w:rPr>
          <w:rFonts w:hint="cs"/>
          <w:rtl/>
        </w:rPr>
        <w:t>שם</w:t>
      </w:r>
      <w:r w:rsidRPr="009F6E26">
        <w:rPr>
          <w:rtl/>
        </w:rPr>
        <w:t>.</w:t>
      </w:r>
    </w:p>
    <w:p w:rsidR="00A80BCE" w:rsidRDefault="00A80BCE" w:rsidP="00F146A6">
      <w:pPr>
        <w:pStyle w:val="a3"/>
        <w:rPr>
          <w:rtl/>
        </w:rPr>
      </w:pPr>
      <w:r w:rsidRPr="009F6E26">
        <w:rPr>
          <w:rFonts w:hint="cs"/>
          <w:rtl/>
        </w:rPr>
        <w:t>ר</w:t>
      </w:r>
      <w:r>
        <w:rPr>
          <w:rFonts w:hint="cs"/>
          <w:rtl/>
        </w:rPr>
        <w:t>'</w:t>
      </w:r>
      <w:r w:rsidRPr="009F6E26">
        <w:rPr>
          <w:rtl/>
        </w:rPr>
        <w:t xml:space="preserve"> </w:t>
      </w:r>
      <w:r w:rsidRPr="009F6E26">
        <w:rPr>
          <w:rFonts w:hint="cs"/>
          <w:rtl/>
        </w:rPr>
        <w:t>בערל</w:t>
      </w:r>
      <w:r w:rsidRPr="009F6E26">
        <w:rPr>
          <w:rtl/>
        </w:rPr>
        <w:t xml:space="preserve"> </w:t>
      </w:r>
      <w:r w:rsidRPr="009F6E26">
        <w:rPr>
          <w:rFonts w:hint="cs"/>
          <w:rtl/>
        </w:rPr>
        <w:t>אמר</w:t>
      </w:r>
      <w:r w:rsidRPr="009F6E26">
        <w:rPr>
          <w:rtl/>
        </w:rPr>
        <w:t xml:space="preserve"> </w:t>
      </w:r>
      <w:r w:rsidRPr="009F6E26">
        <w:rPr>
          <w:rFonts w:hint="cs"/>
          <w:rtl/>
        </w:rPr>
        <w:t>לרבי</w:t>
      </w:r>
      <w:r w:rsidRPr="009F6E26">
        <w:rPr>
          <w:rtl/>
        </w:rPr>
        <w:t xml:space="preserve"> </w:t>
      </w:r>
      <w:r w:rsidRPr="009F6E26">
        <w:rPr>
          <w:rFonts w:hint="cs"/>
          <w:rtl/>
        </w:rPr>
        <w:t>שהוא</w:t>
      </w:r>
      <w:r w:rsidRPr="009F6E26">
        <w:rPr>
          <w:rtl/>
        </w:rPr>
        <w:t xml:space="preserve"> </w:t>
      </w:r>
      <w:r w:rsidRPr="009F6E26">
        <w:rPr>
          <w:rFonts w:hint="cs"/>
          <w:rtl/>
        </w:rPr>
        <w:t>חושב</w:t>
      </w:r>
      <w:r w:rsidRPr="009F6E26">
        <w:rPr>
          <w:rtl/>
        </w:rPr>
        <w:t xml:space="preserve"> </w:t>
      </w:r>
      <w:r w:rsidRPr="009F6E26">
        <w:rPr>
          <w:rFonts w:hint="cs"/>
          <w:rtl/>
        </w:rPr>
        <w:t>להוסיף</w:t>
      </w:r>
      <w:r w:rsidRPr="009F6E26">
        <w:rPr>
          <w:rtl/>
        </w:rPr>
        <w:t xml:space="preserve"> </w:t>
      </w:r>
      <w:r w:rsidRPr="009F6E26">
        <w:rPr>
          <w:rFonts w:hint="cs"/>
          <w:rtl/>
        </w:rPr>
        <w:t>את</w:t>
      </w:r>
      <w:r w:rsidRPr="009F6E26">
        <w:rPr>
          <w:rtl/>
        </w:rPr>
        <w:t xml:space="preserve"> </w:t>
      </w:r>
      <w:r w:rsidRPr="009F6E26">
        <w:rPr>
          <w:rFonts w:hint="cs"/>
          <w:rtl/>
        </w:rPr>
        <w:t>השם</w:t>
      </w:r>
      <w:r w:rsidRPr="009F6E26">
        <w:rPr>
          <w:rtl/>
        </w:rPr>
        <w:t xml:space="preserve"> </w:t>
      </w:r>
      <w:r>
        <w:rPr>
          <w:rFonts w:hint="cs"/>
          <w:rtl/>
        </w:rPr>
        <w:t>"</w:t>
      </w:r>
      <w:r w:rsidRPr="009F6E26">
        <w:rPr>
          <w:rFonts w:hint="cs"/>
          <w:rtl/>
        </w:rPr>
        <w:t>מאיר</w:t>
      </w:r>
      <w:r>
        <w:rPr>
          <w:rFonts w:hint="cs"/>
          <w:rtl/>
        </w:rPr>
        <w:t>";</w:t>
      </w:r>
      <w:r w:rsidRPr="009F6E26">
        <w:rPr>
          <w:rtl/>
        </w:rPr>
        <w:t xml:space="preserve"> </w:t>
      </w:r>
      <w:r w:rsidRPr="009F6E26">
        <w:rPr>
          <w:rFonts w:hint="cs"/>
          <w:rtl/>
        </w:rPr>
        <w:t>שהרי</w:t>
      </w:r>
      <w:r w:rsidRPr="009F6E26">
        <w:rPr>
          <w:rtl/>
        </w:rPr>
        <w:t xml:space="preserve"> </w:t>
      </w:r>
      <w:r>
        <w:rPr>
          <w:rFonts w:hint="cs"/>
          <w:rtl/>
        </w:rPr>
        <w:t xml:space="preserve">כשנולד </w:t>
      </w:r>
      <w:r w:rsidRPr="00FC18C7">
        <w:rPr>
          <w:rtl/>
        </w:rPr>
        <w:t>בשנת תרנ"ז</w:t>
      </w:r>
      <w:r w:rsidRPr="00FC18C7">
        <w:rPr>
          <w:rFonts w:ascii="Times New Roman" w:hAnsi="Times New Roman" w:cs="Times New Roman"/>
        </w:rPr>
        <w:t> </w:t>
      </w:r>
      <w:r w:rsidRPr="009F6E26">
        <w:rPr>
          <w:rFonts w:hint="cs"/>
          <w:rtl/>
        </w:rPr>
        <w:t>קור</w:t>
      </w:r>
      <w:r>
        <w:rPr>
          <w:rFonts w:hint="cs"/>
          <w:rtl/>
        </w:rPr>
        <w:t>או</w:t>
      </w:r>
      <w:r w:rsidRPr="009F6E26">
        <w:rPr>
          <w:rtl/>
        </w:rPr>
        <w:t xml:space="preserve"> </w:t>
      </w:r>
      <w:r w:rsidRPr="009F6E26">
        <w:rPr>
          <w:rFonts w:hint="cs"/>
          <w:rtl/>
        </w:rPr>
        <w:t>לו</w:t>
      </w:r>
      <w:r w:rsidRPr="009F6E26">
        <w:rPr>
          <w:rtl/>
        </w:rPr>
        <w:t xml:space="preserve"> </w:t>
      </w:r>
      <w:r>
        <w:rPr>
          <w:rFonts w:hint="cs"/>
          <w:rtl/>
        </w:rPr>
        <w:t xml:space="preserve">ע"ש </w:t>
      </w:r>
      <w:r w:rsidRPr="009F6E26">
        <w:rPr>
          <w:rFonts w:hint="cs"/>
          <w:rtl/>
        </w:rPr>
        <w:t>סב</w:t>
      </w:r>
      <w:r>
        <w:rPr>
          <w:rFonts w:hint="cs"/>
          <w:rtl/>
        </w:rPr>
        <w:t>ו</w:t>
      </w:r>
      <w:r w:rsidRPr="009F6E26">
        <w:rPr>
          <w:rtl/>
        </w:rPr>
        <w:t xml:space="preserve"> </w:t>
      </w:r>
      <w:r>
        <w:rPr>
          <w:rFonts w:hint="cs"/>
          <w:rtl/>
        </w:rPr>
        <w:t xml:space="preserve">- </w:t>
      </w:r>
      <w:r w:rsidRPr="009F6E26">
        <w:rPr>
          <w:rFonts w:hint="cs"/>
          <w:rtl/>
        </w:rPr>
        <w:t>מצד</w:t>
      </w:r>
      <w:r w:rsidRPr="009F6E26">
        <w:rPr>
          <w:rtl/>
        </w:rPr>
        <w:t xml:space="preserve"> </w:t>
      </w:r>
      <w:r>
        <w:rPr>
          <w:rFonts w:hint="cs"/>
          <w:rtl/>
        </w:rPr>
        <w:t>אמו</w:t>
      </w:r>
      <w:r w:rsidRPr="009F6E26">
        <w:rPr>
          <w:rtl/>
        </w:rPr>
        <w:t xml:space="preserve"> </w:t>
      </w:r>
      <w:r>
        <w:rPr>
          <w:rFonts w:hint="cs"/>
          <w:rtl/>
        </w:rPr>
        <w:t xml:space="preserve">- </w:t>
      </w:r>
      <w:r w:rsidRPr="009F6E26">
        <w:rPr>
          <w:rFonts w:hint="cs"/>
          <w:rtl/>
        </w:rPr>
        <w:t>ר</w:t>
      </w:r>
      <w:r w:rsidRPr="009F6E26">
        <w:rPr>
          <w:rtl/>
        </w:rPr>
        <w:t xml:space="preserve">' </w:t>
      </w:r>
      <w:r w:rsidRPr="009F6E26">
        <w:rPr>
          <w:rFonts w:hint="cs"/>
          <w:rtl/>
        </w:rPr>
        <w:t>מאיר</w:t>
      </w:r>
      <w:r w:rsidRPr="009F6E26">
        <w:rPr>
          <w:rtl/>
        </w:rPr>
        <w:t xml:space="preserve"> </w:t>
      </w:r>
      <w:r w:rsidRPr="009F6E26">
        <w:rPr>
          <w:rFonts w:hint="cs"/>
          <w:rtl/>
        </w:rPr>
        <w:t>בער</w:t>
      </w:r>
      <w:r w:rsidRPr="009F6E26">
        <w:rPr>
          <w:rtl/>
        </w:rPr>
        <w:t xml:space="preserve">, </w:t>
      </w:r>
      <w:r w:rsidRPr="009F6E26">
        <w:rPr>
          <w:rFonts w:hint="cs"/>
          <w:rtl/>
        </w:rPr>
        <w:t>והסיבה</w:t>
      </w:r>
      <w:r w:rsidRPr="009F6E26">
        <w:rPr>
          <w:rtl/>
        </w:rPr>
        <w:t xml:space="preserve"> </w:t>
      </w:r>
      <w:r w:rsidRPr="009F6E26">
        <w:rPr>
          <w:rFonts w:hint="cs"/>
          <w:rtl/>
        </w:rPr>
        <w:t>שלא</w:t>
      </w:r>
      <w:r w:rsidRPr="009F6E26">
        <w:rPr>
          <w:rtl/>
        </w:rPr>
        <w:t xml:space="preserve"> </w:t>
      </w:r>
      <w:r w:rsidRPr="009F6E26">
        <w:rPr>
          <w:rFonts w:hint="cs"/>
          <w:rtl/>
        </w:rPr>
        <w:t>קראו</w:t>
      </w:r>
      <w:r w:rsidRPr="009F6E26">
        <w:rPr>
          <w:rtl/>
        </w:rPr>
        <w:t xml:space="preserve"> </w:t>
      </w:r>
      <w:r w:rsidRPr="009F6E26">
        <w:rPr>
          <w:rFonts w:hint="cs"/>
          <w:rtl/>
        </w:rPr>
        <w:t>לו</w:t>
      </w:r>
      <w:r w:rsidRPr="009F6E26">
        <w:rPr>
          <w:rtl/>
        </w:rPr>
        <w:t xml:space="preserve"> </w:t>
      </w:r>
      <w:r>
        <w:rPr>
          <w:rFonts w:hint="cs"/>
          <w:rtl/>
        </w:rPr>
        <w:t>"</w:t>
      </w:r>
      <w:r w:rsidRPr="009F6E26">
        <w:rPr>
          <w:rFonts w:hint="cs"/>
          <w:rtl/>
        </w:rPr>
        <w:t>מאיר</w:t>
      </w:r>
      <w:r>
        <w:rPr>
          <w:rFonts w:hint="cs"/>
          <w:rtl/>
        </w:rPr>
        <w:t>"</w:t>
      </w:r>
      <w:r w:rsidRPr="009F6E26">
        <w:rPr>
          <w:rtl/>
        </w:rPr>
        <w:t xml:space="preserve"> </w:t>
      </w:r>
      <w:r w:rsidRPr="009F6E26">
        <w:rPr>
          <w:rFonts w:hint="cs"/>
          <w:rtl/>
        </w:rPr>
        <w:t>ה</w:t>
      </w:r>
      <w:r>
        <w:rPr>
          <w:rFonts w:hint="cs"/>
          <w:rtl/>
        </w:rPr>
        <w:t xml:space="preserve">י' </w:t>
      </w:r>
      <w:r w:rsidRPr="009F6E26">
        <w:rPr>
          <w:rFonts w:hint="cs"/>
          <w:rtl/>
        </w:rPr>
        <w:t>מפני</w:t>
      </w:r>
      <w:r w:rsidRPr="009F6E26">
        <w:rPr>
          <w:rtl/>
        </w:rPr>
        <w:t xml:space="preserve"> </w:t>
      </w:r>
      <w:r>
        <w:rPr>
          <w:rFonts w:hint="cs"/>
          <w:rtl/>
        </w:rPr>
        <w:t>ש</w:t>
      </w:r>
      <w:r w:rsidRPr="009F6E26">
        <w:rPr>
          <w:rFonts w:hint="cs"/>
          <w:rtl/>
        </w:rPr>
        <w:t>סב</w:t>
      </w:r>
      <w:r>
        <w:rPr>
          <w:rFonts w:hint="cs"/>
          <w:rtl/>
        </w:rPr>
        <w:t>ו</w:t>
      </w:r>
      <w:r w:rsidRPr="009F6E26">
        <w:rPr>
          <w:rtl/>
        </w:rPr>
        <w:t xml:space="preserve"> </w:t>
      </w:r>
      <w:r>
        <w:rPr>
          <w:rFonts w:hint="cs"/>
          <w:rtl/>
        </w:rPr>
        <w:t>- מצד אביו -</w:t>
      </w:r>
      <w:r w:rsidRPr="009F6E26">
        <w:rPr>
          <w:rtl/>
        </w:rPr>
        <w:t xml:space="preserve"> </w:t>
      </w:r>
      <w:r w:rsidRPr="009F6E26">
        <w:rPr>
          <w:rFonts w:hint="cs"/>
          <w:rtl/>
        </w:rPr>
        <w:t>ר</w:t>
      </w:r>
      <w:r w:rsidRPr="009F6E26">
        <w:rPr>
          <w:rtl/>
        </w:rPr>
        <w:t xml:space="preserve">' </w:t>
      </w:r>
      <w:r w:rsidRPr="009F6E26">
        <w:rPr>
          <w:rFonts w:hint="cs"/>
          <w:rtl/>
        </w:rPr>
        <w:t>מאיר</w:t>
      </w:r>
      <w:r w:rsidRPr="009F6E26">
        <w:rPr>
          <w:rtl/>
        </w:rPr>
        <w:t xml:space="preserve"> </w:t>
      </w:r>
      <w:r w:rsidRPr="009F6E26">
        <w:rPr>
          <w:rFonts w:hint="cs"/>
          <w:rtl/>
        </w:rPr>
        <w:t>פאליק</w:t>
      </w:r>
      <w:r>
        <w:rPr>
          <w:rFonts w:hint="cs"/>
          <w:rtl/>
        </w:rPr>
        <w:t>,</w:t>
      </w:r>
      <w:r w:rsidRPr="009F6E26">
        <w:rPr>
          <w:rtl/>
        </w:rPr>
        <w:t xml:space="preserve"> </w:t>
      </w:r>
      <w:r w:rsidRPr="009F6E26">
        <w:rPr>
          <w:rFonts w:hint="cs"/>
          <w:rtl/>
        </w:rPr>
        <w:t>היה</w:t>
      </w:r>
      <w:r w:rsidRPr="009F6E26">
        <w:rPr>
          <w:rtl/>
        </w:rPr>
        <w:t xml:space="preserve"> </w:t>
      </w:r>
      <w:r w:rsidRPr="009F6E26">
        <w:rPr>
          <w:rFonts w:hint="cs"/>
          <w:rtl/>
        </w:rPr>
        <w:t>ח</w:t>
      </w:r>
      <w:r>
        <w:rPr>
          <w:rFonts w:hint="cs"/>
          <w:rtl/>
        </w:rPr>
        <w:t>י</w:t>
      </w:r>
      <w:r w:rsidRPr="009F6E26">
        <w:rPr>
          <w:rtl/>
        </w:rPr>
        <w:t xml:space="preserve"> </w:t>
      </w:r>
      <w:r w:rsidRPr="009F6E26">
        <w:rPr>
          <w:rFonts w:hint="cs"/>
          <w:rtl/>
        </w:rPr>
        <w:t>בשעה</w:t>
      </w:r>
      <w:r w:rsidRPr="009F6E26">
        <w:rPr>
          <w:rtl/>
        </w:rPr>
        <w:t xml:space="preserve"> </w:t>
      </w:r>
      <w:r w:rsidRPr="009F6E26">
        <w:rPr>
          <w:rFonts w:hint="cs"/>
          <w:rtl/>
        </w:rPr>
        <w:t>שנולד</w:t>
      </w:r>
      <w:r w:rsidRPr="009F6E26">
        <w:rPr>
          <w:rtl/>
        </w:rPr>
        <w:t xml:space="preserve">, </w:t>
      </w:r>
      <w:r w:rsidRPr="009F6E26">
        <w:rPr>
          <w:rFonts w:hint="cs"/>
          <w:rtl/>
        </w:rPr>
        <w:t>אבל</w:t>
      </w:r>
      <w:r w:rsidRPr="009F6E26">
        <w:rPr>
          <w:rtl/>
        </w:rPr>
        <w:t xml:space="preserve"> </w:t>
      </w:r>
      <w:r w:rsidRPr="009F6E26">
        <w:rPr>
          <w:rFonts w:hint="cs"/>
          <w:rtl/>
        </w:rPr>
        <w:t>כעת</w:t>
      </w:r>
      <w:r w:rsidRPr="009F6E26">
        <w:rPr>
          <w:rtl/>
        </w:rPr>
        <w:t xml:space="preserve"> </w:t>
      </w:r>
      <w:r w:rsidRPr="009F6E26">
        <w:rPr>
          <w:rFonts w:hint="cs"/>
          <w:rtl/>
        </w:rPr>
        <w:t>כשהוא</w:t>
      </w:r>
      <w:r w:rsidRPr="009F6E26">
        <w:rPr>
          <w:rtl/>
        </w:rPr>
        <w:t xml:space="preserve"> </w:t>
      </w:r>
      <w:r w:rsidRPr="009F6E26">
        <w:rPr>
          <w:rFonts w:hint="cs"/>
          <w:rtl/>
        </w:rPr>
        <w:t>כבר</w:t>
      </w:r>
      <w:r w:rsidRPr="009F6E26">
        <w:rPr>
          <w:rtl/>
        </w:rPr>
        <w:t xml:space="preserve"> </w:t>
      </w:r>
      <w:r w:rsidRPr="009F6E26">
        <w:rPr>
          <w:rFonts w:hint="cs"/>
          <w:rtl/>
        </w:rPr>
        <w:t>בעולם</w:t>
      </w:r>
      <w:r w:rsidRPr="009F6E26">
        <w:rPr>
          <w:rtl/>
        </w:rPr>
        <w:t xml:space="preserve"> </w:t>
      </w:r>
      <w:r w:rsidRPr="009F6E26">
        <w:rPr>
          <w:rFonts w:hint="cs"/>
          <w:rtl/>
        </w:rPr>
        <w:t>האמת</w:t>
      </w:r>
      <w:r>
        <w:rPr>
          <w:rFonts w:hint="cs"/>
          <w:rtl/>
        </w:rPr>
        <w:t>,</w:t>
      </w:r>
      <w:r w:rsidRPr="009F6E26">
        <w:rPr>
          <w:rtl/>
        </w:rPr>
        <w:t xml:space="preserve"> </w:t>
      </w:r>
      <w:r w:rsidRPr="009F6E26">
        <w:rPr>
          <w:rFonts w:hint="cs"/>
          <w:rtl/>
        </w:rPr>
        <w:t>אפשר</w:t>
      </w:r>
      <w:r w:rsidRPr="009F6E26">
        <w:rPr>
          <w:rtl/>
        </w:rPr>
        <w:t xml:space="preserve"> </w:t>
      </w:r>
      <w:r w:rsidRPr="009F6E26">
        <w:rPr>
          <w:rFonts w:hint="cs"/>
          <w:rtl/>
        </w:rPr>
        <w:t>להוסיף</w:t>
      </w:r>
      <w:r w:rsidRPr="009F6E26">
        <w:rPr>
          <w:rtl/>
        </w:rPr>
        <w:t xml:space="preserve"> </w:t>
      </w:r>
      <w:r w:rsidRPr="009F6E26">
        <w:rPr>
          <w:rFonts w:hint="cs"/>
          <w:rtl/>
        </w:rPr>
        <w:t>את</w:t>
      </w:r>
      <w:r w:rsidRPr="009F6E26">
        <w:rPr>
          <w:rtl/>
        </w:rPr>
        <w:t xml:space="preserve"> </w:t>
      </w:r>
      <w:r w:rsidRPr="009F6E26">
        <w:rPr>
          <w:rFonts w:hint="cs"/>
          <w:rtl/>
        </w:rPr>
        <w:t>השם</w:t>
      </w:r>
      <w:r w:rsidRPr="009F6E26">
        <w:rPr>
          <w:rtl/>
        </w:rPr>
        <w:t xml:space="preserve"> </w:t>
      </w:r>
      <w:r>
        <w:rPr>
          <w:rFonts w:hint="cs"/>
          <w:rtl/>
        </w:rPr>
        <w:t>"</w:t>
      </w:r>
      <w:r w:rsidRPr="009F6E26">
        <w:rPr>
          <w:rFonts w:hint="cs"/>
          <w:rtl/>
        </w:rPr>
        <w:t>מאיר</w:t>
      </w:r>
      <w:r>
        <w:rPr>
          <w:rFonts w:hint="cs"/>
          <w:rtl/>
        </w:rPr>
        <w:t xml:space="preserve">", ולכן ברצונו להוסיף לעצמו את השם </w:t>
      </w:r>
      <w:r>
        <w:rPr>
          <w:rtl/>
        </w:rPr>
        <w:t>–</w:t>
      </w:r>
      <w:r>
        <w:rPr>
          <w:rFonts w:hint="cs"/>
          <w:rtl/>
        </w:rPr>
        <w:t>"מאיר"</w:t>
      </w:r>
      <w:r>
        <w:rPr>
          <w:rStyle w:val="FootnoteReference"/>
          <w:rtl/>
        </w:rPr>
        <w:footnoteReference w:id="216"/>
      </w:r>
      <w:r>
        <w:rPr>
          <w:rFonts w:hint="cs"/>
          <w:rtl/>
        </w:rPr>
        <w:t>.</w:t>
      </w:r>
    </w:p>
    <w:p w:rsidR="00A80BCE" w:rsidRDefault="00A80BCE" w:rsidP="00F146A6">
      <w:pPr>
        <w:pStyle w:val="a3"/>
        <w:rPr>
          <w:rtl/>
        </w:rPr>
      </w:pPr>
      <w:r>
        <w:rPr>
          <w:rFonts w:hint="cs"/>
          <w:rtl/>
        </w:rPr>
        <w:t>הרבי</w:t>
      </w:r>
      <w:r w:rsidRPr="009F6E26">
        <w:rPr>
          <w:rtl/>
        </w:rPr>
        <w:t xml:space="preserve"> </w:t>
      </w:r>
      <w:r w:rsidRPr="009F6E26">
        <w:rPr>
          <w:rFonts w:hint="cs"/>
          <w:rtl/>
        </w:rPr>
        <w:t>לא</w:t>
      </w:r>
      <w:r w:rsidRPr="009F6E26">
        <w:rPr>
          <w:rtl/>
        </w:rPr>
        <w:t xml:space="preserve"> </w:t>
      </w:r>
      <w:r w:rsidRPr="009F6E26">
        <w:rPr>
          <w:rFonts w:hint="cs"/>
          <w:rtl/>
        </w:rPr>
        <w:t>קיבל</w:t>
      </w:r>
      <w:r w:rsidRPr="009F6E26">
        <w:rPr>
          <w:rtl/>
        </w:rPr>
        <w:t xml:space="preserve"> </w:t>
      </w:r>
      <w:r w:rsidRPr="009F6E26">
        <w:rPr>
          <w:rFonts w:hint="cs"/>
          <w:rtl/>
        </w:rPr>
        <w:t>את</w:t>
      </w:r>
      <w:r w:rsidRPr="009F6E26">
        <w:rPr>
          <w:rtl/>
        </w:rPr>
        <w:t xml:space="preserve"> </w:t>
      </w:r>
      <w:r w:rsidRPr="009F6E26">
        <w:rPr>
          <w:rFonts w:hint="cs"/>
          <w:rtl/>
        </w:rPr>
        <w:t>זה</w:t>
      </w:r>
      <w:r w:rsidRPr="009F6E26">
        <w:rPr>
          <w:rtl/>
        </w:rPr>
        <w:t xml:space="preserve">, </w:t>
      </w:r>
      <w:r w:rsidRPr="009F6E26">
        <w:rPr>
          <w:rFonts w:hint="cs"/>
          <w:rtl/>
        </w:rPr>
        <w:t>אלא</w:t>
      </w:r>
      <w:r w:rsidRPr="009F6E26">
        <w:rPr>
          <w:rtl/>
        </w:rPr>
        <w:t xml:space="preserve"> </w:t>
      </w:r>
      <w:r w:rsidRPr="009F6E26">
        <w:rPr>
          <w:rFonts w:hint="cs"/>
          <w:rtl/>
        </w:rPr>
        <w:t>הציע</w:t>
      </w:r>
      <w:r w:rsidRPr="009F6E26">
        <w:rPr>
          <w:rtl/>
        </w:rPr>
        <w:t xml:space="preserve"> </w:t>
      </w:r>
      <w:r>
        <w:rPr>
          <w:rFonts w:hint="cs"/>
          <w:rtl/>
        </w:rPr>
        <w:t>לו</w:t>
      </w:r>
      <w:r w:rsidRPr="009F6E26">
        <w:rPr>
          <w:rtl/>
        </w:rPr>
        <w:t xml:space="preserve"> </w:t>
      </w:r>
      <w:r>
        <w:rPr>
          <w:rFonts w:hint="cs"/>
          <w:rtl/>
        </w:rPr>
        <w:t>לה</w:t>
      </w:r>
      <w:r w:rsidRPr="009F6E26">
        <w:rPr>
          <w:rFonts w:hint="cs"/>
          <w:rtl/>
        </w:rPr>
        <w:t>וסיף</w:t>
      </w:r>
      <w:r w:rsidRPr="009F6E26">
        <w:rPr>
          <w:rtl/>
        </w:rPr>
        <w:t xml:space="preserve"> </w:t>
      </w:r>
      <w:r w:rsidRPr="009F6E26">
        <w:rPr>
          <w:rFonts w:hint="cs"/>
          <w:rtl/>
        </w:rPr>
        <w:t>את</w:t>
      </w:r>
      <w:r w:rsidRPr="009F6E26">
        <w:rPr>
          <w:rtl/>
        </w:rPr>
        <w:t xml:space="preserve"> </w:t>
      </w:r>
      <w:r w:rsidRPr="009F6E26">
        <w:rPr>
          <w:rFonts w:hint="cs"/>
          <w:rtl/>
        </w:rPr>
        <w:t>השם</w:t>
      </w:r>
      <w:r w:rsidRPr="009F6E26">
        <w:rPr>
          <w:rtl/>
        </w:rPr>
        <w:t xml:space="preserve"> </w:t>
      </w:r>
      <w:r>
        <w:rPr>
          <w:rFonts w:hint="cs"/>
          <w:rtl/>
        </w:rPr>
        <w:t>"</w:t>
      </w:r>
      <w:r w:rsidRPr="009F6E26">
        <w:rPr>
          <w:rFonts w:hint="cs"/>
          <w:rtl/>
        </w:rPr>
        <w:t>אלתר</w:t>
      </w:r>
      <w:r>
        <w:rPr>
          <w:rFonts w:hint="cs"/>
          <w:rtl/>
        </w:rPr>
        <w:t>".</w:t>
      </w:r>
    </w:p>
    <w:p w:rsidR="00A80BCE" w:rsidRDefault="00A80BCE" w:rsidP="00F146A6">
      <w:pPr>
        <w:pStyle w:val="a3"/>
        <w:rPr>
          <w:rtl/>
        </w:rPr>
      </w:pPr>
      <w:r w:rsidRPr="00114CF2">
        <w:rPr>
          <w:rFonts w:hint="cs"/>
          <w:b/>
          <w:bCs/>
          <w:rtl/>
        </w:rPr>
        <w:t xml:space="preserve">"ברכה" </w:t>
      </w:r>
      <w:r w:rsidRPr="00A76621">
        <w:rPr>
          <w:rFonts w:hint="cs"/>
          <w:rtl/>
        </w:rPr>
        <w:t xml:space="preserve">או </w:t>
      </w:r>
      <w:r w:rsidRPr="00114CF2">
        <w:rPr>
          <w:rFonts w:hint="cs"/>
          <w:b/>
          <w:bCs/>
          <w:rtl/>
        </w:rPr>
        <w:t>"נחמה"</w:t>
      </w:r>
      <w:r>
        <w:rPr>
          <w:rFonts w:hint="cs"/>
          <w:rtl/>
        </w:rPr>
        <w:t xml:space="preserve"> </w:t>
      </w:r>
      <w:r>
        <w:rPr>
          <w:rtl/>
        </w:rPr>
        <w:t>–</w:t>
      </w:r>
      <w:r>
        <w:rPr>
          <w:rFonts w:hint="cs"/>
          <w:rtl/>
        </w:rPr>
        <w:t xml:space="preserve"> בתשרי תש"ל ר' עמרם הנ"ל כתב לרבי ששם הכלה ("שמחה")</w:t>
      </w:r>
      <w:r w:rsidRPr="00A76621">
        <w:rPr>
          <w:rFonts w:hint="cs"/>
          <w:rtl/>
        </w:rPr>
        <w:t xml:space="preserve"> </w:t>
      </w:r>
      <w:r>
        <w:rPr>
          <w:rFonts w:hint="cs"/>
          <w:rtl/>
        </w:rPr>
        <w:t>ושם אמו שווים, והרבי הורה לו שעלי' להוסיף שם נוסף, או "ברכה", או "נחמה".</w:t>
      </w:r>
      <w:bookmarkEnd w:id="180"/>
      <w:bookmarkEnd w:id="181"/>
      <w:bookmarkEnd w:id="182"/>
    </w:p>
    <w:p w:rsidR="00A80BCE" w:rsidRDefault="00A80BCE" w:rsidP="00F146A6">
      <w:pPr>
        <w:pStyle w:val="a3"/>
        <w:rPr>
          <w:rtl/>
        </w:rPr>
      </w:pPr>
      <w:r w:rsidRPr="00F41774">
        <w:rPr>
          <w:rFonts w:hint="cs"/>
          <w:b/>
          <w:bCs/>
          <w:rtl/>
        </w:rPr>
        <w:t>שמות של אחד</w:t>
      </w:r>
      <w:r w:rsidRPr="00F41774">
        <w:rPr>
          <w:b/>
          <w:bCs/>
          <w:rtl/>
        </w:rPr>
        <w:t xml:space="preserve"> </w:t>
      </w:r>
      <w:r w:rsidRPr="00F41774">
        <w:rPr>
          <w:rFonts w:hint="cs"/>
          <w:b/>
          <w:bCs/>
          <w:rtl/>
        </w:rPr>
        <w:t>הרביים</w:t>
      </w:r>
      <w:r w:rsidRPr="00F41774">
        <w:rPr>
          <w:b/>
          <w:bCs/>
          <w:rtl/>
        </w:rPr>
        <w:t xml:space="preserve"> </w:t>
      </w:r>
      <w:r w:rsidRPr="00F41774">
        <w:rPr>
          <w:rFonts w:hint="cs"/>
          <w:b/>
          <w:bCs/>
          <w:rtl/>
        </w:rPr>
        <w:t>או</w:t>
      </w:r>
      <w:r w:rsidRPr="00F41774">
        <w:rPr>
          <w:b/>
          <w:bCs/>
          <w:rtl/>
        </w:rPr>
        <w:t xml:space="preserve"> </w:t>
      </w:r>
      <w:r w:rsidRPr="00F41774">
        <w:rPr>
          <w:rFonts w:hint="cs"/>
          <w:b/>
          <w:bCs/>
          <w:rtl/>
        </w:rPr>
        <w:t>הרבנית</w:t>
      </w:r>
      <w:r>
        <w:rPr>
          <w:rFonts w:hint="cs"/>
          <w:rtl/>
        </w:rPr>
        <w:t xml:space="preserve"> - כשביררתי על כך בזמנו אצל המזכיר הריל"ג, הוא ענה לי שעל פי זכרונו לפעמים הרבי הורה שהשם הנוסף יהי' </w:t>
      </w:r>
      <w:r w:rsidRPr="008A7411">
        <w:rPr>
          <w:rFonts w:hint="cs"/>
          <w:rtl/>
        </w:rPr>
        <w:t>שם</w:t>
      </w:r>
      <w:r w:rsidRPr="008A7411">
        <w:rPr>
          <w:rtl/>
        </w:rPr>
        <w:t xml:space="preserve"> </w:t>
      </w:r>
      <w:r w:rsidRPr="008A7411">
        <w:rPr>
          <w:rFonts w:hint="cs"/>
          <w:rtl/>
        </w:rPr>
        <w:t>מאחד</w:t>
      </w:r>
      <w:r w:rsidRPr="008A7411">
        <w:rPr>
          <w:rtl/>
        </w:rPr>
        <w:t xml:space="preserve"> </w:t>
      </w:r>
      <w:r w:rsidRPr="008A7411">
        <w:rPr>
          <w:rFonts w:hint="cs"/>
          <w:rtl/>
        </w:rPr>
        <w:t>הרביים</w:t>
      </w:r>
      <w:r w:rsidRPr="008A7411">
        <w:rPr>
          <w:rtl/>
        </w:rPr>
        <w:t xml:space="preserve"> </w:t>
      </w:r>
      <w:r w:rsidRPr="008A7411">
        <w:rPr>
          <w:rFonts w:hint="cs"/>
          <w:rtl/>
        </w:rPr>
        <w:lastRenderedPageBreak/>
        <w:t>או</w:t>
      </w:r>
      <w:r w:rsidRPr="008A7411">
        <w:rPr>
          <w:rtl/>
        </w:rPr>
        <w:t xml:space="preserve"> </w:t>
      </w:r>
      <w:r w:rsidRPr="008A7411">
        <w:rPr>
          <w:rFonts w:hint="cs"/>
          <w:rtl/>
        </w:rPr>
        <w:t>הרבניות</w:t>
      </w:r>
      <w:r>
        <w:rPr>
          <w:rStyle w:val="FootnoteReference"/>
          <w:rtl/>
        </w:rPr>
        <w:footnoteReference w:id="217"/>
      </w:r>
      <w:r>
        <w:rPr>
          <w:rFonts w:hint="cs"/>
          <w:rtl/>
        </w:rPr>
        <w:t>.</w:t>
      </w:r>
    </w:p>
    <w:p w:rsidR="00A80BCE" w:rsidRDefault="00A80BCE" w:rsidP="00F146A6">
      <w:pPr>
        <w:pStyle w:val="a3"/>
        <w:rPr>
          <w:rtl/>
        </w:rPr>
      </w:pPr>
      <w:r>
        <w:rPr>
          <w:rFonts w:hint="cs"/>
          <w:rtl/>
        </w:rPr>
        <w:t xml:space="preserve">והוסיף </w:t>
      </w:r>
      <w:r w:rsidRPr="00A4571C">
        <w:rPr>
          <w:rtl/>
        </w:rPr>
        <w:t xml:space="preserve">שבד"כ במקרה כשא' נקרא ע"ש אחד מרבותינו נשאינו, והי' שמו </w:t>
      </w:r>
      <w:r w:rsidRPr="00EB4D1F">
        <w:rPr>
          <w:rtl/>
        </w:rPr>
        <w:t>כשם</w:t>
      </w:r>
      <w:r w:rsidRPr="00A4571C">
        <w:rPr>
          <w:rtl/>
        </w:rPr>
        <w:t xml:space="preserve"> חותנו, </w:t>
      </w:r>
      <w:r>
        <w:rPr>
          <w:rFonts w:hint="cs"/>
          <w:rtl/>
        </w:rPr>
        <w:t>ה</w:t>
      </w:r>
      <w:r w:rsidRPr="00A4571C">
        <w:rPr>
          <w:rtl/>
        </w:rPr>
        <w:t>ורה הרבי להוסיף שם מא' הרביים</w:t>
      </w:r>
      <w:r>
        <w:rPr>
          <w:rFonts w:hint="cs"/>
          <w:rtl/>
        </w:rPr>
        <w:t xml:space="preserve"> דוקא</w:t>
      </w:r>
      <w:r>
        <w:rPr>
          <w:rStyle w:val="FootnoteReference"/>
          <w:rtl/>
        </w:rPr>
        <w:footnoteReference w:id="218"/>
      </w:r>
      <w:r w:rsidRPr="00A4571C">
        <w:rPr>
          <w:rtl/>
        </w:rPr>
        <w:t>.</w:t>
      </w:r>
    </w:p>
    <w:p w:rsidR="00A80BCE" w:rsidRDefault="00A80BCE" w:rsidP="00F146A6">
      <w:pPr>
        <w:pStyle w:val="a3"/>
        <w:rPr>
          <w:rtl/>
        </w:rPr>
      </w:pPr>
      <w:r>
        <w:rPr>
          <w:rFonts w:hint="cs"/>
          <w:b/>
          <w:bCs/>
          <w:rtl/>
        </w:rPr>
        <w:t>[</w:t>
      </w:r>
      <w:r w:rsidRPr="007875F5">
        <w:rPr>
          <w:rFonts w:hint="cs"/>
          <w:b/>
          <w:bCs/>
          <w:rtl/>
        </w:rPr>
        <w:t>בחירת שם ע</w:t>
      </w:r>
      <w:r w:rsidRPr="007875F5">
        <w:rPr>
          <w:b/>
          <w:bCs/>
          <w:rtl/>
        </w:rPr>
        <w:t>"</w:t>
      </w:r>
      <w:r w:rsidRPr="007875F5">
        <w:rPr>
          <w:rFonts w:hint="cs"/>
          <w:b/>
          <w:bCs/>
          <w:rtl/>
        </w:rPr>
        <w:t>פ</w:t>
      </w:r>
      <w:r w:rsidRPr="007875F5">
        <w:rPr>
          <w:b/>
          <w:bCs/>
          <w:rtl/>
        </w:rPr>
        <w:t xml:space="preserve"> </w:t>
      </w:r>
      <w:r w:rsidRPr="007875F5">
        <w:rPr>
          <w:rFonts w:hint="cs"/>
          <w:b/>
          <w:bCs/>
          <w:rtl/>
        </w:rPr>
        <w:t>עצת</w:t>
      </w:r>
      <w:r w:rsidRPr="007875F5">
        <w:rPr>
          <w:b/>
          <w:bCs/>
          <w:rtl/>
        </w:rPr>
        <w:t xml:space="preserve"> </w:t>
      </w:r>
      <w:r w:rsidRPr="007875F5">
        <w:rPr>
          <w:rFonts w:hint="cs"/>
          <w:b/>
          <w:bCs/>
          <w:rtl/>
        </w:rPr>
        <w:t>רב</w:t>
      </w:r>
      <w:r w:rsidRPr="007875F5">
        <w:rPr>
          <w:b/>
          <w:bCs/>
          <w:rtl/>
        </w:rPr>
        <w:t xml:space="preserve"> </w:t>
      </w:r>
      <w:r w:rsidRPr="007875F5">
        <w:rPr>
          <w:rFonts w:hint="cs"/>
          <w:b/>
          <w:bCs/>
          <w:rtl/>
        </w:rPr>
        <w:t>מורה</w:t>
      </w:r>
      <w:r w:rsidRPr="007875F5">
        <w:rPr>
          <w:b/>
          <w:bCs/>
          <w:rtl/>
        </w:rPr>
        <w:t xml:space="preserve"> </w:t>
      </w:r>
      <w:r w:rsidRPr="007875F5">
        <w:rPr>
          <w:rFonts w:hint="cs"/>
          <w:b/>
          <w:bCs/>
          <w:rtl/>
        </w:rPr>
        <w:t>הוראה</w:t>
      </w:r>
      <w:r>
        <w:rPr>
          <w:rtl/>
        </w:rPr>
        <w:t xml:space="preserve"> </w:t>
      </w:r>
      <w:r>
        <w:rPr>
          <w:rFonts w:hint="cs"/>
          <w:rtl/>
        </w:rPr>
        <w:t>- כמו</w:t>
      </w:r>
      <w:r>
        <w:rPr>
          <w:rtl/>
        </w:rPr>
        <w:t>"</w:t>
      </w:r>
      <w:r>
        <w:rPr>
          <w:rFonts w:hint="cs"/>
          <w:rtl/>
        </w:rPr>
        <w:t>כ</w:t>
      </w:r>
      <w:r>
        <w:rPr>
          <w:rtl/>
        </w:rPr>
        <w:t xml:space="preserve"> </w:t>
      </w:r>
      <w:r>
        <w:rPr>
          <w:rFonts w:hint="cs"/>
          <w:rtl/>
        </w:rPr>
        <w:t>יש</w:t>
      </w:r>
      <w:r>
        <w:rPr>
          <w:rtl/>
        </w:rPr>
        <w:t xml:space="preserve"> </w:t>
      </w:r>
      <w:r>
        <w:rPr>
          <w:rFonts w:hint="cs"/>
          <w:rtl/>
        </w:rPr>
        <w:t>לציין</w:t>
      </w:r>
      <w:r>
        <w:rPr>
          <w:rtl/>
        </w:rPr>
        <w:t xml:space="preserve"> </w:t>
      </w:r>
      <w:r>
        <w:rPr>
          <w:rFonts w:hint="cs"/>
          <w:rtl/>
        </w:rPr>
        <w:t>לאג</w:t>
      </w:r>
      <w:r>
        <w:rPr>
          <w:rtl/>
        </w:rPr>
        <w:t>"</w:t>
      </w:r>
      <w:r>
        <w:rPr>
          <w:rFonts w:hint="cs"/>
          <w:rtl/>
        </w:rPr>
        <w:t>ק</w:t>
      </w:r>
      <w:r>
        <w:rPr>
          <w:rtl/>
        </w:rPr>
        <w:t xml:space="preserve"> </w:t>
      </w:r>
      <w:r>
        <w:rPr>
          <w:rFonts w:hint="cs"/>
          <w:rtl/>
        </w:rPr>
        <w:t>חכ</w:t>
      </w:r>
      <w:r>
        <w:rPr>
          <w:rtl/>
        </w:rPr>
        <w:t>"</w:t>
      </w:r>
      <w:r>
        <w:rPr>
          <w:rFonts w:hint="cs"/>
          <w:rtl/>
        </w:rPr>
        <w:t>ד</w:t>
      </w:r>
      <w:r>
        <w:rPr>
          <w:rtl/>
        </w:rPr>
        <w:t xml:space="preserve"> </w:t>
      </w:r>
      <w:r>
        <w:rPr>
          <w:rFonts w:hint="cs"/>
          <w:rtl/>
        </w:rPr>
        <w:t>עמ</w:t>
      </w:r>
      <w:r>
        <w:rPr>
          <w:rtl/>
        </w:rPr>
        <w:t xml:space="preserve">' </w:t>
      </w:r>
      <w:r>
        <w:rPr>
          <w:rFonts w:hint="cs"/>
          <w:rtl/>
        </w:rPr>
        <w:t>רצה,</w:t>
      </w:r>
      <w:r>
        <w:rPr>
          <w:rtl/>
        </w:rPr>
        <w:t xml:space="preserve"> </w:t>
      </w:r>
      <w:r>
        <w:rPr>
          <w:rFonts w:hint="cs"/>
          <w:rtl/>
        </w:rPr>
        <w:t>ממכתב</w:t>
      </w:r>
      <w:r>
        <w:rPr>
          <w:rtl/>
        </w:rPr>
        <w:t xml:space="preserve"> </w:t>
      </w:r>
      <w:r>
        <w:rPr>
          <w:rFonts w:hint="cs"/>
          <w:rtl/>
        </w:rPr>
        <w:t>מיום</w:t>
      </w:r>
      <w:r>
        <w:rPr>
          <w:rtl/>
        </w:rPr>
        <w:t xml:space="preserve"> </w:t>
      </w:r>
      <w:r>
        <w:rPr>
          <w:rFonts w:hint="cs"/>
          <w:rtl/>
        </w:rPr>
        <w:t>ה</w:t>
      </w:r>
      <w:r>
        <w:rPr>
          <w:rtl/>
        </w:rPr>
        <w:t xml:space="preserve">' </w:t>
      </w:r>
      <w:r>
        <w:rPr>
          <w:rFonts w:hint="cs"/>
          <w:rtl/>
        </w:rPr>
        <w:t>אדר</w:t>
      </w:r>
      <w:r>
        <w:rPr>
          <w:rtl/>
        </w:rPr>
        <w:t xml:space="preserve"> </w:t>
      </w:r>
      <w:r>
        <w:rPr>
          <w:rFonts w:hint="cs"/>
          <w:rtl/>
        </w:rPr>
        <w:t>תשכ</w:t>
      </w:r>
      <w:r>
        <w:rPr>
          <w:rtl/>
        </w:rPr>
        <w:t>"</w:t>
      </w:r>
      <w:r>
        <w:rPr>
          <w:rFonts w:hint="cs"/>
          <w:rtl/>
        </w:rPr>
        <w:t>ז</w:t>
      </w:r>
      <w:r>
        <w:rPr>
          <w:rtl/>
        </w:rPr>
        <w:t xml:space="preserve">, </w:t>
      </w:r>
      <w:r>
        <w:rPr>
          <w:rFonts w:hint="cs"/>
          <w:rtl/>
        </w:rPr>
        <w:t>לאחד</w:t>
      </w:r>
      <w:r>
        <w:rPr>
          <w:rtl/>
        </w:rPr>
        <w:t xml:space="preserve"> </w:t>
      </w:r>
      <w:r>
        <w:rPr>
          <w:rFonts w:hint="cs"/>
          <w:rtl/>
        </w:rPr>
        <w:t>מאחבנ</w:t>
      </w:r>
      <w:r>
        <w:rPr>
          <w:rtl/>
        </w:rPr>
        <w:t>"</w:t>
      </w:r>
      <w:r>
        <w:rPr>
          <w:rFonts w:hint="cs"/>
          <w:rtl/>
        </w:rPr>
        <w:t>י</w:t>
      </w:r>
      <w:r>
        <w:rPr>
          <w:rtl/>
        </w:rPr>
        <w:t xml:space="preserve"> </w:t>
      </w:r>
      <w:r>
        <w:rPr>
          <w:rFonts w:hint="cs"/>
          <w:rtl/>
        </w:rPr>
        <w:t>הספרדים</w:t>
      </w:r>
      <w:r>
        <w:rPr>
          <w:rtl/>
        </w:rPr>
        <w:t xml:space="preserve"> </w:t>
      </w:r>
      <w:r>
        <w:rPr>
          <w:rFonts w:hint="cs"/>
          <w:rtl/>
        </w:rPr>
        <w:t>ששמו</w:t>
      </w:r>
      <w:r>
        <w:rPr>
          <w:rtl/>
        </w:rPr>
        <w:t xml:space="preserve"> </w:t>
      </w:r>
      <w:r>
        <w:rPr>
          <w:rFonts w:hint="cs"/>
          <w:rtl/>
        </w:rPr>
        <w:t>כשם</w:t>
      </w:r>
      <w:r>
        <w:rPr>
          <w:rtl/>
        </w:rPr>
        <w:t xml:space="preserve"> </w:t>
      </w:r>
      <w:r>
        <w:rPr>
          <w:rFonts w:hint="cs"/>
          <w:rtl/>
        </w:rPr>
        <w:t>חותנו</w:t>
      </w:r>
      <w:r>
        <w:rPr>
          <w:rtl/>
        </w:rPr>
        <w:t xml:space="preserve">, </w:t>
      </w:r>
      <w:r>
        <w:rPr>
          <w:rFonts w:hint="cs"/>
          <w:rtl/>
        </w:rPr>
        <w:t>ושאל</w:t>
      </w:r>
      <w:r>
        <w:rPr>
          <w:rtl/>
        </w:rPr>
        <w:t xml:space="preserve"> </w:t>
      </w:r>
      <w:r>
        <w:rPr>
          <w:rFonts w:hint="cs"/>
          <w:rtl/>
        </w:rPr>
        <w:t>אם</w:t>
      </w:r>
      <w:r>
        <w:rPr>
          <w:rtl/>
        </w:rPr>
        <w:t xml:space="preserve"> </w:t>
      </w:r>
      <w:r>
        <w:rPr>
          <w:rFonts w:hint="cs"/>
          <w:rtl/>
        </w:rPr>
        <w:t>להוסיף</w:t>
      </w:r>
      <w:r>
        <w:rPr>
          <w:rtl/>
        </w:rPr>
        <w:t xml:space="preserve"> </w:t>
      </w:r>
      <w:r>
        <w:rPr>
          <w:rFonts w:hint="cs"/>
          <w:rtl/>
        </w:rPr>
        <w:t>שם</w:t>
      </w:r>
      <w:r>
        <w:rPr>
          <w:rtl/>
        </w:rPr>
        <w:t xml:space="preserve">, </w:t>
      </w:r>
      <w:r w:rsidRPr="0016020E">
        <w:rPr>
          <w:rFonts w:hint="cs"/>
          <w:b/>
          <w:bCs/>
          <w:rtl/>
        </w:rPr>
        <w:t>ואיזה</w:t>
      </w:r>
      <w:r w:rsidRPr="0016020E">
        <w:rPr>
          <w:b/>
          <w:bCs/>
          <w:rtl/>
        </w:rPr>
        <w:t xml:space="preserve"> </w:t>
      </w:r>
      <w:r w:rsidRPr="0016020E">
        <w:rPr>
          <w:rFonts w:hint="cs"/>
          <w:b/>
          <w:bCs/>
          <w:rtl/>
        </w:rPr>
        <w:t>שם</w:t>
      </w:r>
      <w:r>
        <w:rPr>
          <w:rtl/>
        </w:rPr>
        <w:t xml:space="preserve"> </w:t>
      </w:r>
      <w:r>
        <w:rPr>
          <w:rFonts w:hint="cs"/>
          <w:rtl/>
        </w:rPr>
        <w:t>להוסיף, וע"ז כתב הרבי: "לכתבו</w:t>
      </w:r>
      <w:r>
        <w:rPr>
          <w:rtl/>
        </w:rPr>
        <w:t xml:space="preserve"> </w:t>
      </w:r>
      <w:r>
        <w:rPr>
          <w:rFonts w:hint="cs"/>
          <w:rtl/>
        </w:rPr>
        <w:t>ע</w:t>
      </w:r>
      <w:r>
        <w:rPr>
          <w:rtl/>
        </w:rPr>
        <w:t>"</w:t>
      </w:r>
      <w:r>
        <w:rPr>
          <w:rFonts w:hint="cs"/>
          <w:rtl/>
        </w:rPr>
        <w:t>ד</w:t>
      </w:r>
      <w:r>
        <w:rPr>
          <w:rtl/>
        </w:rPr>
        <w:t xml:space="preserve"> </w:t>
      </w:r>
      <w:r>
        <w:rPr>
          <w:rFonts w:hint="cs"/>
          <w:rtl/>
        </w:rPr>
        <w:t>הוספת</w:t>
      </w:r>
      <w:r>
        <w:rPr>
          <w:rtl/>
        </w:rPr>
        <w:t xml:space="preserve"> </w:t>
      </w:r>
      <w:r>
        <w:rPr>
          <w:rFonts w:hint="cs"/>
          <w:rtl/>
        </w:rPr>
        <w:t>שם</w:t>
      </w:r>
      <w:r>
        <w:rPr>
          <w:rtl/>
        </w:rPr>
        <w:t xml:space="preserve"> </w:t>
      </w:r>
      <w:r>
        <w:rPr>
          <w:rFonts w:hint="cs"/>
          <w:rtl/>
        </w:rPr>
        <w:t>ואיזה</w:t>
      </w:r>
      <w:r>
        <w:rPr>
          <w:rtl/>
        </w:rPr>
        <w:t xml:space="preserve"> - </w:t>
      </w:r>
      <w:r>
        <w:rPr>
          <w:rFonts w:hint="cs"/>
          <w:rtl/>
        </w:rPr>
        <w:t>יבחר</w:t>
      </w:r>
      <w:r>
        <w:rPr>
          <w:rtl/>
        </w:rPr>
        <w:t xml:space="preserve"> </w:t>
      </w:r>
      <w:r>
        <w:rPr>
          <w:rFonts w:hint="cs"/>
          <w:rtl/>
        </w:rPr>
        <w:t>בשם</w:t>
      </w:r>
      <w:r>
        <w:rPr>
          <w:rtl/>
        </w:rPr>
        <w:t xml:space="preserve"> </w:t>
      </w:r>
      <w:r>
        <w:rPr>
          <w:rFonts w:hint="cs"/>
          <w:rtl/>
        </w:rPr>
        <w:t>ע</w:t>
      </w:r>
      <w:r>
        <w:rPr>
          <w:rtl/>
        </w:rPr>
        <w:t>"</w:t>
      </w:r>
      <w:r>
        <w:rPr>
          <w:rFonts w:hint="cs"/>
          <w:rtl/>
        </w:rPr>
        <w:t>פ</w:t>
      </w:r>
      <w:r>
        <w:rPr>
          <w:rtl/>
        </w:rPr>
        <w:t xml:space="preserve"> </w:t>
      </w:r>
      <w:r>
        <w:rPr>
          <w:rFonts w:hint="cs"/>
          <w:rtl/>
        </w:rPr>
        <w:t>עצת</w:t>
      </w:r>
      <w:r>
        <w:rPr>
          <w:rtl/>
        </w:rPr>
        <w:t xml:space="preserve"> </w:t>
      </w:r>
      <w:r>
        <w:rPr>
          <w:rFonts w:hint="cs"/>
          <w:rtl/>
        </w:rPr>
        <w:t>רב</w:t>
      </w:r>
      <w:r>
        <w:rPr>
          <w:rtl/>
        </w:rPr>
        <w:t xml:space="preserve"> </w:t>
      </w:r>
      <w:r>
        <w:rPr>
          <w:rFonts w:hint="cs"/>
          <w:rtl/>
        </w:rPr>
        <w:t>מורה</w:t>
      </w:r>
      <w:r>
        <w:rPr>
          <w:rtl/>
        </w:rPr>
        <w:t xml:space="preserve"> </w:t>
      </w:r>
      <w:r>
        <w:rPr>
          <w:rFonts w:hint="cs"/>
          <w:rtl/>
        </w:rPr>
        <w:t>הוראה</w:t>
      </w:r>
      <w:r>
        <w:rPr>
          <w:rtl/>
        </w:rPr>
        <w:t xml:space="preserve"> </w:t>
      </w:r>
      <w:r>
        <w:rPr>
          <w:rFonts w:hint="cs"/>
          <w:rtl/>
        </w:rPr>
        <w:t>במקומו</w:t>
      </w:r>
      <w:r>
        <w:rPr>
          <w:rtl/>
        </w:rPr>
        <w:t xml:space="preserve"> (</w:t>
      </w:r>
      <w:r>
        <w:rPr>
          <w:rFonts w:hint="cs"/>
          <w:rtl/>
        </w:rPr>
        <w:t>היינו</w:t>
      </w:r>
      <w:r>
        <w:rPr>
          <w:rtl/>
        </w:rPr>
        <w:t xml:space="preserve"> - </w:t>
      </w:r>
      <w:r>
        <w:rPr>
          <w:rFonts w:hint="cs"/>
          <w:rtl/>
        </w:rPr>
        <w:t>מקום</w:t>
      </w:r>
      <w:r>
        <w:rPr>
          <w:rtl/>
        </w:rPr>
        <w:t xml:space="preserve"> </w:t>
      </w:r>
      <w:r>
        <w:rPr>
          <w:rFonts w:hint="cs"/>
          <w:rtl/>
        </w:rPr>
        <w:t>שלומד</w:t>
      </w:r>
      <w:r>
        <w:rPr>
          <w:rtl/>
        </w:rPr>
        <w:t xml:space="preserve"> </w:t>
      </w:r>
      <w:r>
        <w:rPr>
          <w:rFonts w:hint="cs"/>
          <w:rtl/>
        </w:rPr>
        <w:t>תורה</w:t>
      </w:r>
      <w:r>
        <w:rPr>
          <w:rtl/>
        </w:rPr>
        <w:t xml:space="preserve"> </w:t>
      </w:r>
      <w:r>
        <w:rPr>
          <w:rFonts w:hint="cs"/>
          <w:rtl/>
        </w:rPr>
        <w:t>ומתפלל</w:t>
      </w:r>
      <w:r>
        <w:rPr>
          <w:rtl/>
        </w:rPr>
        <w:t xml:space="preserve"> </w:t>
      </w:r>
      <w:r>
        <w:rPr>
          <w:rFonts w:hint="cs"/>
          <w:rtl/>
        </w:rPr>
        <w:t>וכו</w:t>
      </w:r>
      <w:r>
        <w:rPr>
          <w:rtl/>
        </w:rPr>
        <w:t>')</w:t>
      </w:r>
      <w:r>
        <w:rPr>
          <w:rFonts w:hint="cs"/>
          <w:rtl/>
        </w:rPr>
        <w:t>"</w:t>
      </w:r>
      <w:r>
        <w:rPr>
          <w:rStyle w:val="FootnoteReference"/>
          <w:rtl/>
        </w:rPr>
        <w:footnoteReference w:id="219"/>
      </w:r>
      <w:r>
        <w:rPr>
          <w:rFonts w:hint="cs"/>
          <w:rtl/>
        </w:rPr>
        <w:t>.]</w:t>
      </w:r>
    </w:p>
    <w:p w:rsidR="00A80BCE" w:rsidRPr="0016020E" w:rsidRDefault="00A80BCE" w:rsidP="00F146A6">
      <w:pPr>
        <w:pStyle w:val="a3"/>
        <w:rPr>
          <w:rtl/>
        </w:rPr>
      </w:pPr>
      <w:r>
        <w:rPr>
          <w:rFonts w:hint="cs"/>
          <w:rtl/>
        </w:rPr>
        <w:t>מכל זה נראה (כפי שציין רמ"מ רייצס, שם) שהשמות שהרבי בחר, היו שמות שיש</w:t>
      </w:r>
      <w:r w:rsidRPr="002D0015">
        <w:rPr>
          <w:rFonts w:hint="cs"/>
          <w:rtl/>
        </w:rPr>
        <w:t xml:space="preserve"> </w:t>
      </w:r>
      <w:r>
        <w:rPr>
          <w:rFonts w:hint="cs"/>
          <w:rtl/>
        </w:rPr>
        <w:t xml:space="preserve">בהם </w:t>
      </w:r>
      <w:r w:rsidRPr="002D0015">
        <w:rPr>
          <w:rFonts w:hint="cs"/>
          <w:rtl/>
        </w:rPr>
        <w:t xml:space="preserve">תוכן </w:t>
      </w:r>
      <w:r>
        <w:rPr>
          <w:rFonts w:hint="cs"/>
          <w:rtl/>
        </w:rPr>
        <w:t xml:space="preserve">של ברכה, הוספה, </w:t>
      </w:r>
      <w:r w:rsidRPr="002D0015">
        <w:rPr>
          <w:rFonts w:hint="cs"/>
          <w:rtl/>
        </w:rPr>
        <w:t>ואריכות ימים</w:t>
      </w:r>
      <w:r>
        <w:rPr>
          <w:rFonts w:hint="cs"/>
          <w:rtl/>
        </w:rPr>
        <w:t>, וכמו"כ שמות הרביים</w:t>
      </w:r>
      <w:r>
        <w:rPr>
          <w:rStyle w:val="FootnoteReference"/>
          <w:rtl/>
        </w:rPr>
        <w:footnoteReference w:id="220"/>
      </w:r>
      <w:r>
        <w:rPr>
          <w:rFonts w:hint="cs"/>
          <w:rtl/>
        </w:rPr>
        <w:t>.</w:t>
      </w:r>
    </w:p>
    <w:p w:rsidR="00A80BCE" w:rsidRPr="00522DDB" w:rsidRDefault="00A80BCE" w:rsidP="00F146A6">
      <w:pPr>
        <w:pStyle w:val="a3"/>
        <w:rPr>
          <w:rtl/>
        </w:rPr>
      </w:pPr>
      <w:bookmarkStart w:id="187" w:name="_Toc522059219"/>
      <w:bookmarkStart w:id="188" w:name="_Toc39649262"/>
      <w:bookmarkStart w:id="189" w:name="_Toc41488734"/>
      <w:r w:rsidRPr="00522DDB">
        <w:rPr>
          <w:rFonts w:hint="cs"/>
          <w:rtl/>
        </w:rPr>
        <w:t>כשבנוסף לשם השוה יש עוד שם ושם הקריאה משותף</w:t>
      </w:r>
      <w:bookmarkEnd w:id="187"/>
      <w:bookmarkEnd w:id="188"/>
      <w:bookmarkEnd w:id="189"/>
    </w:p>
    <w:p w:rsidR="00A80BCE" w:rsidRDefault="00A80BCE" w:rsidP="00F146A6">
      <w:pPr>
        <w:pStyle w:val="a3"/>
        <w:rPr>
          <w:rtl/>
        </w:rPr>
      </w:pPr>
      <w:r>
        <w:rPr>
          <w:rFonts w:hint="cs"/>
          <w:rtl/>
        </w:rPr>
        <w:t>כיון</w:t>
      </w:r>
      <w:r w:rsidRPr="00EB4D1F">
        <w:rPr>
          <w:rtl/>
        </w:rPr>
        <w:t xml:space="preserve"> </w:t>
      </w:r>
      <w:r w:rsidRPr="00EB4D1F">
        <w:rPr>
          <w:rFonts w:hint="cs"/>
          <w:rtl/>
        </w:rPr>
        <w:t>דאתינן</w:t>
      </w:r>
      <w:r w:rsidRPr="00EB4D1F">
        <w:rPr>
          <w:rtl/>
        </w:rPr>
        <w:t xml:space="preserve"> </w:t>
      </w:r>
      <w:r w:rsidRPr="00EB4D1F">
        <w:rPr>
          <w:rFonts w:hint="cs"/>
          <w:rtl/>
        </w:rPr>
        <w:t>להכא</w:t>
      </w:r>
      <w:r>
        <w:rPr>
          <w:rFonts w:hint="cs"/>
          <w:rtl/>
        </w:rPr>
        <w:t xml:space="preserve"> יש לציין, שלמרות במקרה שבנוסף לשם </w:t>
      </w:r>
      <w:r w:rsidRPr="00780847">
        <w:rPr>
          <w:rFonts w:hint="cs"/>
          <w:rtl/>
        </w:rPr>
        <w:t>השוה</w:t>
      </w:r>
      <w:r>
        <w:rPr>
          <w:rFonts w:hint="cs"/>
          <w:rtl/>
        </w:rPr>
        <w:t xml:space="preserve"> יש עוד שם, אין חשש כלל, וכפי שהרבי כתב כו"כ פעמים</w:t>
      </w:r>
      <w:r>
        <w:rPr>
          <w:rStyle w:val="FootnoteReference"/>
          <w:rtl/>
        </w:rPr>
        <w:footnoteReference w:id="221"/>
      </w:r>
      <w:r>
        <w:rPr>
          <w:rFonts w:hint="cs"/>
          <w:rtl/>
        </w:rPr>
        <w:t xml:space="preserve"> ש"</w:t>
      </w:r>
      <w:r w:rsidRPr="00FF579D">
        <w:rPr>
          <w:rFonts w:hint="cs"/>
          <w:rtl/>
        </w:rPr>
        <w:t>אנו</w:t>
      </w:r>
      <w:r w:rsidRPr="00FF579D">
        <w:rPr>
          <w:rtl/>
        </w:rPr>
        <w:t xml:space="preserve"> </w:t>
      </w:r>
      <w:r w:rsidRPr="00FF579D">
        <w:rPr>
          <w:rFonts w:hint="cs"/>
          <w:rtl/>
        </w:rPr>
        <w:t>אין</w:t>
      </w:r>
      <w:r w:rsidRPr="00FF579D">
        <w:rPr>
          <w:rtl/>
        </w:rPr>
        <w:t xml:space="preserve"> </w:t>
      </w:r>
      <w:r w:rsidRPr="00FF579D">
        <w:rPr>
          <w:rFonts w:hint="cs"/>
          <w:rtl/>
        </w:rPr>
        <w:t>לנו</w:t>
      </w:r>
      <w:r w:rsidRPr="00FF579D">
        <w:rPr>
          <w:rtl/>
        </w:rPr>
        <w:t xml:space="preserve"> </w:t>
      </w:r>
      <w:r w:rsidRPr="00FF579D">
        <w:rPr>
          <w:rFonts w:hint="cs"/>
          <w:rtl/>
        </w:rPr>
        <w:t>אלא</w:t>
      </w:r>
      <w:r w:rsidRPr="00FF579D">
        <w:rPr>
          <w:rtl/>
        </w:rPr>
        <w:t xml:space="preserve"> </w:t>
      </w:r>
      <w:r w:rsidRPr="00FF579D">
        <w:rPr>
          <w:rFonts w:hint="cs"/>
          <w:rtl/>
        </w:rPr>
        <w:t>פס</w:t>
      </w:r>
      <w:r w:rsidRPr="00FF579D">
        <w:rPr>
          <w:rtl/>
        </w:rPr>
        <w:t>"</w:t>
      </w:r>
      <w:r w:rsidRPr="00FF579D">
        <w:rPr>
          <w:rFonts w:hint="cs"/>
          <w:rtl/>
        </w:rPr>
        <w:t>ד</w:t>
      </w:r>
      <w:r w:rsidRPr="00FF579D">
        <w:rPr>
          <w:rtl/>
        </w:rPr>
        <w:t xml:space="preserve"> </w:t>
      </w:r>
      <w:r w:rsidRPr="00FF579D">
        <w:rPr>
          <w:rFonts w:hint="cs"/>
          <w:rtl/>
        </w:rPr>
        <w:t>כ</w:t>
      </w:r>
      <w:r w:rsidRPr="00FF579D">
        <w:rPr>
          <w:rtl/>
        </w:rPr>
        <w:t>"</w:t>
      </w:r>
      <w:r w:rsidRPr="00FF579D">
        <w:rPr>
          <w:rFonts w:hint="cs"/>
          <w:rtl/>
        </w:rPr>
        <w:t>ק</w:t>
      </w:r>
      <w:r w:rsidRPr="00FF579D">
        <w:rPr>
          <w:rtl/>
        </w:rPr>
        <w:t xml:space="preserve"> </w:t>
      </w:r>
      <w:r w:rsidRPr="00FF579D">
        <w:rPr>
          <w:rFonts w:hint="cs"/>
          <w:rtl/>
        </w:rPr>
        <w:t>אדמו</w:t>
      </w:r>
      <w:r w:rsidRPr="00FF579D">
        <w:rPr>
          <w:rtl/>
        </w:rPr>
        <w:t>"</w:t>
      </w:r>
      <w:r w:rsidRPr="00FF579D">
        <w:rPr>
          <w:rFonts w:hint="cs"/>
          <w:rtl/>
        </w:rPr>
        <w:t>ר</w:t>
      </w:r>
      <w:r w:rsidRPr="00FF579D">
        <w:rPr>
          <w:rtl/>
        </w:rPr>
        <w:t xml:space="preserve"> </w:t>
      </w:r>
      <w:r w:rsidRPr="00FF579D">
        <w:rPr>
          <w:rFonts w:hint="cs"/>
          <w:rtl/>
        </w:rPr>
        <w:t>הצ</w:t>
      </w:r>
      <w:r w:rsidRPr="00FF579D">
        <w:rPr>
          <w:rtl/>
        </w:rPr>
        <w:t>"</w:t>
      </w:r>
      <w:r w:rsidRPr="00FF579D">
        <w:rPr>
          <w:rFonts w:hint="cs"/>
          <w:rtl/>
        </w:rPr>
        <w:t>צ</w:t>
      </w:r>
      <w:r w:rsidRPr="00FF579D">
        <w:rPr>
          <w:rtl/>
        </w:rPr>
        <w:t xml:space="preserve"> (</w:t>
      </w:r>
      <w:r w:rsidRPr="00FF579D">
        <w:rPr>
          <w:rFonts w:hint="cs"/>
          <w:rtl/>
        </w:rPr>
        <w:t>שו</w:t>
      </w:r>
      <w:r w:rsidRPr="00FF579D">
        <w:rPr>
          <w:rtl/>
        </w:rPr>
        <w:t>"</w:t>
      </w:r>
      <w:r w:rsidRPr="00FF579D">
        <w:rPr>
          <w:rFonts w:hint="cs"/>
          <w:rtl/>
        </w:rPr>
        <w:t>ת</w:t>
      </w:r>
      <w:r w:rsidRPr="00FF579D">
        <w:rPr>
          <w:rtl/>
        </w:rPr>
        <w:t xml:space="preserve"> </w:t>
      </w:r>
      <w:r w:rsidRPr="00FF579D">
        <w:rPr>
          <w:rFonts w:hint="cs"/>
          <w:rtl/>
        </w:rPr>
        <w:t>אהע</w:t>
      </w:r>
      <w:r w:rsidRPr="00FF579D">
        <w:rPr>
          <w:rtl/>
        </w:rPr>
        <w:t>"</w:t>
      </w:r>
      <w:r w:rsidRPr="00FF579D">
        <w:rPr>
          <w:rFonts w:hint="cs"/>
          <w:rtl/>
        </w:rPr>
        <w:t>ז</w:t>
      </w:r>
      <w:r w:rsidRPr="00FF579D">
        <w:rPr>
          <w:rtl/>
        </w:rPr>
        <w:t xml:space="preserve"> </w:t>
      </w:r>
      <w:r w:rsidRPr="00FF579D">
        <w:rPr>
          <w:rFonts w:hint="cs"/>
          <w:rtl/>
        </w:rPr>
        <w:t>ח</w:t>
      </w:r>
      <w:r w:rsidRPr="00FF579D">
        <w:rPr>
          <w:rtl/>
        </w:rPr>
        <w:t>"</w:t>
      </w:r>
      <w:r w:rsidRPr="00FF579D">
        <w:rPr>
          <w:rFonts w:hint="cs"/>
          <w:rtl/>
        </w:rPr>
        <w:t>א</w:t>
      </w:r>
      <w:r w:rsidRPr="00FF579D">
        <w:rPr>
          <w:rtl/>
        </w:rPr>
        <w:t xml:space="preserve"> </w:t>
      </w:r>
      <w:r w:rsidRPr="00FF579D">
        <w:rPr>
          <w:rFonts w:hint="cs"/>
          <w:rtl/>
        </w:rPr>
        <w:t>סקמ</w:t>
      </w:r>
      <w:r w:rsidRPr="00FF579D">
        <w:rPr>
          <w:rtl/>
        </w:rPr>
        <w:t>"</w:t>
      </w:r>
      <w:r w:rsidRPr="00FF579D">
        <w:rPr>
          <w:rFonts w:hint="cs"/>
          <w:rtl/>
        </w:rPr>
        <w:t>ג</w:t>
      </w:r>
      <w:r w:rsidRPr="00FF579D">
        <w:rPr>
          <w:rtl/>
        </w:rPr>
        <w:t xml:space="preserve">, </w:t>
      </w:r>
      <w:r w:rsidRPr="00FF579D">
        <w:rPr>
          <w:rFonts w:hint="cs"/>
          <w:rtl/>
        </w:rPr>
        <w:t>פסק</w:t>
      </w:r>
      <w:r w:rsidRPr="00FF579D">
        <w:rPr>
          <w:rtl/>
        </w:rPr>
        <w:t>"</w:t>
      </w:r>
      <w:r w:rsidRPr="00FF579D">
        <w:rPr>
          <w:rFonts w:hint="cs"/>
          <w:rtl/>
        </w:rPr>
        <w:t>ד</w:t>
      </w:r>
      <w:r w:rsidRPr="00FF579D">
        <w:rPr>
          <w:rtl/>
        </w:rPr>
        <w:t xml:space="preserve"> </w:t>
      </w:r>
      <w:r w:rsidRPr="00FF579D">
        <w:rPr>
          <w:rFonts w:hint="cs"/>
          <w:rtl/>
        </w:rPr>
        <w:t>ליו</w:t>
      </w:r>
      <w:r w:rsidRPr="00FF579D">
        <w:rPr>
          <w:rtl/>
        </w:rPr>
        <w:t>"</w:t>
      </w:r>
      <w:r w:rsidRPr="00FF579D">
        <w:rPr>
          <w:rFonts w:hint="cs"/>
          <w:rtl/>
        </w:rPr>
        <w:t>ד</w:t>
      </w:r>
      <w:r w:rsidRPr="00FF579D">
        <w:rPr>
          <w:rtl/>
        </w:rPr>
        <w:t xml:space="preserve"> </w:t>
      </w:r>
      <w:r w:rsidRPr="00FF579D">
        <w:rPr>
          <w:rFonts w:hint="cs"/>
          <w:rtl/>
        </w:rPr>
        <w:t>סקט</w:t>
      </w:r>
      <w:r w:rsidRPr="00FF579D">
        <w:rPr>
          <w:rtl/>
        </w:rPr>
        <w:t>"</w:t>
      </w:r>
      <w:r w:rsidRPr="00FF579D">
        <w:rPr>
          <w:rFonts w:hint="cs"/>
          <w:rtl/>
        </w:rPr>
        <w:t>ז</w:t>
      </w:r>
      <w:r w:rsidRPr="00FF579D">
        <w:rPr>
          <w:rtl/>
        </w:rPr>
        <w:t xml:space="preserve">) </w:t>
      </w:r>
      <w:r w:rsidRPr="00FF579D">
        <w:rPr>
          <w:rFonts w:hint="cs"/>
          <w:rtl/>
        </w:rPr>
        <w:t>שכיון</w:t>
      </w:r>
      <w:r w:rsidRPr="00FF579D">
        <w:rPr>
          <w:rtl/>
        </w:rPr>
        <w:t xml:space="preserve"> </w:t>
      </w:r>
      <w:r w:rsidRPr="00FF579D">
        <w:rPr>
          <w:rFonts w:hint="cs"/>
          <w:rtl/>
        </w:rPr>
        <w:t>ש</w:t>
      </w:r>
      <w:r w:rsidRPr="00FF579D">
        <w:rPr>
          <w:rtl/>
        </w:rPr>
        <w:t>"</w:t>
      </w:r>
      <w:r w:rsidRPr="00FF579D">
        <w:rPr>
          <w:rFonts w:hint="cs"/>
          <w:rtl/>
        </w:rPr>
        <w:t>אין</w:t>
      </w:r>
      <w:r w:rsidRPr="00FF579D">
        <w:rPr>
          <w:rtl/>
        </w:rPr>
        <w:t xml:space="preserve"> </w:t>
      </w:r>
      <w:r w:rsidRPr="00FF579D">
        <w:rPr>
          <w:rFonts w:hint="cs"/>
          <w:rtl/>
        </w:rPr>
        <w:t>השמות</w:t>
      </w:r>
      <w:r w:rsidRPr="00FF579D">
        <w:rPr>
          <w:rtl/>
        </w:rPr>
        <w:t xml:space="preserve"> </w:t>
      </w:r>
      <w:r w:rsidRPr="00FF579D">
        <w:rPr>
          <w:rFonts w:hint="cs"/>
          <w:rtl/>
        </w:rPr>
        <w:t>שווין</w:t>
      </w:r>
      <w:r w:rsidRPr="00FF579D">
        <w:rPr>
          <w:rtl/>
        </w:rPr>
        <w:t xml:space="preserve"> </w:t>
      </w:r>
      <w:r w:rsidRPr="00FF579D">
        <w:rPr>
          <w:rFonts w:hint="cs"/>
          <w:rtl/>
        </w:rPr>
        <w:t>ממש</w:t>
      </w:r>
      <w:r w:rsidRPr="00FF579D">
        <w:rPr>
          <w:rtl/>
        </w:rPr>
        <w:t xml:space="preserve"> </w:t>
      </w:r>
      <w:r w:rsidRPr="00FF579D">
        <w:rPr>
          <w:rFonts w:hint="cs"/>
          <w:rtl/>
        </w:rPr>
        <w:t>אין</w:t>
      </w:r>
      <w:r w:rsidRPr="00FF579D">
        <w:rPr>
          <w:rtl/>
        </w:rPr>
        <w:t xml:space="preserve"> </w:t>
      </w:r>
      <w:r w:rsidRPr="00FF579D">
        <w:rPr>
          <w:rFonts w:hint="cs"/>
          <w:rtl/>
        </w:rPr>
        <w:t>שום</w:t>
      </w:r>
      <w:r w:rsidRPr="00FF579D">
        <w:rPr>
          <w:rtl/>
        </w:rPr>
        <w:t xml:space="preserve"> </w:t>
      </w:r>
      <w:r w:rsidRPr="00FF579D">
        <w:rPr>
          <w:rFonts w:hint="cs"/>
          <w:rtl/>
        </w:rPr>
        <w:t>חשש</w:t>
      </w:r>
      <w:r w:rsidRPr="00FF579D">
        <w:rPr>
          <w:rtl/>
        </w:rPr>
        <w:t xml:space="preserve"> </w:t>
      </w:r>
      <w:r w:rsidRPr="00FF579D">
        <w:rPr>
          <w:rFonts w:hint="cs"/>
          <w:rtl/>
        </w:rPr>
        <w:t>כלל</w:t>
      </w:r>
      <w:r w:rsidRPr="00FF579D">
        <w:rPr>
          <w:rtl/>
        </w:rPr>
        <w:t xml:space="preserve"> </w:t>
      </w:r>
      <w:r w:rsidRPr="00FF579D">
        <w:rPr>
          <w:rFonts w:hint="cs"/>
          <w:rtl/>
        </w:rPr>
        <w:t>וכלל</w:t>
      </w:r>
      <w:r w:rsidRPr="00FF579D">
        <w:rPr>
          <w:rtl/>
        </w:rPr>
        <w:t>"</w:t>
      </w:r>
      <w:r>
        <w:rPr>
          <w:rFonts w:hint="cs"/>
          <w:rtl/>
        </w:rPr>
        <w:t xml:space="preserve">", הנה נראה שלפעמים הרבי החמיר והורה להוסיף </w:t>
      </w:r>
      <w:r w:rsidRPr="00FF579D">
        <w:rPr>
          <w:rFonts w:hint="cs"/>
          <w:rtl/>
        </w:rPr>
        <w:t>שם</w:t>
      </w:r>
      <w:r w:rsidRPr="00FF579D">
        <w:rPr>
          <w:rtl/>
        </w:rPr>
        <w:t xml:space="preserve"> </w:t>
      </w:r>
      <w:r>
        <w:rPr>
          <w:rFonts w:hint="cs"/>
          <w:rtl/>
        </w:rPr>
        <w:t xml:space="preserve">אפילו במקרה </w:t>
      </w:r>
      <w:r w:rsidRPr="00EB4D1F">
        <w:rPr>
          <w:rFonts w:hint="cs"/>
          <w:b/>
          <w:bCs/>
          <w:rtl/>
        </w:rPr>
        <w:t xml:space="preserve">שהי' </w:t>
      </w:r>
      <w:r w:rsidRPr="00E10A1D">
        <w:rPr>
          <w:rFonts w:hint="cs"/>
          <w:b/>
          <w:bCs/>
          <w:rtl/>
        </w:rPr>
        <w:t>שם נוסף</w:t>
      </w:r>
      <w:r>
        <w:rPr>
          <w:rFonts w:hint="cs"/>
          <w:rtl/>
        </w:rPr>
        <w:t>.</w:t>
      </w:r>
    </w:p>
    <w:p w:rsidR="00A80BCE" w:rsidRDefault="00A80BCE" w:rsidP="00F146A6">
      <w:pPr>
        <w:pStyle w:val="a3"/>
        <w:rPr>
          <w:rtl/>
        </w:rPr>
      </w:pPr>
      <w:r>
        <w:rPr>
          <w:rFonts w:hint="cs"/>
          <w:rtl/>
        </w:rPr>
        <w:t xml:space="preserve">ראה במקרה הנ"ל עם ר' </w:t>
      </w:r>
      <w:r>
        <w:rPr>
          <w:rtl/>
        </w:rPr>
        <w:t>דובער ח</w:t>
      </w:r>
      <w:r>
        <w:rPr>
          <w:rFonts w:hint="cs"/>
          <w:rtl/>
        </w:rPr>
        <w:t>., ששמו המלא של החתן הי' "</w:t>
      </w:r>
      <w:r w:rsidRPr="00E10A1D">
        <w:rPr>
          <w:rFonts w:hint="cs"/>
          <w:b/>
          <w:bCs/>
          <w:rtl/>
        </w:rPr>
        <w:t>שלום</w:t>
      </w:r>
      <w:r>
        <w:rPr>
          <w:rFonts w:hint="cs"/>
          <w:rtl/>
        </w:rPr>
        <w:t xml:space="preserve"> דובער", </w:t>
      </w:r>
      <w:r>
        <w:rPr>
          <w:rFonts w:hint="cs"/>
          <w:rtl/>
        </w:rPr>
        <w:lastRenderedPageBreak/>
        <w:t xml:space="preserve">ובכל זאת הרבי הורה להוסיף שם. וכמו"כ במקרה של </w:t>
      </w:r>
      <w:r w:rsidRPr="002D0015">
        <w:rPr>
          <w:rFonts w:hint="cs"/>
          <w:rtl/>
        </w:rPr>
        <w:t xml:space="preserve">ר' בנימין אלטהויז </w:t>
      </w:r>
      <w:r>
        <w:rPr>
          <w:rFonts w:hint="cs"/>
          <w:rtl/>
        </w:rPr>
        <w:t>(</w:t>
      </w:r>
      <w:r w:rsidRPr="007B308A">
        <w:rPr>
          <w:rFonts w:hint="cs"/>
          <w:rtl/>
        </w:rPr>
        <w:t>העו</w:t>
      </w:r>
      <w:r w:rsidRPr="007B308A">
        <w:rPr>
          <w:rtl/>
        </w:rPr>
        <w:t>"</w:t>
      </w:r>
      <w:r w:rsidRPr="007B308A">
        <w:rPr>
          <w:rFonts w:hint="cs"/>
          <w:rtl/>
        </w:rPr>
        <w:t>ב</w:t>
      </w:r>
      <w:r>
        <w:rPr>
          <w:rFonts w:hint="cs"/>
          <w:rtl/>
        </w:rPr>
        <w:t>, שם), שהרבי הורה לו להוסיף את השם "בן ציון", למרות ששם המלא של חותנו הי'</w:t>
      </w:r>
      <w:r w:rsidRPr="002D0015">
        <w:rPr>
          <w:rFonts w:hint="cs"/>
          <w:rtl/>
        </w:rPr>
        <w:t xml:space="preserve"> ר' בנימין </w:t>
      </w:r>
      <w:r w:rsidRPr="00E10A1D">
        <w:rPr>
          <w:rFonts w:hint="cs"/>
          <w:b/>
          <w:bCs/>
          <w:rtl/>
        </w:rPr>
        <w:t xml:space="preserve">אליהו </w:t>
      </w:r>
      <w:r w:rsidRPr="002D0015">
        <w:rPr>
          <w:rFonts w:hint="cs"/>
          <w:rtl/>
        </w:rPr>
        <w:t>גורודצקי</w:t>
      </w:r>
      <w:r>
        <w:rPr>
          <w:rStyle w:val="FootnoteReference"/>
          <w:rtl/>
        </w:rPr>
        <w:footnoteReference w:id="222"/>
      </w:r>
      <w:r>
        <w:rPr>
          <w:rFonts w:hint="cs"/>
          <w:rtl/>
        </w:rPr>
        <w:t>.</w:t>
      </w:r>
    </w:p>
    <w:p w:rsidR="00A80BCE" w:rsidRDefault="00A80BCE" w:rsidP="00F146A6">
      <w:pPr>
        <w:pStyle w:val="a3"/>
        <w:rPr>
          <w:rtl/>
        </w:rPr>
      </w:pPr>
      <w:r w:rsidRPr="00522DDB">
        <w:rPr>
          <w:rFonts w:hint="cs"/>
          <w:rtl/>
        </w:rPr>
        <w:t xml:space="preserve">ואולי הרבי החמיר במקרה </w:t>
      </w:r>
      <w:r>
        <w:rPr>
          <w:rFonts w:hint="cs"/>
          <w:rtl/>
        </w:rPr>
        <w:t>שנקראים באותו שם, כפי שכתבו הפסוקים</w:t>
      </w:r>
      <w:r>
        <w:rPr>
          <w:rStyle w:val="FootnoteReference"/>
          <w:rtl/>
        </w:rPr>
        <w:footnoteReference w:id="223"/>
      </w:r>
      <w:r>
        <w:rPr>
          <w:rFonts w:hint="cs"/>
          <w:rtl/>
        </w:rPr>
        <w:t xml:space="preserve"> שהשם הנוסף נחשב לשם חדש רק באם </w:t>
      </w:r>
      <w:r w:rsidRPr="00130261">
        <w:rPr>
          <w:rFonts w:hint="cs"/>
          <w:b/>
          <w:bCs/>
          <w:rtl/>
        </w:rPr>
        <w:t>קוראים</w:t>
      </w:r>
      <w:r>
        <w:rPr>
          <w:rFonts w:hint="cs"/>
          <w:rtl/>
        </w:rPr>
        <w:t xml:space="preserve"> להם בשם שאינו שווה - כי שם </w:t>
      </w:r>
      <w:r w:rsidRPr="0054597F">
        <w:rPr>
          <w:rFonts w:hint="cs"/>
          <w:b/>
          <w:bCs/>
          <w:rtl/>
        </w:rPr>
        <w:t>הקריאה</w:t>
      </w:r>
      <w:r>
        <w:rPr>
          <w:rFonts w:hint="cs"/>
          <w:rtl/>
        </w:rPr>
        <w:t xml:space="preserve"> העיקר</w:t>
      </w:r>
      <w:r>
        <w:rPr>
          <w:rStyle w:val="FootnoteReference"/>
          <w:rtl/>
        </w:rPr>
        <w:footnoteReference w:id="224"/>
      </w:r>
      <w:r>
        <w:rPr>
          <w:rFonts w:hint="cs"/>
          <w:rtl/>
        </w:rPr>
        <w:t xml:space="preserve">, משא"כ כשנקראים בפי כל רק בשמות השוין. </w:t>
      </w:r>
    </w:p>
    <w:p w:rsidR="00A80BCE" w:rsidRDefault="00A80BCE" w:rsidP="00F146A6">
      <w:pPr>
        <w:pStyle w:val="a3"/>
        <w:rPr>
          <w:rtl/>
        </w:rPr>
      </w:pPr>
      <w:r>
        <w:rPr>
          <w:rFonts w:hint="cs"/>
          <w:rtl/>
        </w:rPr>
        <w:t>אבל אין זה מתרץ למה יש להוסיף שם נוסף, הרי יכולים לשנות את השם הקריאה (וכפי שהרבי הורה לכו"כ</w:t>
      </w:r>
      <w:r>
        <w:rPr>
          <w:rStyle w:val="FootnoteReference"/>
          <w:rtl/>
        </w:rPr>
        <w:footnoteReference w:id="225"/>
      </w:r>
      <w:r>
        <w:rPr>
          <w:rFonts w:hint="cs"/>
          <w:rtl/>
        </w:rPr>
        <w:t xml:space="preserve">). </w:t>
      </w:r>
    </w:p>
    <w:p w:rsidR="00A80BCE" w:rsidRPr="00ED632C" w:rsidRDefault="00A80BCE" w:rsidP="00F146A6">
      <w:pPr>
        <w:pStyle w:val="a3"/>
        <w:rPr>
          <w:rtl/>
        </w:rPr>
      </w:pPr>
      <w:r w:rsidRPr="00ED632C">
        <w:rPr>
          <w:rFonts w:hint="cs"/>
          <w:rtl/>
        </w:rPr>
        <w:t>שמות המחותנות שוים</w:t>
      </w:r>
    </w:p>
    <w:p w:rsidR="00A80BCE" w:rsidRDefault="00A80BCE" w:rsidP="00F146A6">
      <w:pPr>
        <w:pStyle w:val="a3"/>
        <w:rPr>
          <w:rtl/>
        </w:rPr>
      </w:pPr>
      <w:r>
        <w:rPr>
          <w:rFonts w:hint="cs"/>
          <w:rtl/>
        </w:rPr>
        <w:t>רציתי להוסיף נקודה נוספת (ש</w:t>
      </w:r>
      <w:r w:rsidRPr="003E551F">
        <w:rPr>
          <w:rFonts w:hint="cs"/>
          <w:rtl/>
        </w:rPr>
        <w:t>כבר</w:t>
      </w:r>
      <w:r w:rsidRPr="003E551F">
        <w:rPr>
          <w:rtl/>
        </w:rPr>
        <w:t xml:space="preserve"> </w:t>
      </w:r>
      <w:r w:rsidRPr="003E551F">
        <w:rPr>
          <w:rFonts w:hint="cs"/>
          <w:rtl/>
        </w:rPr>
        <w:t>דשו</w:t>
      </w:r>
      <w:r w:rsidRPr="003E551F">
        <w:rPr>
          <w:rtl/>
        </w:rPr>
        <w:t xml:space="preserve"> </w:t>
      </w:r>
      <w:r w:rsidRPr="003E551F">
        <w:rPr>
          <w:rFonts w:hint="cs"/>
          <w:rtl/>
        </w:rPr>
        <w:t>בו</w:t>
      </w:r>
      <w:r w:rsidRPr="003E551F">
        <w:rPr>
          <w:rtl/>
        </w:rPr>
        <w:t xml:space="preserve"> </w:t>
      </w:r>
      <w:r w:rsidRPr="003E551F">
        <w:rPr>
          <w:rFonts w:hint="cs"/>
          <w:rtl/>
        </w:rPr>
        <w:t>רבים</w:t>
      </w:r>
      <w:r>
        <w:rPr>
          <w:rStyle w:val="FootnoteReference"/>
          <w:rtl/>
        </w:rPr>
        <w:footnoteReference w:id="226"/>
      </w:r>
      <w:r>
        <w:rPr>
          <w:rFonts w:hint="cs"/>
          <w:rtl/>
        </w:rPr>
        <w:t>):</w:t>
      </w:r>
    </w:p>
    <w:p w:rsidR="00A80BCE" w:rsidRDefault="00A80BCE" w:rsidP="00F146A6">
      <w:pPr>
        <w:pStyle w:val="a3"/>
        <w:rPr>
          <w:rtl/>
        </w:rPr>
      </w:pPr>
      <w:r>
        <w:rPr>
          <w:rFonts w:hint="cs"/>
          <w:rtl/>
        </w:rPr>
        <w:t>בצוואת ר' יהודה החסיד (סכ"ד) איתא "שני בני אדם ששמותיהם שוים לא יזדווגו יחד בילדיהם", והרבה מהאחרונים כתבו ש</w:t>
      </w:r>
      <w:r w:rsidRPr="00F04D36">
        <w:rPr>
          <w:rFonts w:hint="cs"/>
          <w:rtl/>
        </w:rPr>
        <w:t>היינו</w:t>
      </w:r>
      <w:r w:rsidRPr="00F04D36">
        <w:rPr>
          <w:rtl/>
        </w:rPr>
        <w:t xml:space="preserve"> </w:t>
      </w:r>
      <w:r w:rsidRPr="00F04D36">
        <w:rPr>
          <w:rFonts w:hint="cs"/>
          <w:rtl/>
        </w:rPr>
        <w:t>דוקא</w:t>
      </w:r>
      <w:r w:rsidRPr="00F04D36">
        <w:rPr>
          <w:rtl/>
        </w:rPr>
        <w:t xml:space="preserve"> </w:t>
      </w:r>
      <w:r w:rsidRPr="00F04D36">
        <w:rPr>
          <w:rFonts w:hint="cs"/>
          <w:rtl/>
        </w:rPr>
        <w:t>על</w:t>
      </w:r>
      <w:r w:rsidRPr="00F04D36">
        <w:rPr>
          <w:rtl/>
        </w:rPr>
        <w:t xml:space="preserve"> </w:t>
      </w:r>
      <w:r w:rsidRPr="00F04D36">
        <w:rPr>
          <w:rFonts w:hint="cs"/>
          <w:rtl/>
        </w:rPr>
        <w:t>השתווה</w:t>
      </w:r>
      <w:r w:rsidRPr="00F04D36">
        <w:rPr>
          <w:rtl/>
        </w:rPr>
        <w:t xml:space="preserve"> </w:t>
      </w:r>
      <w:r w:rsidRPr="00F04D36">
        <w:rPr>
          <w:rFonts w:hint="cs"/>
          <w:rtl/>
        </w:rPr>
        <w:t>השמות</w:t>
      </w:r>
      <w:r w:rsidRPr="00F04D36">
        <w:rPr>
          <w:rtl/>
        </w:rPr>
        <w:t xml:space="preserve"> </w:t>
      </w:r>
      <w:r w:rsidRPr="00F04D36">
        <w:rPr>
          <w:rFonts w:hint="cs"/>
          <w:rtl/>
        </w:rPr>
        <w:t>של</w:t>
      </w:r>
      <w:r w:rsidRPr="00F04D36">
        <w:rPr>
          <w:rtl/>
        </w:rPr>
        <w:t xml:space="preserve"> </w:t>
      </w:r>
      <w:r w:rsidRPr="00F04D36">
        <w:rPr>
          <w:rFonts w:hint="cs"/>
          <w:rtl/>
        </w:rPr>
        <w:t>המחותנים</w:t>
      </w:r>
      <w:r w:rsidRPr="00F04D36">
        <w:rPr>
          <w:rtl/>
        </w:rPr>
        <w:t xml:space="preserve">, </w:t>
      </w:r>
      <w:r w:rsidRPr="00F04D36">
        <w:rPr>
          <w:rFonts w:hint="cs"/>
          <w:rtl/>
        </w:rPr>
        <w:t>אבל</w:t>
      </w:r>
      <w:r w:rsidRPr="00F04D36">
        <w:rPr>
          <w:rtl/>
        </w:rPr>
        <w:t xml:space="preserve"> </w:t>
      </w:r>
      <w:r w:rsidRPr="00F04D36">
        <w:rPr>
          <w:rFonts w:hint="cs"/>
          <w:rtl/>
        </w:rPr>
        <w:t>לא</w:t>
      </w:r>
      <w:r w:rsidRPr="00F04D36">
        <w:rPr>
          <w:rtl/>
        </w:rPr>
        <w:t xml:space="preserve"> </w:t>
      </w:r>
      <w:r>
        <w:rPr>
          <w:rFonts w:hint="cs"/>
          <w:rtl/>
        </w:rPr>
        <w:t>כששם המחותנות שוות.</w:t>
      </w:r>
    </w:p>
    <w:p w:rsidR="00A80BCE" w:rsidRPr="00CF2C6A" w:rsidRDefault="00A80BCE" w:rsidP="00F146A6">
      <w:pPr>
        <w:pStyle w:val="a3"/>
        <w:rPr>
          <w:rtl/>
        </w:rPr>
      </w:pPr>
      <w:r>
        <w:rPr>
          <w:rFonts w:hint="cs"/>
          <w:rtl/>
        </w:rPr>
        <w:t xml:space="preserve">באג"ק </w:t>
      </w:r>
      <w:r w:rsidRPr="00741E88">
        <w:rPr>
          <w:rFonts w:hint="cs"/>
          <w:rtl/>
        </w:rPr>
        <w:t>ח</w:t>
      </w:r>
      <w:r>
        <w:rPr>
          <w:rFonts w:hint="cs"/>
          <w:rtl/>
        </w:rPr>
        <w:t xml:space="preserve">י"ח </w:t>
      </w:r>
      <w:r w:rsidRPr="00741E88">
        <w:rPr>
          <w:rFonts w:hint="cs"/>
          <w:rtl/>
        </w:rPr>
        <w:t>עמ' קלו</w:t>
      </w:r>
      <w:r>
        <w:rPr>
          <w:rFonts w:hint="cs"/>
          <w:rtl/>
        </w:rPr>
        <w:t>, כותב על כך הרבי: "</w:t>
      </w:r>
      <w:r w:rsidRPr="00CF2C6A">
        <w:rPr>
          <w:rFonts w:hint="cs"/>
          <w:rtl/>
        </w:rPr>
        <w:t>ובהנ</w:t>
      </w:r>
      <w:r>
        <w:rPr>
          <w:rFonts w:hint="cs"/>
          <w:rtl/>
        </w:rPr>
        <w:t xml:space="preserve">וגע לפועל . . </w:t>
      </w:r>
      <w:r w:rsidRPr="00CF2C6A">
        <w:rPr>
          <w:rFonts w:hint="cs"/>
          <w:rtl/>
        </w:rPr>
        <w:t>כדאי להוסיף שם למי שהיא מהאמהות, כי רואה אני במכתבו ששם אם העלמה ושם אמו שוה הוא...</w:t>
      </w:r>
      <w:r>
        <w:rPr>
          <w:rFonts w:hint="cs"/>
          <w:rtl/>
        </w:rPr>
        <w:t>".</w:t>
      </w:r>
    </w:p>
    <w:p w:rsidR="00A80BCE" w:rsidRPr="006E69F1" w:rsidRDefault="00A80BCE" w:rsidP="00F146A6">
      <w:pPr>
        <w:pStyle w:val="a3"/>
        <w:rPr>
          <w:rtl/>
        </w:rPr>
      </w:pPr>
      <w:r>
        <w:rPr>
          <w:rFonts w:hint="cs"/>
          <w:rtl/>
        </w:rPr>
        <w:lastRenderedPageBreak/>
        <w:t>ב'שולחן מנחם' ח"ו עמ' קמא הערה ב' הוסיפו</w:t>
      </w:r>
      <w:r w:rsidRPr="006E69F1">
        <w:rPr>
          <w:rtl/>
        </w:rPr>
        <w:t>: "ומהאמור כאן אין לדון להחמיר בזה בכל מקום, היות ומדובר כאן במקרה מיוחד שהיו בו כמה פרטים מיוחדים [ע"ש], ואולי משום זה יש להקפיד יותר".</w:t>
      </w:r>
    </w:p>
    <w:p w:rsidR="00A80BCE" w:rsidRDefault="00A80BCE" w:rsidP="00F146A6">
      <w:pPr>
        <w:pStyle w:val="a3"/>
        <w:rPr>
          <w:rtl/>
        </w:rPr>
      </w:pPr>
      <w:r>
        <w:rPr>
          <w:rFonts w:hint="cs"/>
          <w:rtl/>
        </w:rPr>
        <w:t>ברצוני להעיר על כך</w:t>
      </w:r>
      <w:r w:rsidRPr="006E69F1">
        <w:rPr>
          <w:rtl/>
        </w:rPr>
        <w:t xml:space="preserve"> </w:t>
      </w:r>
      <w:r>
        <w:rPr>
          <w:rFonts w:hint="cs"/>
          <w:rtl/>
        </w:rPr>
        <w:t>מ</w:t>
      </w:r>
      <w:r>
        <w:rPr>
          <w:rtl/>
        </w:rPr>
        <w:t>המקרה של ר' יוסף בן ציון רייצ</w:t>
      </w:r>
      <w:r w:rsidRPr="006E69F1">
        <w:rPr>
          <w:rtl/>
        </w:rPr>
        <w:t>ס (העו"ב</w:t>
      </w:r>
      <w:r>
        <w:rPr>
          <w:rFonts w:hint="cs"/>
          <w:rtl/>
        </w:rPr>
        <w:t>,</w:t>
      </w:r>
      <w:r w:rsidRPr="006E69F1">
        <w:rPr>
          <w:rtl/>
        </w:rPr>
        <w:t xml:space="preserve"> שם), </w:t>
      </w:r>
      <w:r>
        <w:rPr>
          <w:rFonts w:hint="cs"/>
          <w:rtl/>
        </w:rPr>
        <w:t xml:space="preserve">שם </w:t>
      </w:r>
      <w:r w:rsidRPr="006E69F1">
        <w:rPr>
          <w:rtl/>
        </w:rPr>
        <w:t xml:space="preserve">ההוראה הגיעה מ"אתערותא דלעילא", </w:t>
      </w:r>
      <w:r>
        <w:rPr>
          <w:rFonts w:hint="cs"/>
          <w:rtl/>
        </w:rPr>
        <w:t xml:space="preserve">והרבי בעצמו הורה להוסיף </w:t>
      </w:r>
      <w:r w:rsidRPr="0006461F">
        <w:rPr>
          <w:rtl/>
        </w:rPr>
        <w:t>השם ״אלטע״</w:t>
      </w:r>
      <w:r>
        <w:rPr>
          <w:rFonts w:hint="cs"/>
          <w:rtl/>
        </w:rPr>
        <w:t>.</w:t>
      </w:r>
    </w:p>
    <w:p w:rsidR="00A80BCE" w:rsidRDefault="00A80BCE" w:rsidP="00F146A6">
      <w:pPr>
        <w:pStyle w:val="a3"/>
        <w:rPr>
          <w:rtl/>
        </w:rPr>
      </w:pPr>
      <w:r>
        <w:rPr>
          <w:rFonts w:hint="cs"/>
          <w:rtl/>
        </w:rPr>
        <w:t xml:space="preserve">ועד"ז הורה הרבי לר' שניאור זלמן גורארי', כשבנו </w:t>
      </w:r>
      <w:r w:rsidRPr="00DD052A">
        <w:rPr>
          <w:rtl/>
        </w:rPr>
        <w:t>ר' נתן</w:t>
      </w:r>
      <w:r>
        <w:rPr>
          <w:rFonts w:hint="cs"/>
          <w:rtl/>
        </w:rPr>
        <w:t xml:space="preserve"> עמד לקראת גמר השידוך, והתברר שהשם של שמחותנות זהה, ו</w:t>
      </w:r>
      <w:r w:rsidRPr="00DD052A">
        <w:rPr>
          <w:rtl/>
        </w:rPr>
        <w:t>הרז"ג חשש שאולי</w:t>
      </w:r>
      <w:r>
        <w:rPr>
          <w:rFonts w:hint="cs"/>
          <w:rtl/>
        </w:rPr>
        <w:t xml:space="preserve"> </w:t>
      </w:r>
      <w:r>
        <w:rPr>
          <w:rtl/>
        </w:rPr>
        <w:t>הרבי יבטל את השידוך</w:t>
      </w:r>
      <w:r>
        <w:rPr>
          <w:rFonts w:hint="cs"/>
          <w:rtl/>
        </w:rPr>
        <w:t>. בפועל כששאל על כך את</w:t>
      </w:r>
      <w:r w:rsidRPr="00DD052A">
        <w:rPr>
          <w:rtl/>
        </w:rPr>
        <w:t xml:space="preserve"> הרבי</w:t>
      </w:r>
      <w:r>
        <w:rPr>
          <w:rFonts w:hint="cs"/>
          <w:rtl/>
        </w:rPr>
        <w:t>, הרבי הורה שאחת מהמחותנות תוסיף לשמה שם נוסף, ושימתינו שלושים יום עד שיפרסמו את השידוך.</w:t>
      </w:r>
    </w:p>
    <w:p w:rsidR="00A80BCE" w:rsidRPr="00A932B1" w:rsidRDefault="00A80BCE" w:rsidP="00F146A6">
      <w:pPr>
        <w:pStyle w:val="a3"/>
        <w:rPr>
          <w:rtl/>
        </w:rPr>
      </w:pPr>
      <w:r w:rsidRPr="00A932B1">
        <w:rPr>
          <w:rtl/>
        </w:rPr>
        <w:t xml:space="preserve">ואולי יש לומר מכל זה, </w:t>
      </w:r>
      <w:r w:rsidRPr="00A932B1">
        <w:rPr>
          <w:color w:val="222222"/>
          <w:shd w:val="clear" w:color="auto" w:fill="FFFFFF"/>
          <w:rtl/>
        </w:rPr>
        <w:t xml:space="preserve">שמכתב הנ"ל (אג"ק חי"ח), אינו מדובר במקרה מיוחד ונדיר (שפי שכתבו ב'שולחן מנחם'), אלא </w:t>
      </w:r>
      <w:r w:rsidRPr="00A932B1">
        <w:rPr>
          <w:rtl/>
        </w:rPr>
        <w:t xml:space="preserve">ששיטת הרבי </w:t>
      </w:r>
      <w:r>
        <w:rPr>
          <w:rFonts w:hint="cs"/>
          <w:rtl/>
        </w:rPr>
        <w:t xml:space="preserve">הוא </w:t>
      </w:r>
      <w:r w:rsidRPr="00A932B1">
        <w:rPr>
          <w:rtl/>
        </w:rPr>
        <w:t xml:space="preserve">שיש להחמיר גם כששמות </w:t>
      </w:r>
      <w:r w:rsidRPr="00A932B1">
        <w:rPr>
          <w:b/>
          <w:bCs/>
          <w:rtl/>
        </w:rPr>
        <w:t>המחותנות</w:t>
      </w:r>
      <w:r w:rsidRPr="00A932B1">
        <w:rPr>
          <w:rtl/>
        </w:rPr>
        <w:t xml:space="preserve"> שוים (ואם רוצים לשדך יחד את ילדיהם, אז יש להוסיף שם)</w:t>
      </w:r>
      <w:r w:rsidRPr="00A932B1">
        <w:rPr>
          <w:b/>
          <w:bCs/>
          <w:rtl/>
        </w:rPr>
        <w:t xml:space="preserve">. </w:t>
      </w:r>
    </w:p>
    <w:p w:rsidR="00A80BCE" w:rsidRDefault="00A80BCE" w:rsidP="00F146A6">
      <w:pPr>
        <w:pStyle w:val="a3"/>
        <w:rPr>
          <w:shd w:val="clear" w:color="auto" w:fill="FFFFFF"/>
          <w:rtl/>
        </w:rPr>
      </w:pPr>
      <w:r>
        <w:rPr>
          <w:rFonts w:hint="cs"/>
          <w:rtl/>
        </w:rPr>
        <w:t xml:space="preserve">[וכפי שהעיר הרבי (אג"ק </w:t>
      </w:r>
      <w:r>
        <w:rPr>
          <w:shd w:val="clear" w:color="auto" w:fill="FFFFFF"/>
          <w:rtl/>
        </w:rPr>
        <w:t>חי"א עמ' רצה</w:t>
      </w:r>
      <w:r>
        <w:rPr>
          <w:rFonts w:hint="cs"/>
          <w:rtl/>
        </w:rPr>
        <w:t>) ל</w:t>
      </w:r>
      <w:r>
        <w:rPr>
          <w:rFonts w:hint="cs"/>
          <w:shd w:val="clear" w:color="auto" w:fill="FFFFFF"/>
          <w:rtl/>
        </w:rPr>
        <w:t>ר'</w:t>
      </w:r>
      <w:r w:rsidRPr="008B1F0F">
        <w:rPr>
          <w:shd w:val="clear" w:color="auto" w:fill="FFFFFF"/>
          <w:rtl/>
        </w:rPr>
        <w:t xml:space="preserve"> </w:t>
      </w:r>
      <w:r w:rsidRPr="008B1F0F">
        <w:rPr>
          <w:rFonts w:hint="cs"/>
          <w:shd w:val="clear" w:color="auto" w:fill="FFFFFF"/>
          <w:rtl/>
        </w:rPr>
        <w:t>אברהם</w:t>
      </w:r>
      <w:r w:rsidRPr="008B1F0F">
        <w:rPr>
          <w:shd w:val="clear" w:color="auto" w:fill="FFFFFF"/>
          <w:rtl/>
        </w:rPr>
        <w:t xml:space="preserve"> </w:t>
      </w:r>
      <w:r w:rsidRPr="008B1F0F">
        <w:rPr>
          <w:rFonts w:hint="cs"/>
          <w:shd w:val="clear" w:color="auto" w:fill="FFFFFF"/>
          <w:rtl/>
        </w:rPr>
        <w:t>אהרן</w:t>
      </w:r>
      <w:r w:rsidRPr="008B1F0F">
        <w:rPr>
          <w:shd w:val="clear" w:color="auto" w:fill="FFFFFF"/>
          <w:rtl/>
        </w:rPr>
        <w:t xml:space="preserve"> </w:t>
      </w:r>
      <w:r w:rsidRPr="008B1F0F">
        <w:rPr>
          <w:rFonts w:hint="cs"/>
          <w:shd w:val="clear" w:color="auto" w:fill="FFFFFF"/>
          <w:rtl/>
        </w:rPr>
        <w:t>פרייס</w:t>
      </w:r>
      <w:r>
        <w:rPr>
          <w:rStyle w:val="FootnoteReference"/>
          <w:shd w:val="clear" w:color="auto" w:fill="FFFFFF"/>
          <w:rtl/>
        </w:rPr>
        <w:footnoteReference w:id="227"/>
      </w:r>
      <w:r>
        <w:rPr>
          <w:rFonts w:hint="cs"/>
          <w:shd w:val="clear" w:color="auto" w:fill="FFFFFF"/>
          <w:rtl/>
        </w:rPr>
        <w:t>: "</w:t>
      </w:r>
      <w:r w:rsidRPr="00920694">
        <w:rPr>
          <w:shd w:val="clear" w:color="auto" w:fill="FFFFFF"/>
          <w:rtl/>
        </w:rPr>
        <w:t>בשמות האמהות של החו"כ אם מקפידים בשווים - עיין שדי חמד מע' חו"כ</w:t>
      </w:r>
      <w:r w:rsidRPr="00920694">
        <w:rPr>
          <w:rFonts w:ascii="Times New Roman" w:hAnsi="Times New Roman" w:cs="Times New Roman"/>
          <w:shd w:val="clear" w:color="auto" w:fill="FFFFFF"/>
        </w:rPr>
        <w:t> </w:t>
      </w:r>
      <w:r w:rsidRPr="00920694">
        <w:rPr>
          <w:shd w:val="clear" w:color="auto" w:fill="FFFFFF"/>
          <w:rtl/>
        </w:rPr>
        <w:t>סק"י</w:t>
      </w:r>
      <w:r>
        <w:rPr>
          <w:rFonts w:hint="cs"/>
          <w:shd w:val="clear" w:color="auto" w:fill="FFFFFF"/>
          <w:rtl/>
        </w:rPr>
        <w:t xml:space="preserve">", ושם </w:t>
      </w:r>
      <w:r w:rsidRPr="00A932B1">
        <w:rPr>
          <w:rFonts w:hint="cs"/>
          <w:rtl/>
        </w:rPr>
        <w:t>ה</w:t>
      </w:r>
      <w:r w:rsidRPr="00A932B1">
        <w:rPr>
          <w:rtl/>
        </w:rPr>
        <w:t>'</w:t>
      </w:r>
      <w:r w:rsidRPr="00A932B1">
        <w:rPr>
          <w:rFonts w:hint="cs"/>
          <w:rtl/>
        </w:rPr>
        <w:t>שדי</w:t>
      </w:r>
      <w:r w:rsidRPr="00A932B1">
        <w:rPr>
          <w:rtl/>
        </w:rPr>
        <w:t xml:space="preserve"> </w:t>
      </w:r>
      <w:r w:rsidRPr="00A932B1">
        <w:rPr>
          <w:rFonts w:hint="cs"/>
          <w:rtl/>
        </w:rPr>
        <w:t>חמד</w:t>
      </w:r>
      <w:r>
        <w:rPr>
          <w:rtl/>
        </w:rPr>
        <w:t>'</w:t>
      </w:r>
      <w:r>
        <w:rPr>
          <w:rFonts w:hint="cs"/>
          <w:rtl/>
        </w:rPr>
        <w:t xml:space="preserve"> סובר שיש להחמיר </w:t>
      </w:r>
      <w:r>
        <w:rPr>
          <w:rFonts w:hint="cs"/>
          <w:shd w:val="clear" w:color="auto" w:fill="FFFFFF"/>
          <w:rtl/>
        </w:rPr>
        <w:t>ב</w:t>
      </w:r>
      <w:r w:rsidRPr="00A571A3">
        <w:rPr>
          <w:rFonts w:hint="cs"/>
          <w:shd w:val="clear" w:color="auto" w:fill="FFFFFF"/>
          <w:rtl/>
        </w:rPr>
        <w:t>מחותנים</w:t>
      </w:r>
      <w:r w:rsidRPr="00A571A3">
        <w:rPr>
          <w:shd w:val="clear" w:color="auto" w:fill="FFFFFF"/>
          <w:rtl/>
        </w:rPr>
        <w:t xml:space="preserve"> </w:t>
      </w:r>
      <w:r w:rsidRPr="00A571A3">
        <w:rPr>
          <w:rFonts w:hint="cs"/>
          <w:shd w:val="clear" w:color="auto" w:fill="FFFFFF"/>
          <w:rtl/>
        </w:rPr>
        <w:t>והן</w:t>
      </w:r>
      <w:r w:rsidRPr="00A571A3">
        <w:rPr>
          <w:shd w:val="clear" w:color="auto" w:fill="FFFFFF"/>
          <w:rtl/>
        </w:rPr>
        <w:t xml:space="preserve"> </w:t>
      </w:r>
      <w:r w:rsidRPr="00A932B1">
        <w:rPr>
          <w:rFonts w:hint="cs"/>
          <w:b/>
          <w:bCs/>
          <w:shd w:val="clear" w:color="auto" w:fill="FFFFFF"/>
          <w:rtl/>
        </w:rPr>
        <w:t>במחותנות</w:t>
      </w:r>
      <w:r>
        <w:rPr>
          <w:rFonts w:hint="cs"/>
          <w:shd w:val="clear" w:color="auto" w:fill="FFFFFF"/>
          <w:rtl/>
        </w:rPr>
        <w:t>.]</w:t>
      </w:r>
    </w:p>
    <w:p w:rsidR="00A80BCE" w:rsidRDefault="00A80BCE" w:rsidP="00F146A6">
      <w:pPr>
        <w:pStyle w:val="a3"/>
        <w:rPr>
          <w:rtl/>
        </w:rPr>
      </w:pPr>
      <w:r w:rsidRPr="00920694">
        <w:rPr>
          <w:rFonts w:hint="cs"/>
          <w:rtl/>
        </w:rPr>
        <w:t>ואבקש</w:t>
      </w:r>
      <w:r w:rsidRPr="00920694">
        <w:rPr>
          <w:rtl/>
        </w:rPr>
        <w:t xml:space="preserve"> </w:t>
      </w:r>
      <w:r w:rsidRPr="00920694">
        <w:rPr>
          <w:rFonts w:hint="cs"/>
          <w:rtl/>
        </w:rPr>
        <w:t>מקוראי</w:t>
      </w:r>
      <w:r w:rsidRPr="00920694">
        <w:rPr>
          <w:rtl/>
        </w:rPr>
        <w:t xml:space="preserve"> </w:t>
      </w:r>
      <w:r w:rsidRPr="00920694">
        <w:rPr>
          <w:rFonts w:hint="cs"/>
          <w:rtl/>
        </w:rPr>
        <w:t>הגיליון</w:t>
      </w:r>
      <w:r w:rsidRPr="00920694">
        <w:rPr>
          <w:rtl/>
        </w:rPr>
        <w:t xml:space="preserve"> </w:t>
      </w:r>
      <w:r w:rsidRPr="00920694">
        <w:rPr>
          <w:rFonts w:hint="cs"/>
          <w:rtl/>
        </w:rPr>
        <w:t>להעיר</w:t>
      </w:r>
      <w:r w:rsidRPr="00920694">
        <w:rPr>
          <w:rtl/>
        </w:rPr>
        <w:t xml:space="preserve"> </w:t>
      </w:r>
      <w:r w:rsidRPr="00920694">
        <w:rPr>
          <w:rFonts w:hint="cs"/>
          <w:rtl/>
        </w:rPr>
        <w:t>ולהאיר</w:t>
      </w:r>
      <w:r w:rsidRPr="00920694">
        <w:rPr>
          <w:rtl/>
        </w:rPr>
        <w:t xml:space="preserve"> </w:t>
      </w:r>
      <w:r w:rsidRPr="00920694">
        <w:rPr>
          <w:rFonts w:hint="cs"/>
          <w:rtl/>
        </w:rPr>
        <w:t>ב</w:t>
      </w:r>
      <w:r>
        <w:rPr>
          <w:rFonts w:hint="cs"/>
          <w:rtl/>
        </w:rPr>
        <w:t xml:space="preserve">כל </w:t>
      </w:r>
      <w:r w:rsidRPr="00920694">
        <w:rPr>
          <w:rFonts w:hint="cs"/>
          <w:rtl/>
        </w:rPr>
        <w:t>זה</w:t>
      </w:r>
      <w:r>
        <w:rPr>
          <w:rFonts w:hint="cs"/>
          <w:rtl/>
        </w:rPr>
        <w:t>.</w:t>
      </w:r>
    </w:p>
    <w:p w:rsidR="001B37D0" w:rsidRDefault="001B37D0" w:rsidP="00EA087F">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502173" w:rsidRPr="004B7C18" w:rsidRDefault="00502173" w:rsidP="00502173">
      <w:pPr>
        <w:pStyle w:val="a0"/>
        <w:bidi w:val="0"/>
        <w:rPr>
          <w:rtl/>
        </w:rPr>
      </w:pPr>
      <w:bookmarkStart w:id="190" w:name="_Toc43963144"/>
      <w:r w:rsidRPr="004B7C18">
        <w:rPr>
          <w:rFonts w:hint="cs"/>
          <w:rtl/>
        </w:rPr>
        <w:t>תפילת ות</w:t>
      </w:r>
      <w:r>
        <w:rPr>
          <w:rFonts w:hint="cs"/>
          <w:rtl/>
        </w:rPr>
        <w:t>יקין או שמיעת ברכת כהנים</w:t>
      </w:r>
      <w:bookmarkEnd w:id="190"/>
      <w:r>
        <w:rPr>
          <w:rFonts w:hint="cs"/>
          <w:rtl/>
        </w:rPr>
        <w:t xml:space="preserve"> </w:t>
      </w:r>
      <w:r w:rsidRPr="004B7C18">
        <w:rPr>
          <w:rFonts w:hint="cs"/>
          <w:rtl/>
        </w:rPr>
        <w:t xml:space="preserve"> </w:t>
      </w:r>
    </w:p>
    <w:p w:rsidR="00502173" w:rsidRDefault="00502173" w:rsidP="00F146A6">
      <w:pPr>
        <w:pStyle w:val="a"/>
        <w:rPr>
          <w:rtl/>
        </w:rPr>
      </w:pPr>
      <w:bookmarkStart w:id="191" w:name="_Toc43963145"/>
      <w:r>
        <w:rPr>
          <w:rtl/>
        </w:rPr>
        <w:t>הרב גמליאל הכהן רבינוביץ</w:t>
      </w:r>
      <w:bookmarkEnd w:id="191"/>
      <w:r>
        <w:rPr>
          <w:rtl/>
        </w:rPr>
        <w:t xml:space="preserve"> </w:t>
      </w:r>
    </w:p>
    <w:p w:rsidR="00502173" w:rsidRDefault="00502173" w:rsidP="00502173">
      <w:pPr>
        <w:pStyle w:val="a1"/>
        <w:rPr>
          <w:rtl/>
        </w:rPr>
      </w:pPr>
      <w:r>
        <w:rPr>
          <w:rtl/>
        </w:rPr>
        <w:t xml:space="preserve">מח"ס "גם אני אודך" </w:t>
      </w:r>
    </w:p>
    <w:p w:rsidR="00502173" w:rsidRDefault="00502173" w:rsidP="00502173">
      <w:pPr>
        <w:pStyle w:val="a1"/>
        <w:rPr>
          <w:rtl/>
        </w:rPr>
      </w:pPr>
      <w:r>
        <w:rPr>
          <w:rtl/>
        </w:rPr>
        <w:t xml:space="preserve">ו"פרדס יוסף החדש" על המועדים </w:t>
      </w:r>
    </w:p>
    <w:p w:rsidR="00502173" w:rsidRDefault="00502173" w:rsidP="00F146A6">
      <w:pPr>
        <w:pStyle w:val="a3"/>
        <w:rPr>
          <w:rtl/>
        </w:rPr>
      </w:pPr>
      <w:r>
        <w:rPr>
          <w:rFonts w:hint="cs"/>
          <w:rtl/>
        </w:rPr>
        <w:t xml:space="preserve">הסתפקתי, מה עדיף האם להתפלל תפילת ותיקין בלי לשמוע ברכת כהנים, או במנין יותר מאוחר עם ברכת כהנים. </w:t>
      </w:r>
    </w:p>
    <w:p w:rsidR="00502173" w:rsidRDefault="00502173" w:rsidP="00F146A6">
      <w:pPr>
        <w:pStyle w:val="a3"/>
        <w:rPr>
          <w:rtl/>
        </w:rPr>
      </w:pPr>
      <w:r>
        <w:rPr>
          <w:rFonts w:hint="cs"/>
          <w:rtl/>
        </w:rPr>
        <w:t xml:space="preserve">והגאון הנפלא רבי אלחנן פרינץ שליט"א כתב לי וז"ל: הגמרא בברכות </w:t>
      </w:r>
      <w:r w:rsidRPr="009138F6">
        <w:rPr>
          <w:rFonts w:hint="cs"/>
          <w:sz w:val="16"/>
          <w:szCs w:val="18"/>
          <w:rtl/>
        </w:rPr>
        <w:t xml:space="preserve">(כו, א) </w:t>
      </w:r>
      <w:r>
        <w:rPr>
          <w:rFonts w:hint="cs"/>
          <w:rtl/>
        </w:rPr>
        <w:t xml:space="preserve">אומרת: "מצותה עם הנץ החמה", וכך ה"ותיקין היו גומרים אותה עם הנץ החמה", ושנינו דהסומך גאולה לתפילה ומתפלל עם הנץ אינו ניזוק כל היום </w:t>
      </w:r>
      <w:r w:rsidRPr="0086095A">
        <w:rPr>
          <w:rFonts w:hint="cs"/>
          <w:sz w:val="16"/>
          <w:szCs w:val="18"/>
          <w:rtl/>
        </w:rPr>
        <w:t>(ברכות ט, ב)</w:t>
      </w:r>
      <w:r>
        <w:rPr>
          <w:rFonts w:hint="cs"/>
          <w:rtl/>
        </w:rPr>
        <w:t xml:space="preserve">. את </w:t>
      </w:r>
      <w:r>
        <w:rPr>
          <w:rFonts w:hint="cs"/>
          <w:rtl/>
        </w:rPr>
        <w:lastRenderedPageBreak/>
        <w:t xml:space="preserve">זמן התפילה עם הנץ כתבו הסמ"ג </w:t>
      </w:r>
      <w:r w:rsidRPr="009138F6">
        <w:rPr>
          <w:rFonts w:hint="cs"/>
          <w:sz w:val="16"/>
          <w:szCs w:val="18"/>
          <w:rtl/>
        </w:rPr>
        <w:t>(עשין יט)</w:t>
      </w:r>
      <w:r>
        <w:rPr>
          <w:rFonts w:hint="cs"/>
          <w:rtl/>
        </w:rPr>
        <w:t xml:space="preserve">, וכן פסקו הרמב"ם </w:t>
      </w:r>
      <w:r w:rsidRPr="009138F6">
        <w:rPr>
          <w:rFonts w:hint="cs"/>
          <w:sz w:val="16"/>
          <w:szCs w:val="18"/>
          <w:rtl/>
        </w:rPr>
        <w:t xml:space="preserve">(הלכות תפילה ג, א) </w:t>
      </w:r>
      <w:r>
        <w:rPr>
          <w:rFonts w:hint="cs"/>
          <w:rtl/>
        </w:rPr>
        <w:t xml:space="preserve">והשולחן ערוך </w:t>
      </w:r>
      <w:r w:rsidRPr="00AA5EFD">
        <w:rPr>
          <w:rFonts w:hint="cs"/>
          <w:sz w:val="16"/>
          <w:szCs w:val="18"/>
          <w:rtl/>
        </w:rPr>
        <w:t>(פט, א)</w:t>
      </w:r>
      <w:r>
        <w:rPr>
          <w:rFonts w:hint="cs"/>
          <w:rtl/>
        </w:rPr>
        <w:t xml:space="preserve">. וזהו הזמן המובחר לתפילה, ועיין ברמב"ם </w:t>
      </w:r>
      <w:r w:rsidRPr="00AA5EFD">
        <w:rPr>
          <w:rFonts w:hint="cs"/>
          <w:sz w:val="16"/>
          <w:szCs w:val="18"/>
          <w:rtl/>
        </w:rPr>
        <w:t>(</w:t>
      </w:r>
      <w:r>
        <w:rPr>
          <w:rFonts w:hint="cs"/>
          <w:sz w:val="16"/>
          <w:szCs w:val="18"/>
          <w:rtl/>
        </w:rPr>
        <w:t xml:space="preserve">הלכות </w:t>
      </w:r>
      <w:r w:rsidRPr="00AA5EFD">
        <w:rPr>
          <w:rFonts w:hint="cs"/>
          <w:sz w:val="16"/>
          <w:szCs w:val="18"/>
          <w:rtl/>
        </w:rPr>
        <w:t xml:space="preserve">קריאת שמע א, יא) </w:t>
      </w:r>
      <w:r>
        <w:rPr>
          <w:rFonts w:hint="cs"/>
          <w:rtl/>
        </w:rPr>
        <w:t xml:space="preserve">דזהו הזמן לכתחילה, ואין זו רק מצוה מן המובחר אלא זהו עיקר המצוה </w:t>
      </w:r>
      <w:r w:rsidRPr="00AC0402">
        <w:rPr>
          <w:rFonts w:hint="cs"/>
          <w:sz w:val="16"/>
          <w:szCs w:val="18"/>
          <w:rtl/>
        </w:rPr>
        <w:t>(ועיין בשו"ת איש מצליח סימן טו שמנה ראשונים רבים הסוברים כרמב"ם)</w:t>
      </w:r>
      <w:r>
        <w:rPr>
          <w:rFonts w:hint="cs"/>
          <w:rtl/>
        </w:rPr>
        <w:t xml:space="preserve">, אך הטור </w:t>
      </w:r>
      <w:r w:rsidRPr="00AA5EFD">
        <w:rPr>
          <w:rFonts w:hint="cs"/>
          <w:sz w:val="16"/>
          <w:szCs w:val="18"/>
          <w:rtl/>
        </w:rPr>
        <w:t xml:space="preserve">(נח) </w:t>
      </w:r>
      <w:r>
        <w:rPr>
          <w:rFonts w:hint="cs"/>
          <w:rtl/>
        </w:rPr>
        <w:t xml:space="preserve">חולק וסובר שזוהי מצוה מן המובחר. </w:t>
      </w:r>
    </w:p>
    <w:p w:rsidR="00502173" w:rsidRDefault="00502173" w:rsidP="00F146A6">
      <w:pPr>
        <w:pStyle w:val="a3"/>
        <w:rPr>
          <w:rtl/>
        </w:rPr>
      </w:pPr>
      <w:r>
        <w:rPr>
          <w:rFonts w:hint="cs"/>
          <w:rtl/>
        </w:rPr>
        <w:t xml:space="preserve">הביאור הלכה </w:t>
      </w:r>
      <w:r w:rsidRPr="00E44683">
        <w:rPr>
          <w:rFonts w:hint="cs"/>
          <w:sz w:val="18"/>
          <w:szCs w:val="18"/>
          <w:rtl/>
        </w:rPr>
        <w:t>(נח</w:t>
      </w:r>
      <w:r>
        <w:rPr>
          <w:rFonts w:hint="cs"/>
          <w:sz w:val="18"/>
          <w:szCs w:val="18"/>
          <w:rtl/>
        </w:rPr>
        <w:t xml:space="preserve"> ד"ה 'ומצוה'</w:t>
      </w:r>
      <w:r w:rsidRPr="00E44683">
        <w:rPr>
          <w:rFonts w:hint="cs"/>
          <w:sz w:val="18"/>
          <w:szCs w:val="18"/>
          <w:rtl/>
        </w:rPr>
        <w:t xml:space="preserve">) </w:t>
      </w:r>
      <w:r>
        <w:rPr>
          <w:rFonts w:hint="cs"/>
          <w:rtl/>
        </w:rPr>
        <w:t xml:space="preserve">הביא שתפילת ותיקין </w:t>
      </w:r>
      <w:r w:rsidRPr="0060658D">
        <w:rPr>
          <w:rFonts w:hint="cs"/>
          <w:sz w:val="18"/>
          <w:szCs w:val="18"/>
          <w:rtl/>
        </w:rPr>
        <w:t xml:space="preserve">(ביחידות) </w:t>
      </w:r>
      <w:r>
        <w:rPr>
          <w:rFonts w:hint="cs"/>
          <w:rtl/>
        </w:rPr>
        <w:t>עדיפה על תפילה בציבור, וכן הובא ב</w:t>
      </w:r>
      <w:r>
        <w:rPr>
          <w:rtl/>
        </w:rPr>
        <w:t xml:space="preserve">צוואת הריב"ש </w:t>
      </w:r>
      <w:r w:rsidRPr="0060658D">
        <w:rPr>
          <w:sz w:val="18"/>
          <w:szCs w:val="18"/>
          <w:rtl/>
        </w:rPr>
        <w:t>(אות י</w:t>
      </w:r>
      <w:r w:rsidRPr="0060658D">
        <w:rPr>
          <w:rFonts w:hint="cs"/>
          <w:sz w:val="18"/>
          <w:szCs w:val="18"/>
          <w:rtl/>
        </w:rPr>
        <w:t>ז)</w:t>
      </w:r>
      <w:r>
        <w:rPr>
          <w:rFonts w:hint="cs"/>
          <w:rtl/>
        </w:rPr>
        <w:t xml:space="preserve">. נראה לפי"ז דה"ה גם על ברכת כהנים עדיפה תפילת ותיקין. ודברים אלו מסתדרים לשיטת הפוסקים דאזלינן בתר הרמב"ם שעיקר זמן התפילה הוא בזמן ותיקין, והמתפלל אחר כך נקרא עובר על דברי חכמים </w:t>
      </w:r>
      <w:r w:rsidRPr="0060658D">
        <w:rPr>
          <w:rFonts w:hint="cs"/>
          <w:sz w:val="18"/>
          <w:szCs w:val="18"/>
          <w:rtl/>
        </w:rPr>
        <w:t>(ופוסקים רבים ציינו דכל זה הוא רק למי שמתפלל תפילת ותיקין באופן קבוע)</w:t>
      </w:r>
      <w:r>
        <w:rPr>
          <w:rFonts w:hint="cs"/>
          <w:rtl/>
        </w:rPr>
        <w:t xml:space="preserve">. </w:t>
      </w:r>
    </w:p>
    <w:p w:rsidR="00502173" w:rsidRDefault="00502173" w:rsidP="00F146A6">
      <w:pPr>
        <w:pStyle w:val="a3"/>
        <w:rPr>
          <w:rtl/>
        </w:rPr>
      </w:pPr>
      <w:r>
        <w:rPr>
          <w:rFonts w:hint="cs"/>
          <w:rtl/>
        </w:rPr>
        <w:t xml:space="preserve">אלא שרבים מהאחרונים סוברים דתפילה בציבור עדיפה, שכן ותיקין זה מצד חסידות </w:t>
      </w:r>
      <w:r w:rsidRPr="00E44683">
        <w:rPr>
          <w:rFonts w:hint="cs"/>
          <w:sz w:val="18"/>
          <w:szCs w:val="18"/>
          <w:rtl/>
        </w:rPr>
        <w:t xml:space="preserve">(בניגוד לרי"ף ולרמב"ם) </w:t>
      </w:r>
      <w:r>
        <w:rPr>
          <w:rFonts w:hint="cs"/>
          <w:rtl/>
        </w:rPr>
        <w:t xml:space="preserve">בעוד תפילה מציבור מעיקר הדין, וכן איתא </w:t>
      </w:r>
      <w:r w:rsidRPr="0060658D">
        <w:rPr>
          <w:rtl/>
        </w:rPr>
        <w:t xml:space="preserve">במעשה רב </w:t>
      </w:r>
      <w:r w:rsidRPr="0060658D">
        <w:rPr>
          <w:rFonts w:hint="cs"/>
          <w:sz w:val="18"/>
          <w:szCs w:val="18"/>
          <w:rtl/>
        </w:rPr>
        <w:t>(</w:t>
      </w:r>
      <w:r w:rsidRPr="0060658D">
        <w:rPr>
          <w:sz w:val="18"/>
          <w:szCs w:val="18"/>
          <w:rtl/>
        </w:rPr>
        <w:t>הל</w:t>
      </w:r>
      <w:r w:rsidRPr="0060658D">
        <w:rPr>
          <w:rFonts w:hint="cs"/>
          <w:sz w:val="18"/>
          <w:szCs w:val="18"/>
          <w:rtl/>
        </w:rPr>
        <w:t>כות</w:t>
      </w:r>
      <w:r w:rsidRPr="0060658D">
        <w:rPr>
          <w:sz w:val="18"/>
          <w:szCs w:val="18"/>
          <w:rtl/>
        </w:rPr>
        <w:t xml:space="preserve"> ק"ש ותפילה אות כה) </w:t>
      </w:r>
      <w:r w:rsidRPr="0060658D">
        <w:rPr>
          <w:rtl/>
        </w:rPr>
        <w:t xml:space="preserve">שראוי להתפלל כוותיקין ובלבד עם מנין עשרה. </w:t>
      </w:r>
      <w:r>
        <w:rPr>
          <w:rFonts w:hint="cs"/>
          <w:rtl/>
        </w:rPr>
        <w:t xml:space="preserve">אולם כשאין מנין בותיקין, עדיף להתפלל בציבור, וכן העלו </w:t>
      </w:r>
      <w:r w:rsidRPr="004B7C18">
        <w:rPr>
          <w:rtl/>
        </w:rPr>
        <w:t xml:space="preserve">בשו"ת האלף לך שלמה </w:t>
      </w:r>
      <w:r w:rsidRPr="00E44683">
        <w:rPr>
          <w:rFonts w:hint="cs"/>
          <w:sz w:val="18"/>
          <w:szCs w:val="18"/>
          <w:rtl/>
        </w:rPr>
        <w:t>(</w:t>
      </w:r>
      <w:r w:rsidRPr="00E44683">
        <w:rPr>
          <w:sz w:val="18"/>
          <w:szCs w:val="18"/>
          <w:rtl/>
        </w:rPr>
        <w:t>או</w:t>
      </w:r>
      <w:r w:rsidRPr="00E44683">
        <w:rPr>
          <w:rFonts w:hint="cs"/>
          <w:sz w:val="18"/>
          <w:szCs w:val="18"/>
          <w:rtl/>
        </w:rPr>
        <w:t>רח-</w:t>
      </w:r>
      <w:r w:rsidRPr="00E44683">
        <w:rPr>
          <w:sz w:val="18"/>
          <w:szCs w:val="18"/>
          <w:rtl/>
        </w:rPr>
        <w:t>ח</w:t>
      </w:r>
      <w:r w:rsidRPr="00E44683">
        <w:rPr>
          <w:rFonts w:hint="cs"/>
          <w:sz w:val="18"/>
          <w:szCs w:val="18"/>
          <w:rtl/>
        </w:rPr>
        <w:t>יים</w:t>
      </w:r>
      <w:r w:rsidRPr="00E44683">
        <w:rPr>
          <w:sz w:val="18"/>
          <w:szCs w:val="18"/>
          <w:rtl/>
        </w:rPr>
        <w:t xml:space="preserve"> מז</w:t>
      </w:r>
      <w:r w:rsidRPr="00E44683">
        <w:rPr>
          <w:rFonts w:hint="cs"/>
          <w:sz w:val="18"/>
          <w:szCs w:val="18"/>
          <w:rtl/>
        </w:rPr>
        <w:t>)</w:t>
      </w:r>
      <w:r>
        <w:rPr>
          <w:rFonts w:hint="cs"/>
          <w:rtl/>
        </w:rPr>
        <w:t xml:space="preserve">, </w:t>
      </w:r>
      <w:r>
        <w:rPr>
          <w:rtl/>
        </w:rPr>
        <w:t xml:space="preserve">שו"ת בנין עולם </w:t>
      </w:r>
      <w:r w:rsidRPr="00E44683">
        <w:rPr>
          <w:rFonts w:hint="cs"/>
          <w:sz w:val="18"/>
          <w:szCs w:val="18"/>
          <w:rtl/>
        </w:rPr>
        <w:t>(</w:t>
      </w:r>
      <w:r w:rsidRPr="00E44683">
        <w:rPr>
          <w:sz w:val="18"/>
          <w:szCs w:val="18"/>
          <w:rtl/>
        </w:rPr>
        <w:t>א</w:t>
      </w:r>
      <w:r w:rsidRPr="00E44683">
        <w:rPr>
          <w:rFonts w:hint="cs"/>
          <w:sz w:val="18"/>
          <w:szCs w:val="18"/>
          <w:rtl/>
        </w:rPr>
        <w:t>,</w:t>
      </w:r>
      <w:r w:rsidRPr="00E44683">
        <w:rPr>
          <w:sz w:val="18"/>
          <w:szCs w:val="18"/>
          <w:rtl/>
        </w:rPr>
        <w:t xml:space="preserve"> ד</w:t>
      </w:r>
      <w:r w:rsidRPr="00E44683">
        <w:rPr>
          <w:rFonts w:hint="cs"/>
          <w:sz w:val="18"/>
          <w:szCs w:val="18"/>
          <w:rtl/>
        </w:rPr>
        <w:t>)</w:t>
      </w:r>
      <w:r>
        <w:rPr>
          <w:rFonts w:hint="cs"/>
          <w:rtl/>
        </w:rPr>
        <w:t xml:space="preserve">, </w:t>
      </w:r>
      <w:r w:rsidRPr="004B7C18">
        <w:rPr>
          <w:rtl/>
        </w:rPr>
        <w:t xml:space="preserve">שו"ת מנחת יצחק </w:t>
      </w:r>
      <w:r w:rsidRPr="00E44683">
        <w:rPr>
          <w:rFonts w:hint="cs"/>
          <w:sz w:val="18"/>
          <w:szCs w:val="18"/>
          <w:rtl/>
        </w:rPr>
        <w:t>(</w:t>
      </w:r>
      <w:r w:rsidRPr="00E44683">
        <w:rPr>
          <w:sz w:val="18"/>
          <w:szCs w:val="18"/>
          <w:rtl/>
        </w:rPr>
        <w:t>ג</w:t>
      </w:r>
      <w:r w:rsidRPr="00E44683">
        <w:rPr>
          <w:rFonts w:hint="cs"/>
          <w:sz w:val="18"/>
          <w:szCs w:val="18"/>
          <w:rtl/>
        </w:rPr>
        <w:t>,</w:t>
      </w:r>
      <w:r w:rsidRPr="00E44683">
        <w:rPr>
          <w:sz w:val="18"/>
          <w:szCs w:val="18"/>
          <w:rtl/>
        </w:rPr>
        <w:t xml:space="preserve"> עא</w:t>
      </w:r>
      <w:r w:rsidRPr="00E44683">
        <w:rPr>
          <w:rFonts w:hint="cs"/>
          <w:sz w:val="18"/>
          <w:szCs w:val="18"/>
          <w:rtl/>
        </w:rPr>
        <w:t>)</w:t>
      </w:r>
      <w:r>
        <w:rPr>
          <w:rFonts w:hint="cs"/>
          <w:rtl/>
        </w:rPr>
        <w:t xml:space="preserve">, שו"ת רבבות אפרים </w:t>
      </w:r>
      <w:r w:rsidRPr="00880913">
        <w:rPr>
          <w:rFonts w:hint="cs"/>
          <w:sz w:val="18"/>
          <w:szCs w:val="18"/>
          <w:rtl/>
        </w:rPr>
        <w:t>(ח, טז אות א)</w:t>
      </w:r>
      <w:r>
        <w:rPr>
          <w:rFonts w:hint="cs"/>
          <w:rtl/>
        </w:rPr>
        <w:t xml:space="preserve">, שו"ת באר משה </w:t>
      </w:r>
      <w:r w:rsidRPr="001B0BBF">
        <w:rPr>
          <w:rFonts w:hint="cs"/>
          <w:sz w:val="16"/>
          <w:szCs w:val="18"/>
          <w:rtl/>
        </w:rPr>
        <w:t>(ח, נז)</w:t>
      </w:r>
      <w:r>
        <w:rPr>
          <w:rFonts w:hint="cs"/>
          <w:rtl/>
        </w:rPr>
        <w:t xml:space="preserve">, מועדים וזמנים </w:t>
      </w:r>
      <w:r w:rsidRPr="001B0BBF">
        <w:rPr>
          <w:rFonts w:hint="cs"/>
          <w:sz w:val="16"/>
          <w:szCs w:val="18"/>
          <w:rtl/>
        </w:rPr>
        <w:t xml:space="preserve">(ו, יא) </w:t>
      </w:r>
      <w:r>
        <w:rPr>
          <w:rFonts w:hint="cs"/>
          <w:rtl/>
        </w:rPr>
        <w:t xml:space="preserve">ובקובץ תשובות </w:t>
      </w:r>
      <w:r w:rsidRPr="001B0BBF">
        <w:rPr>
          <w:rFonts w:hint="cs"/>
          <w:sz w:val="16"/>
          <w:szCs w:val="18"/>
          <w:rtl/>
        </w:rPr>
        <w:t>(א, טו)</w:t>
      </w:r>
      <w:r>
        <w:rPr>
          <w:rFonts w:hint="cs"/>
          <w:rtl/>
        </w:rPr>
        <w:t xml:space="preserve">. וע"ע בזה </w:t>
      </w:r>
      <w:r w:rsidRPr="004B7C18">
        <w:rPr>
          <w:rtl/>
        </w:rPr>
        <w:t xml:space="preserve">בשו"ת פרי יצחק </w:t>
      </w:r>
      <w:r w:rsidRPr="00E44683">
        <w:rPr>
          <w:rFonts w:hint="cs"/>
          <w:sz w:val="18"/>
          <w:szCs w:val="18"/>
          <w:rtl/>
        </w:rPr>
        <w:t>(</w:t>
      </w:r>
      <w:r w:rsidRPr="00E44683">
        <w:rPr>
          <w:sz w:val="18"/>
          <w:szCs w:val="18"/>
          <w:rtl/>
        </w:rPr>
        <w:t>ב</w:t>
      </w:r>
      <w:r w:rsidRPr="00E44683">
        <w:rPr>
          <w:rFonts w:hint="cs"/>
          <w:sz w:val="18"/>
          <w:szCs w:val="18"/>
          <w:rtl/>
        </w:rPr>
        <w:t>)</w:t>
      </w:r>
      <w:r>
        <w:rPr>
          <w:rFonts w:hint="cs"/>
          <w:rtl/>
        </w:rPr>
        <w:t xml:space="preserve">, בשו"ת יביע אומר </w:t>
      </w:r>
      <w:r w:rsidRPr="00E44683">
        <w:rPr>
          <w:rFonts w:hint="cs"/>
          <w:sz w:val="18"/>
          <w:szCs w:val="18"/>
          <w:rtl/>
        </w:rPr>
        <w:t>(א אורח-חיים ד אות ט)</w:t>
      </w:r>
      <w:r>
        <w:rPr>
          <w:rFonts w:hint="cs"/>
          <w:rtl/>
        </w:rPr>
        <w:t xml:space="preserve">, ברבבות ויובלות </w:t>
      </w:r>
      <w:r w:rsidRPr="001B0BBF">
        <w:rPr>
          <w:rFonts w:hint="cs"/>
          <w:sz w:val="16"/>
          <w:szCs w:val="18"/>
          <w:rtl/>
        </w:rPr>
        <w:t>(ב, תנו)</w:t>
      </w:r>
      <w:r>
        <w:rPr>
          <w:rFonts w:hint="cs"/>
          <w:rtl/>
        </w:rPr>
        <w:t xml:space="preserve">, בשו"ת אבן פנה </w:t>
      </w:r>
      <w:r w:rsidRPr="00A50E38">
        <w:rPr>
          <w:rFonts w:hint="cs"/>
          <w:sz w:val="16"/>
          <w:szCs w:val="18"/>
          <w:rtl/>
        </w:rPr>
        <w:t>(ב, ד)</w:t>
      </w:r>
      <w:r>
        <w:rPr>
          <w:rFonts w:hint="cs"/>
          <w:rtl/>
        </w:rPr>
        <w:t xml:space="preserve">, בשו"ת אור יצחק </w:t>
      </w:r>
      <w:r w:rsidRPr="00FF2217">
        <w:rPr>
          <w:rFonts w:hint="cs"/>
          <w:sz w:val="16"/>
          <w:szCs w:val="18"/>
          <w:rtl/>
        </w:rPr>
        <w:t>(א אורח-חיים לג)</w:t>
      </w:r>
      <w:r>
        <w:rPr>
          <w:rFonts w:hint="cs"/>
          <w:rtl/>
        </w:rPr>
        <w:t xml:space="preserve"> ובספר הליכות בית ישראל </w:t>
      </w:r>
      <w:r w:rsidRPr="00E44683">
        <w:rPr>
          <w:rFonts w:hint="cs"/>
          <w:sz w:val="18"/>
          <w:szCs w:val="18"/>
          <w:rtl/>
        </w:rPr>
        <w:t>(פ' לב)</w:t>
      </w:r>
      <w:r>
        <w:rPr>
          <w:rFonts w:hint="cs"/>
          <w:rtl/>
        </w:rPr>
        <w:t xml:space="preserve">. וממילא לשיטתם ברכת כהנים עדיפה על פני ותיקין. וכן ראיתי שכתב בשו"ת ציץ אליעזר </w:t>
      </w:r>
      <w:r w:rsidRPr="0060658D">
        <w:rPr>
          <w:rFonts w:hint="cs"/>
          <w:sz w:val="18"/>
          <w:szCs w:val="18"/>
          <w:rtl/>
        </w:rPr>
        <w:t xml:space="preserve">(יד, ה) </w:t>
      </w:r>
      <w:r>
        <w:rPr>
          <w:rFonts w:hint="cs"/>
          <w:rtl/>
        </w:rPr>
        <w:t xml:space="preserve">דהמחלוקת נובעת בגד חיוב תפילת ותיקין. וע"ע בזה בדברינו בשו"ת אבני דרך </w:t>
      </w:r>
      <w:r w:rsidRPr="00994E01">
        <w:rPr>
          <w:rFonts w:hint="cs"/>
          <w:sz w:val="18"/>
          <w:szCs w:val="18"/>
          <w:rtl/>
        </w:rPr>
        <w:t>(ח, עא)</w:t>
      </w:r>
      <w:r>
        <w:rPr>
          <w:rFonts w:hint="cs"/>
          <w:rtl/>
        </w:rPr>
        <w:t xml:space="preserve">. </w:t>
      </w:r>
    </w:p>
    <w:p w:rsidR="00502173" w:rsidRDefault="00502173" w:rsidP="00F146A6">
      <w:pPr>
        <w:pStyle w:val="a3"/>
        <w:rPr>
          <w:rtl/>
        </w:rPr>
      </w:pPr>
      <w:r>
        <w:rPr>
          <w:rFonts w:hint="cs"/>
          <w:rtl/>
        </w:rPr>
        <w:t>נראה להוסיף ולומר הכי דברכת כהנים עדיפה, ע"פ מה שמצינו שפוסקים רבים סוברים שברכת כהנים הינה מהתורה</w:t>
      </w:r>
      <w:r>
        <w:rPr>
          <w:rStyle w:val="FootnoteReference"/>
          <w:rFonts w:ascii="David" w:hAnsi="David"/>
          <w:rtl/>
        </w:rPr>
        <w:footnoteReference w:id="228"/>
      </w:r>
      <w:r>
        <w:rPr>
          <w:rFonts w:hint="cs"/>
          <w:rtl/>
        </w:rPr>
        <w:t xml:space="preserve"> </w:t>
      </w:r>
      <w:r w:rsidRPr="0060658D">
        <w:rPr>
          <w:rFonts w:hint="cs"/>
          <w:sz w:val="18"/>
          <w:szCs w:val="18"/>
          <w:rtl/>
        </w:rPr>
        <w:t>(עיין שער הציון קכח, סקקל"ז</w:t>
      </w:r>
      <w:r>
        <w:rPr>
          <w:rFonts w:hint="cs"/>
          <w:sz w:val="18"/>
          <w:szCs w:val="18"/>
          <w:rtl/>
        </w:rPr>
        <w:t>. ועיין באריכות בספר ואני אברכם פרק ח</w:t>
      </w:r>
      <w:r w:rsidRPr="0060658D">
        <w:rPr>
          <w:rFonts w:hint="cs"/>
          <w:sz w:val="18"/>
          <w:szCs w:val="18"/>
          <w:rtl/>
        </w:rPr>
        <w:t>)</w:t>
      </w:r>
      <w:r>
        <w:rPr>
          <w:rFonts w:hint="cs"/>
          <w:rtl/>
        </w:rPr>
        <w:t xml:space="preserve">, בעוד לגבי תפילה מצינו מחלוקת בין הרמב"ן לרמב"ם </w:t>
      </w:r>
      <w:r w:rsidRPr="0060658D">
        <w:rPr>
          <w:rFonts w:hint="cs"/>
          <w:sz w:val="18"/>
          <w:szCs w:val="18"/>
          <w:rtl/>
        </w:rPr>
        <w:t>(אלא א"כ מיירי בשעת צרה)</w:t>
      </w:r>
      <w:r>
        <w:rPr>
          <w:rFonts w:hint="cs"/>
          <w:rtl/>
        </w:rPr>
        <w:t xml:space="preserve">.  </w:t>
      </w:r>
    </w:p>
    <w:p w:rsidR="00502173" w:rsidRDefault="00502173" w:rsidP="00F146A6">
      <w:pPr>
        <w:pStyle w:val="a3"/>
        <w:rPr>
          <w:rtl/>
        </w:rPr>
      </w:pPr>
      <w:r>
        <w:rPr>
          <w:rFonts w:hint="cs"/>
          <w:rtl/>
        </w:rPr>
        <w:t xml:space="preserve">יתכן דיש לתלות אם ישנו חיוב על ישראל להתברך או שמא החיוב רק על הכהן לברך. דאי נימא דהחיוב רק על הכהן לברך, ממילא עדיף שילך להתפלל ותיקין. אולם אם ישנה מצוות עשה על ישראל להתברך, עדיף שישמע ברכת כהנים מאשר שיתפלל תפילין ותיקין. ומכיוון שרבים סוברים דקיימת מצווה עשה על הישראל להתברך, אזי עדיף שישמע ברכת כהנים. </w:t>
      </w:r>
    </w:p>
    <w:p w:rsidR="00502173" w:rsidRDefault="00502173" w:rsidP="00F146A6">
      <w:pPr>
        <w:pStyle w:val="a3"/>
        <w:rPr>
          <w:rtl/>
        </w:rPr>
      </w:pPr>
      <w:r>
        <w:rPr>
          <w:rFonts w:hint="cs"/>
          <w:rtl/>
        </w:rPr>
        <w:t xml:space="preserve">והכי כתב </w:t>
      </w:r>
      <w:r>
        <w:rPr>
          <w:rtl/>
        </w:rPr>
        <w:t xml:space="preserve">בספר חרדים </w:t>
      </w:r>
      <w:r w:rsidRPr="00994E01">
        <w:rPr>
          <w:sz w:val="18"/>
          <w:szCs w:val="18"/>
          <w:rtl/>
        </w:rPr>
        <w:t>(יב</w:t>
      </w:r>
      <w:r w:rsidRPr="00994E01">
        <w:rPr>
          <w:rFonts w:hint="cs"/>
          <w:sz w:val="18"/>
          <w:szCs w:val="18"/>
          <w:rtl/>
        </w:rPr>
        <w:t>,</w:t>
      </w:r>
      <w:r w:rsidRPr="00994E01">
        <w:rPr>
          <w:sz w:val="18"/>
          <w:szCs w:val="18"/>
          <w:rtl/>
        </w:rPr>
        <w:t xml:space="preserve"> יח)</w:t>
      </w:r>
      <w:r>
        <w:rPr>
          <w:rFonts w:hint="cs"/>
          <w:rtl/>
        </w:rPr>
        <w:t>: "</w:t>
      </w:r>
      <w:r w:rsidRPr="00E1519D">
        <w:rPr>
          <w:rtl/>
        </w:rPr>
        <w:t xml:space="preserve">מצות עשה לברך כהן את ישראל שנאמר </w:t>
      </w:r>
      <w:r w:rsidRPr="00764B79">
        <w:rPr>
          <w:sz w:val="18"/>
          <w:szCs w:val="18"/>
          <w:rtl/>
        </w:rPr>
        <w:t xml:space="preserve">(במדבר ו, </w:t>
      </w:r>
      <w:r w:rsidRPr="00764B79">
        <w:rPr>
          <w:sz w:val="18"/>
          <w:szCs w:val="18"/>
          <w:rtl/>
        </w:rPr>
        <w:lastRenderedPageBreak/>
        <w:t>כ</w:t>
      </w:r>
      <w:r w:rsidRPr="00764B79">
        <w:rPr>
          <w:rFonts w:hint="cs"/>
          <w:sz w:val="18"/>
          <w:szCs w:val="18"/>
          <w:rtl/>
        </w:rPr>
        <w:t>)</w:t>
      </w:r>
      <w:r w:rsidRPr="00764B79">
        <w:rPr>
          <w:sz w:val="18"/>
          <w:szCs w:val="18"/>
          <w:rtl/>
        </w:rPr>
        <w:t xml:space="preserve"> </w:t>
      </w:r>
      <w:r w:rsidRPr="00E1519D">
        <w:rPr>
          <w:rtl/>
        </w:rPr>
        <w:t>כה תברכו את בני ישראל, וישראל העומדים פנים כנגד פני הכהנים בשתיקה ומ</w:t>
      </w:r>
      <w:r>
        <w:rPr>
          <w:rtl/>
        </w:rPr>
        <w:t>כוונים לבם לקבל ברכתם כדבר ה', הם נמי בכלל המצוה"</w:t>
      </w:r>
      <w:r w:rsidRPr="00E1519D">
        <w:rPr>
          <w:rtl/>
        </w:rPr>
        <w:t>.</w:t>
      </w:r>
      <w:r>
        <w:rPr>
          <w:rFonts w:hint="cs"/>
          <w:rtl/>
        </w:rPr>
        <w:t xml:space="preserve"> וכ"כ שיש מצווה עשה לישראל להתברך ב</w:t>
      </w:r>
      <w:r>
        <w:rPr>
          <w:rtl/>
        </w:rPr>
        <w:t>שו"ת חת</w:t>
      </w:r>
      <w:r>
        <w:rPr>
          <w:rFonts w:hint="cs"/>
          <w:rtl/>
        </w:rPr>
        <w:t xml:space="preserve">ם סופר </w:t>
      </w:r>
      <w:r w:rsidRPr="001B0C35">
        <w:rPr>
          <w:rFonts w:hint="cs"/>
          <w:sz w:val="18"/>
          <w:szCs w:val="18"/>
          <w:rtl/>
        </w:rPr>
        <w:t>(</w:t>
      </w:r>
      <w:r w:rsidRPr="001B0C35">
        <w:rPr>
          <w:sz w:val="18"/>
          <w:szCs w:val="18"/>
          <w:rtl/>
        </w:rPr>
        <w:t>או</w:t>
      </w:r>
      <w:r w:rsidRPr="001B0C35">
        <w:rPr>
          <w:rFonts w:hint="cs"/>
          <w:sz w:val="18"/>
          <w:szCs w:val="18"/>
          <w:rtl/>
        </w:rPr>
        <w:t>רח-</w:t>
      </w:r>
      <w:r w:rsidRPr="001B0C35">
        <w:rPr>
          <w:sz w:val="18"/>
          <w:szCs w:val="18"/>
          <w:rtl/>
        </w:rPr>
        <w:t>ח</w:t>
      </w:r>
      <w:r w:rsidRPr="001B0C35">
        <w:rPr>
          <w:rFonts w:hint="cs"/>
          <w:sz w:val="18"/>
          <w:szCs w:val="18"/>
          <w:rtl/>
        </w:rPr>
        <w:t xml:space="preserve">יים </w:t>
      </w:r>
      <w:r w:rsidRPr="001B0C35">
        <w:rPr>
          <w:sz w:val="18"/>
          <w:szCs w:val="18"/>
          <w:rtl/>
        </w:rPr>
        <w:t xml:space="preserve">כב) </w:t>
      </w:r>
      <w:r>
        <w:rPr>
          <w:rFonts w:hint="cs"/>
          <w:rtl/>
        </w:rPr>
        <w:t>ו</w:t>
      </w:r>
      <w:r w:rsidRPr="00E1519D">
        <w:rPr>
          <w:rtl/>
        </w:rPr>
        <w:t xml:space="preserve">שו"ת מנחת יצחק </w:t>
      </w:r>
      <w:r w:rsidRPr="001B0C35">
        <w:rPr>
          <w:rFonts w:hint="cs"/>
          <w:sz w:val="18"/>
          <w:szCs w:val="18"/>
          <w:rtl/>
        </w:rPr>
        <w:t>(</w:t>
      </w:r>
      <w:r w:rsidRPr="001B0C35">
        <w:rPr>
          <w:sz w:val="18"/>
          <w:szCs w:val="18"/>
          <w:rtl/>
        </w:rPr>
        <w:t>ו</w:t>
      </w:r>
      <w:r w:rsidRPr="001B0C35">
        <w:rPr>
          <w:rFonts w:hint="cs"/>
          <w:sz w:val="18"/>
          <w:szCs w:val="18"/>
          <w:rtl/>
        </w:rPr>
        <w:t>,</w:t>
      </w:r>
      <w:r w:rsidRPr="001B0C35">
        <w:rPr>
          <w:sz w:val="18"/>
          <w:szCs w:val="18"/>
          <w:rtl/>
        </w:rPr>
        <w:t xml:space="preserve"> יד</w:t>
      </w:r>
      <w:r w:rsidRPr="001B0C35">
        <w:rPr>
          <w:rFonts w:hint="cs"/>
          <w:sz w:val="18"/>
          <w:szCs w:val="18"/>
          <w:rtl/>
        </w:rPr>
        <w:t>)</w:t>
      </w:r>
      <w:r>
        <w:rPr>
          <w:rFonts w:hint="cs"/>
          <w:rtl/>
        </w:rPr>
        <w:t xml:space="preserve">. והכי איתא </w:t>
      </w:r>
      <w:r w:rsidRPr="00E1519D">
        <w:rPr>
          <w:rtl/>
        </w:rPr>
        <w:t xml:space="preserve">בשו"ת לבוש מרדכי </w:t>
      </w:r>
      <w:r w:rsidRPr="001B0C35">
        <w:rPr>
          <w:sz w:val="18"/>
          <w:szCs w:val="18"/>
          <w:rtl/>
        </w:rPr>
        <w:t xml:space="preserve">(א) </w:t>
      </w:r>
      <w:r>
        <w:rPr>
          <w:rFonts w:hint="cs"/>
          <w:rtl/>
        </w:rPr>
        <w:t>ש</w:t>
      </w:r>
      <w:r w:rsidRPr="00E1519D">
        <w:rPr>
          <w:rtl/>
        </w:rPr>
        <w:t>דייק מ</w:t>
      </w:r>
      <w:r>
        <w:rPr>
          <w:rFonts w:hint="cs"/>
          <w:rtl/>
        </w:rPr>
        <w:t>ה</w:t>
      </w:r>
      <w:r>
        <w:rPr>
          <w:rtl/>
        </w:rPr>
        <w:t>תוס</w:t>
      </w:r>
      <w:r>
        <w:rPr>
          <w:rFonts w:hint="cs"/>
          <w:rtl/>
        </w:rPr>
        <w:t>פות</w:t>
      </w:r>
      <w:r>
        <w:rPr>
          <w:rtl/>
        </w:rPr>
        <w:t xml:space="preserve"> </w:t>
      </w:r>
      <w:r w:rsidRPr="001B0C35">
        <w:rPr>
          <w:sz w:val="18"/>
          <w:szCs w:val="18"/>
          <w:rtl/>
        </w:rPr>
        <w:t>(ר</w:t>
      </w:r>
      <w:r w:rsidRPr="001B0C35">
        <w:rPr>
          <w:rFonts w:hint="cs"/>
          <w:sz w:val="18"/>
          <w:szCs w:val="18"/>
          <w:rtl/>
        </w:rPr>
        <w:t>אש-</w:t>
      </w:r>
      <w:r w:rsidRPr="001B0C35">
        <w:rPr>
          <w:sz w:val="18"/>
          <w:szCs w:val="18"/>
          <w:rtl/>
        </w:rPr>
        <w:t>ה</w:t>
      </w:r>
      <w:r w:rsidRPr="001B0C35">
        <w:rPr>
          <w:rFonts w:hint="cs"/>
          <w:sz w:val="18"/>
          <w:szCs w:val="18"/>
          <w:rtl/>
        </w:rPr>
        <w:t>שנה</w:t>
      </w:r>
      <w:r w:rsidRPr="001B0C35">
        <w:rPr>
          <w:sz w:val="18"/>
          <w:szCs w:val="18"/>
          <w:rtl/>
        </w:rPr>
        <w:t xml:space="preserve"> כח</w:t>
      </w:r>
      <w:r w:rsidRPr="001B0C35">
        <w:rPr>
          <w:rFonts w:hint="cs"/>
          <w:sz w:val="18"/>
          <w:szCs w:val="18"/>
          <w:rtl/>
        </w:rPr>
        <w:t>, ב</w:t>
      </w:r>
      <w:r w:rsidRPr="001B0C35">
        <w:rPr>
          <w:sz w:val="18"/>
          <w:szCs w:val="18"/>
          <w:rtl/>
        </w:rPr>
        <w:t xml:space="preserve"> ד"ה </w:t>
      </w:r>
      <w:r w:rsidRPr="001B0C35">
        <w:rPr>
          <w:rFonts w:hint="cs"/>
          <w:sz w:val="18"/>
          <w:szCs w:val="18"/>
          <w:rtl/>
        </w:rPr>
        <w:t>'</w:t>
      </w:r>
      <w:r w:rsidRPr="001B0C35">
        <w:rPr>
          <w:sz w:val="18"/>
          <w:szCs w:val="18"/>
          <w:rtl/>
        </w:rPr>
        <w:t>הכא</w:t>
      </w:r>
      <w:r w:rsidRPr="001B0C35">
        <w:rPr>
          <w:rFonts w:hint="cs"/>
          <w:sz w:val="18"/>
          <w:szCs w:val="18"/>
          <w:rtl/>
        </w:rPr>
        <w:t>'</w:t>
      </w:r>
      <w:r w:rsidRPr="001B0C35">
        <w:rPr>
          <w:sz w:val="18"/>
          <w:szCs w:val="18"/>
          <w:rtl/>
        </w:rPr>
        <w:t xml:space="preserve">) </w:t>
      </w:r>
      <w:r w:rsidRPr="00E1519D">
        <w:rPr>
          <w:rtl/>
        </w:rPr>
        <w:t xml:space="preserve">שמוטל על הישראל להתברך. </w:t>
      </w:r>
      <w:r>
        <w:rPr>
          <w:rFonts w:hint="cs"/>
          <w:rtl/>
        </w:rPr>
        <w:t>וכן משמע מ</w:t>
      </w:r>
      <w:r>
        <w:rPr>
          <w:rtl/>
        </w:rPr>
        <w:t xml:space="preserve">שו"ת אגרות משה </w:t>
      </w:r>
      <w:r w:rsidRPr="001B0C35">
        <w:rPr>
          <w:sz w:val="18"/>
          <w:szCs w:val="18"/>
          <w:rtl/>
        </w:rPr>
        <w:t>(או</w:t>
      </w:r>
      <w:r w:rsidRPr="001B0C35">
        <w:rPr>
          <w:rFonts w:hint="cs"/>
          <w:sz w:val="18"/>
          <w:szCs w:val="18"/>
          <w:rtl/>
        </w:rPr>
        <w:t>רח-</w:t>
      </w:r>
      <w:r w:rsidRPr="001B0C35">
        <w:rPr>
          <w:sz w:val="18"/>
          <w:szCs w:val="18"/>
          <w:rtl/>
        </w:rPr>
        <w:t>ח</w:t>
      </w:r>
      <w:r w:rsidRPr="001B0C35">
        <w:rPr>
          <w:rFonts w:hint="cs"/>
          <w:sz w:val="18"/>
          <w:szCs w:val="18"/>
          <w:rtl/>
        </w:rPr>
        <w:t>יים</w:t>
      </w:r>
      <w:r w:rsidRPr="001B0C35">
        <w:rPr>
          <w:sz w:val="18"/>
          <w:szCs w:val="18"/>
          <w:rtl/>
        </w:rPr>
        <w:t xml:space="preserve"> ד</w:t>
      </w:r>
      <w:r w:rsidRPr="001B0C35">
        <w:rPr>
          <w:rFonts w:hint="cs"/>
          <w:sz w:val="18"/>
          <w:szCs w:val="18"/>
          <w:rtl/>
        </w:rPr>
        <w:t>,</w:t>
      </w:r>
      <w:r w:rsidRPr="001B0C35">
        <w:rPr>
          <w:sz w:val="18"/>
          <w:szCs w:val="18"/>
          <w:rtl/>
        </w:rPr>
        <w:t xml:space="preserve"> כא) </w:t>
      </w:r>
      <w:r>
        <w:rPr>
          <w:rFonts w:hint="cs"/>
          <w:rtl/>
        </w:rPr>
        <w:t>ו</w:t>
      </w:r>
      <w:r w:rsidRPr="00E1519D">
        <w:rPr>
          <w:rtl/>
        </w:rPr>
        <w:t xml:space="preserve">הליכות שלמה </w:t>
      </w:r>
      <w:r w:rsidRPr="001B0C35">
        <w:rPr>
          <w:rFonts w:hint="cs"/>
          <w:sz w:val="18"/>
          <w:szCs w:val="18"/>
          <w:rtl/>
        </w:rPr>
        <w:t>(הלכות נשיאת כפים)</w:t>
      </w:r>
      <w:r>
        <w:rPr>
          <w:rFonts w:hint="cs"/>
          <w:rtl/>
        </w:rPr>
        <w:t xml:space="preserve">. וע"ע </w:t>
      </w:r>
      <w:r>
        <w:rPr>
          <w:rtl/>
        </w:rPr>
        <w:t>ב</w:t>
      </w:r>
      <w:r w:rsidRPr="0060658D">
        <w:rPr>
          <w:rtl/>
        </w:rPr>
        <w:t xml:space="preserve">תורה תמימה </w:t>
      </w:r>
      <w:r w:rsidRPr="001B0C35">
        <w:rPr>
          <w:rFonts w:hint="cs"/>
          <w:sz w:val="18"/>
          <w:szCs w:val="18"/>
          <w:rtl/>
        </w:rPr>
        <w:t>(</w:t>
      </w:r>
      <w:r w:rsidRPr="001B0C35">
        <w:rPr>
          <w:sz w:val="18"/>
          <w:szCs w:val="18"/>
          <w:rtl/>
        </w:rPr>
        <w:t>פר</w:t>
      </w:r>
      <w:r w:rsidRPr="001B0C35">
        <w:rPr>
          <w:rFonts w:hint="cs"/>
          <w:sz w:val="18"/>
          <w:szCs w:val="18"/>
          <w:rtl/>
        </w:rPr>
        <w:t>שת</w:t>
      </w:r>
      <w:r w:rsidRPr="001B0C35">
        <w:rPr>
          <w:sz w:val="18"/>
          <w:szCs w:val="18"/>
          <w:rtl/>
        </w:rPr>
        <w:t xml:space="preserve"> נשא אות תלה)</w:t>
      </w:r>
      <w:r>
        <w:rPr>
          <w:rFonts w:hint="cs"/>
          <w:rtl/>
        </w:rPr>
        <w:t>.</w:t>
      </w:r>
      <w:r w:rsidRPr="0060658D">
        <w:rPr>
          <w:rtl/>
        </w:rPr>
        <w:t xml:space="preserve"> </w:t>
      </w:r>
    </w:p>
    <w:p w:rsidR="00502173" w:rsidRDefault="00502173" w:rsidP="00F146A6">
      <w:pPr>
        <w:pStyle w:val="a3"/>
        <w:rPr>
          <w:rtl/>
        </w:rPr>
      </w:pPr>
      <w:r>
        <w:rPr>
          <w:rFonts w:hint="cs"/>
          <w:rtl/>
        </w:rPr>
        <w:t>ויש לציין כי ה</w:t>
      </w:r>
      <w:r w:rsidRPr="00BA0EF6">
        <w:rPr>
          <w:rtl/>
        </w:rPr>
        <w:t xml:space="preserve">ריטב"א </w:t>
      </w:r>
      <w:r w:rsidRPr="00BA0EF6">
        <w:rPr>
          <w:rFonts w:hint="cs"/>
          <w:sz w:val="18"/>
          <w:szCs w:val="18"/>
          <w:rtl/>
        </w:rPr>
        <w:t>(</w:t>
      </w:r>
      <w:r w:rsidRPr="00BA0EF6">
        <w:rPr>
          <w:sz w:val="18"/>
          <w:szCs w:val="18"/>
          <w:rtl/>
        </w:rPr>
        <w:t>סוכה לא</w:t>
      </w:r>
      <w:r w:rsidRPr="00BA0EF6">
        <w:rPr>
          <w:rFonts w:hint="cs"/>
          <w:sz w:val="18"/>
          <w:szCs w:val="18"/>
          <w:rtl/>
        </w:rPr>
        <w:t>,</w:t>
      </w:r>
      <w:r w:rsidRPr="00BA0EF6">
        <w:rPr>
          <w:sz w:val="18"/>
          <w:szCs w:val="18"/>
          <w:rtl/>
        </w:rPr>
        <w:t xml:space="preserve"> ב)</w:t>
      </w:r>
      <w:r w:rsidRPr="00BA0EF6">
        <w:rPr>
          <w:rtl/>
        </w:rPr>
        <w:t xml:space="preserve"> חולק וסובר שהמצוה ה</w:t>
      </w:r>
      <w:r>
        <w:rPr>
          <w:rFonts w:hint="cs"/>
          <w:rtl/>
        </w:rPr>
        <w:t>יא</w:t>
      </w:r>
      <w:r w:rsidRPr="00BA0EF6">
        <w:rPr>
          <w:rtl/>
        </w:rPr>
        <w:t xml:space="preserve"> רק על הכהן </w:t>
      </w:r>
      <w:r>
        <w:rPr>
          <w:rFonts w:hint="cs"/>
          <w:rtl/>
        </w:rPr>
        <w:t xml:space="preserve">לברך </w:t>
      </w:r>
      <w:r w:rsidRPr="00BA0EF6">
        <w:rPr>
          <w:rFonts w:hint="cs"/>
          <w:sz w:val="18"/>
          <w:szCs w:val="18"/>
          <w:rtl/>
        </w:rPr>
        <w:t>(ולא על הישראל להתברך)</w:t>
      </w:r>
      <w:r>
        <w:rPr>
          <w:rFonts w:hint="cs"/>
          <w:rtl/>
        </w:rPr>
        <w:t xml:space="preserve">. וכ"כ </w:t>
      </w:r>
      <w:r w:rsidRPr="00BA0EF6">
        <w:rPr>
          <w:rtl/>
        </w:rPr>
        <w:t xml:space="preserve">בשו"ת מהר"י אסאד </w:t>
      </w:r>
      <w:r w:rsidRPr="00BA0EF6">
        <w:rPr>
          <w:sz w:val="18"/>
          <w:szCs w:val="18"/>
          <w:rtl/>
        </w:rPr>
        <w:t xml:space="preserve">(מו) </w:t>
      </w:r>
      <w:r>
        <w:rPr>
          <w:rtl/>
        </w:rPr>
        <w:t>ו</w:t>
      </w:r>
      <w:r>
        <w:rPr>
          <w:rFonts w:hint="cs"/>
          <w:rtl/>
        </w:rPr>
        <w:t>ש</w:t>
      </w:r>
      <w:r w:rsidRPr="00BA0EF6">
        <w:rPr>
          <w:rtl/>
        </w:rPr>
        <w:t xml:space="preserve">ו"ת חתן סופר </w:t>
      </w:r>
      <w:r w:rsidRPr="00BA0EF6">
        <w:rPr>
          <w:sz w:val="18"/>
          <w:szCs w:val="18"/>
          <w:rtl/>
        </w:rPr>
        <w:t>(יג)</w:t>
      </w:r>
      <w:r w:rsidRPr="00BA0EF6">
        <w:rPr>
          <w:rtl/>
        </w:rPr>
        <w:t xml:space="preserve">. </w:t>
      </w:r>
      <w:r>
        <w:rPr>
          <w:rFonts w:hint="cs"/>
          <w:rtl/>
        </w:rPr>
        <w:t xml:space="preserve">וע"ע </w:t>
      </w:r>
      <w:r>
        <w:rPr>
          <w:rtl/>
        </w:rPr>
        <w:t xml:space="preserve">בשו"ת מהרש"ם </w:t>
      </w:r>
      <w:r w:rsidRPr="00BA0EF6">
        <w:rPr>
          <w:sz w:val="18"/>
          <w:szCs w:val="18"/>
          <w:rtl/>
        </w:rPr>
        <w:t>(ח</w:t>
      </w:r>
      <w:r w:rsidRPr="00BA0EF6">
        <w:rPr>
          <w:rFonts w:hint="cs"/>
          <w:sz w:val="18"/>
          <w:szCs w:val="18"/>
          <w:rtl/>
        </w:rPr>
        <w:t>,</w:t>
      </w:r>
      <w:r w:rsidRPr="00BA0EF6">
        <w:rPr>
          <w:sz w:val="18"/>
          <w:szCs w:val="18"/>
          <w:rtl/>
        </w:rPr>
        <w:t xml:space="preserve"> כה)</w:t>
      </w:r>
      <w:r>
        <w:rPr>
          <w:rFonts w:hint="cs"/>
          <w:rtl/>
        </w:rPr>
        <w:t xml:space="preserve"> ובשו"ת דבר אברהם</w:t>
      </w:r>
      <w:r>
        <w:rPr>
          <w:rtl/>
        </w:rPr>
        <w:t xml:space="preserve"> </w:t>
      </w:r>
      <w:r w:rsidRPr="00BA0EF6">
        <w:rPr>
          <w:sz w:val="18"/>
          <w:szCs w:val="18"/>
          <w:rtl/>
        </w:rPr>
        <w:t>(א</w:t>
      </w:r>
      <w:r w:rsidRPr="00BA0EF6">
        <w:rPr>
          <w:rFonts w:hint="cs"/>
          <w:sz w:val="18"/>
          <w:szCs w:val="18"/>
          <w:rtl/>
        </w:rPr>
        <w:t>,</w:t>
      </w:r>
      <w:r w:rsidRPr="00BA0EF6">
        <w:rPr>
          <w:sz w:val="18"/>
          <w:szCs w:val="18"/>
          <w:rtl/>
        </w:rPr>
        <w:t xml:space="preserve"> לא אות א)</w:t>
      </w:r>
      <w:r>
        <w:rPr>
          <w:rFonts w:hint="cs"/>
          <w:rtl/>
        </w:rPr>
        <w:t>.</w:t>
      </w:r>
      <w:r w:rsidRPr="00BA0EF6">
        <w:rPr>
          <w:rtl/>
        </w:rPr>
        <w:t xml:space="preserve"> </w:t>
      </w:r>
    </w:p>
    <w:p w:rsidR="00502173" w:rsidRDefault="00502173" w:rsidP="00F146A6">
      <w:pPr>
        <w:pStyle w:val="a3"/>
        <w:rPr>
          <w:rtl/>
        </w:rPr>
      </w:pPr>
      <w:r>
        <w:rPr>
          <w:rFonts w:hint="cs"/>
          <w:rtl/>
        </w:rPr>
        <w:t xml:space="preserve">בספר אשיחה בחוקיך </w:t>
      </w:r>
      <w:r w:rsidRPr="00BA0EF6">
        <w:rPr>
          <w:rFonts w:hint="cs"/>
          <w:sz w:val="18"/>
          <w:szCs w:val="18"/>
          <w:rtl/>
        </w:rPr>
        <w:t xml:space="preserve">(עמוד שד"מ) </w:t>
      </w:r>
      <w:r>
        <w:rPr>
          <w:rFonts w:hint="cs"/>
          <w:rtl/>
        </w:rPr>
        <w:t xml:space="preserve">נשאל הגר"ח קניבסקי לגבי יום כיפור, אם עדיף להתפלל בותיקין או במקום שיש שם כהנים, והעלה דתפילת הנץ החמה עדיפה מברכת כהנים עיי"ש. </w:t>
      </w:r>
    </w:p>
    <w:p w:rsidR="00502173" w:rsidRDefault="00502173" w:rsidP="00F146A6">
      <w:pPr>
        <w:pStyle w:val="a3"/>
        <w:rPr>
          <w:rtl/>
        </w:rPr>
      </w:pPr>
      <w:r>
        <w:rPr>
          <w:rFonts w:hint="cs"/>
          <w:rtl/>
        </w:rPr>
        <w:t xml:space="preserve">ואעיר כי הכי ראיתי בשו"ת שערי חיים </w:t>
      </w:r>
      <w:r w:rsidRPr="001B0C35">
        <w:rPr>
          <w:rFonts w:hint="cs"/>
          <w:sz w:val="18"/>
          <w:szCs w:val="18"/>
          <w:rtl/>
        </w:rPr>
        <w:t xml:space="preserve">(ג, ע אות טו) </w:t>
      </w:r>
      <w:r>
        <w:rPr>
          <w:rFonts w:hint="cs"/>
          <w:rtl/>
        </w:rPr>
        <w:t xml:space="preserve">[בתשובה למח"ס גם אני אודך] שכתב דעדיף להתפלל ותיקין מלשמוע ברכת כהנים. והביא כסברא לכך ממה שמצינו שיש הנוהגים בבית האבל שלא נושאין כפים ולא מצינו דיש להימנע מלהתפלל שם. והוסיף כי בדין זה האריך בספר גם אני אודך </w:t>
      </w:r>
      <w:r w:rsidRPr="00E44683">
        <w:rPr>
          <w:rFonts w:hint="cs"/>
          <w:sz w:val="18"/>
          <w:szCs w:val="18"/>
          <w:rtl/>
        </w:rPr>
        <w:t xml:space="preserve">(ענייני ברכת כהנים, א, מב) </w:t>
      </w:r>
      <w:r>
        <w:rPr>
          <w:rFonts w:hint="cs"/>
          <w:rtl/>
        </w:rPr>
        <w:t xml:space="preserve">והביא שורה ארוכה של פוסקים שנחלקו בדין זה. </w:t>
      </w:r>
    </w:p>
    <w:p w:rsidR="00502173" w:rsidRDefault="00502173" w:rsidP="00F146A6">
      <w:pPr>
        <w:pStyle w:val="a3"/>
      </w:pPr>
      <w:r>
        <w:rPr>
          <w:rFonts w:hint="cs"/>
          <w:rtl/>
        </w:rPr>
        <w:t xml:space="preserve">וע"ע בספר מחקרי ארץ </w:t>
      </w:r>
      <w:r w:rsidRPr="00E44683">
        <w:rPr>
          <w:rFonts w:hint="cs"/>
          <w:sz w:val="18"/>
          <w:szCs w:val="18"/>
          <w:rtl/>
        </w:rPr>
        <w:t>(ברכת כהנים ז, ו)</w:t>
      </w:r>
      <w:r>
        <w:rPr>
          <w:rFonts w:hint="cs"/>
          <w:rtl/>
        </w:rPr>
        <w:t xml:space="preserve"> לגר"מ שעיו שכתב [בתשובה למח"ס גם אני אודך]: "אדם שיש לו אפשרות או להתפלל במנין ותיקין מבלי שישמע שם ברכת כהנים, או במנין רגיל לא ותיקין וישמע שם ברכת כהנים, עדיף להתפלל בנץ החמה אע"פ שאין שם כהנים". ואעיר שם כי זה מצד הישראל, אך הכהן יעדיף להתפלל במנין בו יוכל לברך את ישראל, עיי"ש.</w:t>
      </w:r>
    </w:p>
    <w:p w:rsidR="00502173" w:rsidRPr="001B0C35" w:rsidRDefault="00502173" w:rsidP="00F146A6">
      <w:pPr>
        <w:pStyle w:val="a3"/>
      </w:pPr>
      <w:r w:rsidRPr="001B0C35">
        <w:rPr>
          <w:rFonts w:hint="cs"/>
          <w:b/>
          <w:bCs/>
          <w:rtl/>
        </w:rPr>
        <w:t>העולה לדינא:</w:t>
      </w:r>
      <w:r>
        <w:rPr>
          <w:rFonts w:hint="cs"/>
          <w:rtl/>
        </w:rPr>
        <w:t xml:space="preserve"> מי שאינו מתפלל ותיקין בקביעות </w:t>
      </w:r>
      <w:r>
        <w:rPr>
          <w:rFonts w:hint="cs"/>
          <w:sz w:val="16"/>
          <w:szCs w:val="18"/>
          <w:rtl/>
        </w:rPr>
        <w:t xml:space="preserve">(עיין </w:t>
      </w:r>
      <w:r w:rsidRPr="001B0BBF">
        <w:rPr>
          <w:rFonts w:hint="cs"/>
          <w:sz w:val="16"/>
          <w:szCs w:val="18"/>
          <w:rtl/>
        </w:rPr>
        <w:t>שו"ת תשובות-והנהגות ג, לג</w:t>
      </w:r>
      <w:r>
        <w:rPr>
          <w:rFonts w:hint="cs"/>
          <w:sz w:val="16"/>
          <w:szCs w:val="18"/>
          <w:rtl/>
        </w:rPr>
        <w:t>)</w:t>
      </w:r>
      <w:r>
        <w:rPr>
          <w:rFonts w:hint="cs"/>
          <w:rtl/>
        </w:rPr>
        <w:t xml:space="preserve"> אזי עדיף שישמע נשיאת כפים מאשר שיתפלל ותיקין. ולפיכך בשאלתכם, במנין הותיקין המתקיים בבית הכנסת שלכם שלא נמצאים כהנים, אם זהו מנין קבוע הנכם יכולים להמשיך להתפלל באופן זה. אולם טוב וראוי שתנסו לשכנע חלק מהכהנים שיתפללו עמכם בותיקין. ואם לא מתאפשר, מה טוב ומה נעים אם תבואו אח"כ לבית הכנסת להתברך מהכהנים, אז זהו בגדר חסידות ולא מעיקר חיוב הדין. (עכ"ל)</w:t>
      </w:r>
    </w:p>
    <w:p w:rsidR="001B37D0" w:rsidRDefault="001B37D0" w:rsidP="001B37D0">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502173" w:rsidRDefault="00502173" w:rsidP="00502173">
      <w:pPr>
        <w:pStyle w:val="a0"/>
        <w:bidi w:val="0"/>
        <w:rPr>
          <w:rtl/>
        </w:rPr>
      </w:pPr>
      <w:bookmarkStart w:id="192" w:name="_Toc43963146"/>
      <w:r>
        <w:rPr>
          <w:rFonts w:hint="cs"/>
          <w:rtl/>
        </w:rPr>
        <w:lastRenderedPageBreak/>
        <w:t>כיצד יכוין כוונת הצדקה בזמן המגפה רח"ל</w:t>
      </w:r>
      <w:bookmarkEnd w:id="192"/>
    </w:p>
    <w:p w:rsidR="00502173" w:rsidRPr="00502173" w:rsidRDefault="00502173" w:rsidP="00F146A6">
      <w:pPr>
        <w:pStyle w:val="a"/>
        <w:rPr>
          <w:rtl/>
        </w:rPr>
      </w:pPr>
      <w:bookmarkStart w:id="193" w:name="_Toc43963147"/>
      <w:r w:rsidRPr="00502173">
        <w:rPr>
          <w:rFonts w:hint="cs"/>
          <w:rtl/>
        </w:rPr>
        <w:t>ה</w:t>
      </w:r>
      <w:r>
        <w:rPr>
          <w:rFonts w:hint="cs"/>
          <w:rtl/>
        </w:rPr>
        <w:t>רב</w:t>
      </w:r>
      <w:r w:rsidRPr="00502173">
        <w:rPr>
          <w:rFonts w:hint="cs"/>
          <w:rtl/>
        </w:rPr>
        <w:t xml:space="preserve"> אמיר ולר</w:t>
      </w:r>
      <w:bookmarkEnd w:id="193"/>
    </w:p>
    <w:p w:rsidR="00502173" w:rsidRPr="00502173" w:rsidRDefault="00502173" w:rsidP="00502173">
      <w:pPr>
        <w:pStyle w:val="a1"/>
        <w:rPr>
          <w:rtl/>
        </w:rPr>
      </w:pPr>
      <w:r w:rsidRPr="00502173">
        <w:rPr>
          <w:rFonts w:hint="cs"/>
          <w:rtl/>
        </w:rPr>
        <w:t>מח"ס אמרתו ארץ, ירוץ דברו ושא"ס</w:t>
      </w:r>
    </w:p>
    <w:p w:rsidR="00502173" w:rsidRPr="00502173" w:rsidRDefault="00502173" w:rsidP="00502173">
      <w:pPr>
        <w:pStyle w:val="a1"/>
        <w:rPr>
          <w:rtl/>
        </w:rPr>
      </w:pPr>
      <w:r w:rsidRPr="00502173">
        <w:rPr>
          <w:rFonts w:hint="cs"/>
          <w:rtl/>
        </w:rPr>
        <w:t>רחובות</w:t>
      </w:r>
      <w:r>
        <w:rPr>
          <w:rFonts w:hint="cs"/>
          <w:rtl/>
        </w:rPr>
        <w:t>, אה"ק</w:t>
      </w:r>
    </w:p>
    <w:p w:rsidR="00502173" w:rsidRPr="00502173" w:rsidRDefault="00502173" w:rsidP="00502173">
      <w:pPr>
        <w:bidi/>
        <w:spacing w:line="276" w:lineRule="auto"/>
        <w:jc w:val="both"/>
        <w:rPr>
          <w:rFonts w:ascii="FrankRuehl" w:hAnsi="FrankRuehl" w:cs="Cambria"/>
          <w:b/>
          <w:bCs/>
          <w:sz w:val="28"/>
          <w:szCs w:val="28"/>
          <w:rtl/>
        </w:rPr>
      </w:pPr>
      <w:r w:rsidRPr="00502173">
        <w:rPr>
          <w:rStyle w:val="Char2"/>
          <w:rFonts w:hint="cs"/>
          <w:rtl/>
        </w:rPr>
        <w:t>לכבוד הרב הגדול, מעוז ומגדול, מוציא לאור תעלומה, ותורתו יוצאת בהינומא, כש"ת הגאון הצדיק רבי גמליאל הכהן רבינוביץ שליט"א. אחדשה"ט באהבה רבה. אודות שאלתו כיצד יוכל לכוין כוונת הצדקה בזמן הזה כאשר נגיף הקורונה הולך ומתפשט בארצנו הקדושה רח"ל, הואיל ואין אפשרות לתת הצדקה ליד הגבאי או ליד העני כדי לכוין ולהשלים שם הוי"ה ב"ה. הנני להשיבו בס"ד תשובה מאהבה בקצירת האומ"ר.</w:t>
      </w:r>
    </w:p>
    <w:p w:rsidR="00502173" w:rsidRPr="00502173" w:rsidRDefault="00502173" w:rsidP="00F146A6">
      <w:pPr>
        <w:pStyle w:val="a3"/>
        <w:rPr>
          <w:b/>
          <w:bCs/>
          <w:rtl/>
        </w:rPr>
      </w:pPr>
      <w:r>
        <w:rPr>
          <w:rFonts w:hint="cs"/>
          <w:rtl/>
        </w:rPr>
        <w:t>הנ</w:t>
      </w:r>
      <w:r w:rsidRPr="00502173">
        <w:rPr>
          <w:rFonts w:hint="cs"/>
          <w:rtl/>
        </w:rPr>
        <w:t xml:space="preserve">ה כיון שכבר עמד בכגון דא מרן הרי"ח הטוב זיע"א בספרו בן איש חי (ש"א פר' ויגש אות יג) אמרתי ארדוף אצ'יג דברי קדשו, וז"ל שם: כשיגיע לפסוקים ד"ויברך דוד" ואומר "ואתה מושל בכל", יתן צדקה שלש פרוטות, וימסור השתים בבת אחת ואחריהם השלישית, ויש סוד בדבר. ויש </w:t>
      </w:r>
      <w:r>
        <w:rPr>
          <w:rFonts w:hint="cs"/>
          <w:rtl/>
        </w:rPr>
        <w:t>נוהגים ליתן עוד שלש פרוטות על דרך זה באמרו "כי כל בשמים ובארץ", כדי לצאת ידי חובת שתי השמועות שכתב מהרח"ו ז"ל בשער הכוונות (דף יח ע"ג) ותבוא עליהם ברכה. ותמיד ישתדל האדם לתת הצדקה שלו בדרך זה, שתהיה שני שלישים ושליש, וגם יזהר בכל פעם שיתן צדקה, לתת אותה מעומד ויש סוד בדבר, להקים סכת דוד הנופלת. וצדקה המעולה ביותר הוא שיתן הצדקה ליד הגבאי, והגבאי יתן לעני, שבזה תהיה דומה לענין של מעלה, שהתפארת נותן ליסוד והיסוד למלכות, יען שהאדם הוא דוגמת התפארת, והגבאי דוגמת היסוד, והעני דוגמת המלכות, לכן כשיבוא עני לביתו לקבל צדקה, יתן אותה ליד אחד מבני ביתו, והוא ימסרה לעני, כדי שתהיה מכוונת כדוגמה של מעלה. גם יכוין שיהיה בה יחוד שם הוי"ה: הפרוטה היא כנגד יו"ד, וחמש אצבעותיו וזרועו כנגד ה"ו, וחמש אצבעות הגבאי או העני כנגד ה"א אחרונה, וכשאומר "ואתה מושל בכל" אם אין גבאי או עני מזומן לפניו, ככה יעשה: יזמין בחיקו כיס אחד שהוא כיס של צדקה, ויאחז בו בשמאלו, ויתן הפרוטות ביד ימין לתוך כיס זה של צדקה שאוחז ביד שמאל, שהיא במקום הגבאי או העני. וזכור לטוב עטרת ראשי הרב אבא מארי זלה"ה, שהיה מונח תמיד בחיקו כיס אחד שבו מפריש צדקה כמה פעמים ביום במטבעות של כסף גדולים, לקיים דברי הרמב"ם ז"ל מה שכתב בביאור המשנה באבות (פ"ג משנה ט"ו): והכל לפי רוב המעשה. ואחר כך מחלק לעניים ולשאר מצות מן המעות אלו שהוא מפריש בכל יום תמיד כמה פעמים, לקיים מה שכתב רבינו מה"ר משה אלשיך ז"ל (ריש פרשת תרומה). והיה קורא על כל הפרשה "לשם יחוד קודש אבריך הוא ושכינתיה" וכו' ליחד השם ולעשות נחת רוח ליוצרו, והכל בשמחה וברצון לב. זכותו יגן עלינו אמן. עכד"ק.</w:t>
      </w:r>
    </w:p>
    <w:p w:rsidR="00502173" w:rsidRDefault="00502173" w:rsidP="00F146A6">
      <w:pPr>
        <w:pStyle w:val="a3"/>
        <w:rPr>
          <w:rtl/>
        </w:rPr>
      </w:pPr>
      <w:r>
        <w:rPr>
          <w:rFonts w:hint="cs"/>
          <w:rtl/>
        </w:rPr>
        <w:lastRenderedPageBreak/>
        <w:t>ולחיבת הקודש אמרתי להעתיק גם דברי מרן החיד"א זצ"ל בספרו "כף אחת" (אות יא) וז"ל: כוונות פשוטות כשיעשה צדקה: מצאתי כתוב שבמעשה הצדקה יכוין לפדות כל נר"ן וניצוצי הקדושה והתורה והמצות והתפלות אשר נדחו ונטבעו בקליפות. ובכח הצדקה יצאו מתוך הקלי' ויחזרו אל הקדושה אל שרשם מנוקות מכל רע, ויכוין שה' יצילנו מיצה"ר ומכל חטא והרהורים רעים ומאכלות אסורות ומכל חולי. ויכוין שבכח מעשה הצדקה יתבטלו כל המקטרגים מעליו. ויכוין שאם חייב איזה סך לאיזה אדם שאינו יודע בין בגלגול זה בין בגלגולים אחרים מאיזה צד ואופן שתועיל צדקה זו לתקן אשר עיוות. ויכוין שבכח הצדקה יהיה נחת רוח לנר"ן של אביו ואמו וקרוביו ויחשוב שיש כוונות וסודות וייחודים עליונים במעשה הצדקה והוא מכוין דרך כלל לייחד שם י"ה בו"ה ביחודא שלים בשם כל ישראל לתקן שורש מצוה זו במקום עליון, והוא מכוין לדעת רשב"י הקדוש ורבינו יצחק לוריא הקדוש, ויהי נועם וכו'. עכד"ק.</w:t>
      </w:r>
    </w:p>
    <w:p w:rsidR="00502173" w:rsidRDefault="00502173" w:rsidP="00F146A6">
      <w:pPr>
        <w:pStyle w:val="a3"/>
        <w:rPr>
          <w:rtl/>
        </w:rPr>
      </w:pPr>
      <w:r>
        <w:rPr>
          <w:rFonts w:hint="cs"/>
          <w:rtl/>
        </w:rPr>
        <w:t xml:space="preserve">ויהי רצון שזכות הצדקה תעמוד לנו שהשי"ת יגאלנו גאולה שלמה, כי יגורנו מפני האף והחמה, ויקיים לנו בקרוב דברי הנחמה, ויהיה אור הלבנה כאור החמה, ויוציאנו מאפילה לאורה, ויבנה לנו את בית הבחירה, ושכינת עוזנו תהיה לראש ועטרה, ונשוב להקריב קרבן עם נסכים בעזרה, וכל זה בימינו במהרה. אכי"ר. </w:t>
      </w:r>
    </w:p>
    <w:p w:rsidR="00502173" w:rsidRDefault="00502173" w:rsidP="00F146A6">
      <w:pPr>
        <w:pStyle w:val="a3"/>
        <w:rPr>
          <w:rtl/>
        </w:rPr>
      </w:pPr>
      <w:r>
        <w:rPr>
          <w:rFonts w:hint="cs"/>
          <w:rtl/>
        </w:rPr>
        <w:t>המצפה לישועה ולרחמים</w:t>
      </w:r>
    </w:p>
    <w:p w:rsidR="00502173" w:rsidRDefault="00502173" w:rsidP="00F146A6">
      <w:pPr>
        <w:pStyle w:val="a3"/>
        <w:rPr>
          <w:rtl/>
        </w:rPr>
      </w:pPr>
      <w:r>
        <w:rPr>
          <w:rtl/>
        </w:rPr>
        <w:tab/>
      </w:r>
      <w:r>
        <w:rPr>
          <w:rtl/>
        </w:rPr>
        <w:tab/>
      </w:r>
      <w:r>
        <w:rPr>
          <w:rFonts w:hint="cs"/>
          <w:rtl/>
        </w:rPr>
        <w:t>הצב"י אמיר ולר יצ"ו.</w:t>
      </w:r>
    </w:p>
    <w:p w:rsidR="001B37D0" w:rsidRDefault="001B37D0" w:rsidP="00502173">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502173" w:rsidRDefault="00502173" w:rsidP="00502173">
      <w:pPr>
        <w:pStyle w:val="a0"/>
        <w:rPr>
          <w:rtl/>
        </w:rPr>
      </w:pPr>
      <w:bookmarkStart w:id="194" w:name="_Toc43963148"/>
      <w:r w:rsidRPr="00502173">
        <w:rPr>
          <w:rFonts w:hint="cs"/>
          <w:rtl/>
        </w:rPr>
        <w:t>דין חתימת הברכה כתיקונה</w:t>
      </w:r>
      <w:bookmarkEnd w:id="194"/>
    </w:p>
    <w:p w:rsidR="001C7D6D" w:rsidRDefault="001C7D6D" w:rsidP="00F146A6">
      <w:pPr>
        <w:pStyle w:val="a"/>
        <w:rPr>
          <w:shd w:val="clear" w:color="auto" w:fill="FFFFFF"/>
          <w:rtl/>
        </w:rPr>
      </w:pPr>
      <w:bookmarkStart w:id="195" w:name="_Toc43963149"/>
      <w:r>
        <w:rPr>
          <w:rFonts w:hint="cs"/>
          <w:shd w:val="clear" w:color="auto" w:fill="FFFFFF"/>
          <w:rtl/>
        </w:rPr>
        <w:t xml:space="preserve">הת' </w:t>
      </w:r>
      <w:r>
        <w:rPr>
          <w:shd w:val="clear" w:color="auto" w:fill="FFFFFF"/>
          <w:rtl/>
        </w:rPr>
        <w:t>יועז קמפבל</w:t>
      </w:r>
      <w:bookmarkEnd w:id="195"/>
    </w:p>
    <w:p w:rsidR="001C7D6D" w:rsidRPr="001C7D6D" w:rsidRDefault="001C7D6D" w:rsidP="001C7D6D">
      <w:pPr>
        <w:pStyle w:val="a1"/>
        <w:rPr>
          <w:rtl/>
        </w:rPr>
      </w:pPr>
      <w:r>
        <w:rPr>
          <w:shd w:val="clear" w:color="auto" w:fill="FFFFFF"/>
          <w:rtl/>
        </w:rPr>
        <w:t xml:space="preserve">שליח </w:t>
      </w:r>
      <w:r>
        <w:rPr>
          <w:rFonts w:hint="cs"/>
          <w:shd w:val="clear" w:color="auto" w:fill="FFFFFF"/>
          <w:rtl/>
        </w:rPr>
        <w:t xml:space="preserve">בישיבת </w:t>
      </w:r>
      <w:r>
        <w:rPr>
          <w:shd w:val="clear" w:color="auto" w:fill="FFFFFF"/>
          <w:rtl/>
        </w:rPr>
        <w:t>בתות"ל המרכזית לוד</w:t>
      </w:r>
    </w:p>
    <w:p w:rsidR="00502173" w:rsidRPr="00502173" w:rsidRDefault="00502173" w:rsidP="00F146A6">
      <w:pPr>
        <w:pStyle w:val="11"/>
        <w:bidi/>
        <w:rPr>
          <w:rtl/>
        </w:rPr>
      </w:pPr>
      <w:r w:rsidRPr="00502173">
        <w:rPr>
          <w:rFonts w:hint="cs"/>
          <w:rtl/>
        </w:rPr>
        <w:t>א.</w:t>
      </w:r>
    </w:p>
    <w:p w:rsidR="00502173" w:rsidRPr="00502173" w:rsidRDefault="00502173" w:rsidP="00F146A6">
      <w:pPr>
        <w:pStyle w:val="11"/>
        <w:bidi/>
        <w:rPr>
          <w:rtl/>
        </w:rPr>
      </w:pPr>
      <w:r w:rsidRPr="00502173">
        <w:rPr>
          <w:rFonts w:hint="cs"/>
          <w:rtl/>
        </w:rPr>
        <w:t>שלושת הדברים המעכבים את הברכה</w:t>
      </w:r>
    </w:p>
    <w:p w:rsidR="00502173" w:rsidRPr="00502173" w:rsidRDefault="00502173" w:rsidP="00F146A6">
      <w:pPr>
        <w:pStyle w:val="a3"/>
        <w:rPr>
          <w:rtl/>
        </w:rPr>
      </w:pPr>
      <w:r w:rsidRPr="00502173">
        <w:rPr>
          <w:rFonts w:hint="cs"/>
          <w:rtl/>
        </w:rPr>
        <w:t>בנוגע למי שטעה בברכה, ישנה מחלוקת האם בשביל לצאת יד"ח צריך רק שהחתימה תהיה כתיקונה או גם הפתיחה (המילים שאומר אחרי ה'שם ומלכות')</w:t>
      </w:r>
      <w:r w:rsidRPr="00502173">
        <w:rPr>
          <w:vertAlign w:val="superscript"/>
          <w:rtl/>
        </w:rPr>
        <w:footnoteReference w:id="229"/>
      </w:r>
      <w:r w:rsidRPr="00502173">
        <w:rPr>
          <w:rFonts w:hint="cs"/>
          <w:rtl/>
        </w:rPr>
        <w:t>.</w:t>
      </w:r>
    </w:p>
    <w:p w:rsidR="00502173" w:rsidRPr="00502173" w:rsidRDefault="00502173" w:rsidP="00F146A6">
      <w:pPr>
        <w:pStyle w:val="a3"/>
        <w:rPr>
          <w:rtl/>
        </w:rPr>
      </w:pPr>
      <w:r w:rsidRPr="00502173">
        <w:rPr>
          <w:rFonts w:hint="cs"/>
          <w:rtl/>
        </w:rPr>
        <w:t xml:space="preserve">לשיטת אדה"ז צריך להיות גם פתיחה וגם חתימה כתיקונה, ואם לא היה את אחד </w:t>
      </w:r>
      <w:r w:rsidRPr="00502173">
        <w:rPr>
          <w:rFonts w:hint="cs"/>
          <w:rtl/>
        </w:rPr>
        <w:lastRenderedPageBreak/>
        <w:t>מהם לא יצא אפילו בדיעבד, וז"ל (בנוגע לברכות ק"ש)</w:t>
      </w:r>
      <w:r w:rsidRPr="00502173">
        <w:rPr>
          <w:vertAlign w:val="superscript"/>
          <w:rtl/>
        </w:rPr>
        <w:footnoteReference w:id="230"/>
      </w:r>
      <w:r w:rsidRPr="00502173">
        <w:rPr>
          <w:rFonts w:hint="cs"/>
          <w:rtl/>
        </w:rPr>
        <w:t xml:space="preserve">: </w:t>
      </w:r>
    </w:p>
    <w:p w:rsidR="00502173" w:rsidRPr="00502173" w:rsidRDefault="00502173" w:rsidP="00F146A6">
      <w:pPr>
        <w:pStyle w:val="a3"/>
        <w:rPr>
          <w:rtl/>
        </w:rPr>
      </w:pPr>
      <w:r w:rsidRPr="00502173">
        <w:rPr>
          <w:rFonts w:hint="cs"/>
          <w:rtl/>
        </w:rPr>
        <w:t>"</w:t>
      </w:r>
      <w:r w:rsidRPr="00502173">
        <w:rPr>
          <w:rtl/>
        </w:rPr>
        <w:t>ברכה ראשונה פותחת בברוך</w:t>
      </w:r>
      <w:r w:rsidRPr="00502173">
        <w:rPr>
          <w:rFonts w:hint="cs"/>
          <w:rtl/>
        </w:rPr>
        <w:t>,</w:t>
      </w:r>
      <w:r w:rsidRPr="00502173">
        <w:rPr>
          <w:rFonts w:ascii="Cambria" w:hAnsi="Cambria" w:cs="Cambria"/>
        </w:rPr>
        <w:t> </w:t>
      </w:r>
      <w:r w:rsidRPr="00502173">
        <w:rPr>
          <w:rtl/>
        </w:rPr>
        <w:t>בא"י אמ"ה יוצר אור ובורא חשך</w:t>
      </w:r>
      <w:r w:rsidRPr="00502173">
        <w:rPr>
          <w:rFonts w:hint="cs"/>
          <w:rtl/>
        </w:rPr>
        <w:t>...</w:t>
      </w:r>
    </w:p>
    <w:p w:rsidR="00502173" w:rsidRPr="00502173" w:rsidRDefault="00502173" w:rsidP="00F146A6">
      <w:pPr>
        <w:pStyle w:val="a3"/>
        <w:rPr>
          <w:rtl/>
        </w:rPr>
      </w:pPr>
      <w:r w:rsidRPr="00502173">
        <w:rPr>
          <w:rtl/>
        </w:rPr>
        <w:t>ואם טעה ואמר בא"י אמ"ה אשר בדברו מעריב ערבים ונזכר מיד ואמר יוצר אור עד סיום הברכה</w:t>
      </w:r>
      <w:r w:rsidRPr="00502173">
        <w:rPr>
          <w:rFonts w:ascii="Cambria" w:hAnsi="Cambria" w:cs="Cambria"/>
        </w:rPr>
        <w:t> </w:t>
      </w:r>
      <w:r w:rsidRPr="00502173">
        <w:rPr>
          <w:rtl/>
        </w:rPr>
        <w:t>וחתם ביוצר המאורות יצא</w:t>
      </w:r>
      <w:r w:rsidRPr="00502173">
        <w:rPr>
          <w:rFonts w:hint="cs"/>
          <w:rtl/>
        </w:rPr>
        <w:t>,</w:t>
      </w:r>
      <w:r w:rsidRPr="00502173">
        <w:rPr>
          <w:rFonts w:ascii="Cambria" w:hAnsi="Cambria" w:cs="Cambria"/>
        </w:rPr>
        <w:t> </w:t>
      </w:r>
      <w:r w:rsidRPr="00502173">
        <w:rPr>
          <w:rtl/>
        </w:rPr>
        <w:t>אבל אם אמר אשר בדברו מעריב ערבים ולא אמר (מיד</w:t>
      </w:r>
      <w:bookmarkStart w:id="196" w:name="_ftnref_4333"/>
      <w:r w:rsidRPr="00502173">
        <w:rPr>
          <w:rFonts w:hint="cs"/>
          <w:rtl/>
        </w:rPr>
        <w:t>)</w:t>
      </w:r>
      <w:bookmarkEnd w:id="196"/>
      <w:r w:rsidRPr="00502173">
        <w:rPr>
          <w:rFonts w:ascii="Cambria" w:hAnsi="Cambria" w:cs="Cambria"/>
        </w:rPr>
        <w:t> </w:t>
      </w:r>
      <w:r w:rsidRPr="00502173">
        <w:rPr>
          <w:rtl/>
        </w:rPr>
        <w:t>יוצר אור</w:t>
      </w:r>
      <w:r w:rsidRPr="00502173">
        <w:rPr>
          <w:rFonts w:hint="cs"/>
          <w:rtl/>
        </w:rPr>
        <w:t>,</w:t>
      </w:r>
      <w:r w:rsidRPr="00502173">
        <w:rPr>
          <w:rtl/>
        </w:rPr>
        <w:t xml:space="preserve"> אע"פ שחתם ביוצר המאורות </w:t>
      </w:r>
      <w:r w:rsidRPr="00502173">
        <w:rPr>
          <w:rFonts w:hint="cs"/>
          <w:rtl/>
        </w:rPr>
        <w:t xml:space="preserve">- </w:t>
      </w:r>
      <w:r w:rsidRPr="00502173">
        <w:rPr>
          <w:rtl/>
        </w:rPr>
        <w:t>לא יצא</w:t>
      </w:r>
      <w:r w:rsidRPr="00502173">
        <w:rPr>
          <w:rFonts w:hint="cs"/>
          <w:rtl/>
        </w:rPr>
        <w:t>,</w:t>
      </w:r>
      <w:r w:rsidRPr="00502173">
        <w:rPr>
          <w:rtl/>
        </w:rPr>
        <w:t xml:space="preserve"> שהרי כל פתיחת הברכה לא היתה כתיקונה</w:t>
      </w:r>
      <w:r w:rsidRPr="00502173">
        <w:rPr>
          <w:rFonts w:hint="cs"/>
          <w:rtl/>
        </w:rPr>
        <w:t xml:space="preserve"> </w:t>
      </w:r>
      <w:r w:rsidRPr="00502173">
        <w:t>)</w:t>
      </w:r>
      <w:r w:rsidRPr="00502173">
        <w:rPr>
          <w:rtl/>
        </w:rPr>
        <w:t>שלא בירך כלל על יצירת האור</w:t>
      </w:r>
      <w:r w:rsidRPr="00502173">
        <w:rPr>
          <w:rFonts w:hint="cs"/>
          <w:rtl/>
        </w:rPr>
        <w:t>,</w:t>
      </w:r>
      <w:r w:rsidRPr="00502173">
        <w:rPr>
          <w:rtl/>
        </w:rPr>
        <w:t xml:space="preserve"> משא"כ כשנזכר מיד ואמר יוצר אור תיקן טעותו ובירך על יצירת האור)</w:t>
      </w:r>
      <w:r w:rsidRPr="00502173">
        <w:rPr>
          <w:rFonts w:hint="cs"/>
          <w:rtl/>
        </w:rPr>
        <w:t>.</w:t>
      </w:r>
      <w:r w:rsidRPr="00502173">
        <w:rPr>
          <w:rtl/>
        </w:rPr>
        <w:t xml:space="preserve"> ואם אמר בא"י אמ"ה יוצר אור ובורא חשך אשר בדברו מעריב ערבים בחכמה פותח כו</w:t>
      </w:r>
      <w:r w:rsidRPr="00502173">
        <w:rPr>
          <w:rFonts w:hint="cs"/>
          <w:rtl/>
        </w:rPr>
        <w:t>'</w:t>
      </w:r>
      <w:r w:rsidRPr="00502173">
        <w:rPr>
          <w:rFonts w:ascii="Cambria" w:hAnsi="Cambria" w:cs="Cambria"/>
        </w:rPr>
        <w:t> </w:t>
      </w:r>
      <w:r w:rsidRPr="00502173">
        <w:rPr>
          <w:rtl/>
        </w:rPr>
        <w:t>אפילו עד סיום הברכה וחתם ביוצר המאורות –</w:t>
      </w:r>
      <w:r w:rsidRPr="00502173">
        <w:rPr>
          <w:rFonts w:hint="cs"/>
          <w:rtl/>
        </w:rPr>
        <w:t xml:space="preserve"> </w:t>
      </w:r>
      <w:r w:rsidRPr="00502173">
        <w:rPr>
          <w:rtl/>
        </w:rPr>
        <w:t>יצא</w:t>
      </w:r>
      <w:r w:rsidRPr="00502173">
        <w:rPr>
          <w:rFonts w:hint="cs"/>
          <w:rtl/>
        </w:rPr>
        <w:t>,</w:t>
      </w:r>
      <w:r w:rsidRPr="00502173">
        <w:rPr>
          <w:rtl/>
        </w:rPr>
        <w:t xml:space="preserve"> </w:t>
      </w:r>
      <w:r w:rsidRPr="00502173">
        <w:rPr>
          <w:b/>
          <w:bCs/>
          <w:rtl/>
        </w:rPr>
        <w:t>שכיון שפתיחת הברכה וחתימתה כתיקונה אע"פ שבאמצע שינה ממטבע שטבעו חכמים יצא בדיעבד</w:t>
      </w:r>
      <w:r w:rsidRPr="00502173">
        <w:rPr>
          <w:rFonts w:hint="cs"/>
          <w:rtl/>
        </w:rPr>
        <w:t xml:space="preserve">, </w:t>
      </w:r>
      <w:r w:rsidRPr="00502173">
        <w:rPr>
          <w:rtl/>
        </w:rPr>
        <w:t>אבל אם חתם המעריב ערבים</w:t>
      </w:r>
      <w:r w:rsidRPr="00502173">
        <w:rPr>
          <w:rFonts w:hint="cs"/>
          <w:rtl/>
        </w:rPr>
        <w:t>,</w:t>
      </w:r>
      <w:r w:rsidRPr="00502173">
        <w:rPr>
          <w:rFonts w:ascii="Cambria" w:hAnsi="Cambria" w:cs="Cambria"/>
        </w:rPr>
        <w:t> </w:t>
      </w:r>
      <w:r w:rsidRPr="00502173">
        <w:rPr>
          <w:rtl/>
        </w:rPr>
        <w:t>אעפ"י שפתח ביוצר אור בלבד</w:t>
      </w:r>
      <w:r w:rsidRPr="00502173">
        <w:rPr>
          <w:rFonts w:ascii="Cambria" w:hAnsi="Cambria" w:cs="Cambria"/>
        </w:rPr>
        <w:t> </w:t>
      </w:r>
      <w:r w:rsidRPr="00502173">
        <w:rPr>
          <w:rtl/>
        </w:rPr>
        <w:t>ואמר כל הברכה כתיקונה עד החתימה</w:t>
      </w:r>
      <w:r w:rsidRPr="00502173">
        <w:rPr>
          <w:rFonts w:hint="cs"/>
          <w:rtl/>
        </w:rPr>
        <w:t xml:space="preserve"> </w:t>
      </w:r>
      <w:r w:rsidRPr="00502173">
        <w:rPr>
          <w:rtl/>
        </w:rPr>
        <w:t>–</w:t>
      </w:r>
      <w:r w:rsidRPr="00502173">
        <w:rPr>
          <w:rFonts w:hint="cs"/>
          <w:rtl/>
        </w:rPr>
        <w:t xml:space="preserve"> </w:t>
      </w:r>
      <w:r w:rsidRPr="00502173">
        <w:rPr>
          <w:rtl/>
        </w:rPr>
        <w:t>לא יצא</w:t>
      </w:r>
      <w:r w:rsidRPr="00502173">
        <w:rPr>
          <w:rFonts w:hint="cs"/>
          <w:rtl/>
        </w:rPr>
        <w:t>,</w:t>
      </w:r>
      <w:r w:rsidRPr="00502173">
        <w:rPr>
          <w:rtl/>
        </w:rPr>
        <w:t xml:space="preserve"> </w:t>
      </w:r>
      <w:r w:rsidRPr="00502173">
        <w:rPr>
          <w:b/>
          <w:bCs/>
          <w:rtl/>
        </w:rPr>
        <w:t>שכל הברכה</w:t>
      </w:r>
      <w:r w:rsidRPr="00502173">
        <w:rPr>
          <w:rFonts w:ascii="Cambria" w:hAnsi="Cambria" w:cs="Cambria"/>
          <w:b/>
          <w:bCs/>
        </w:rPr>
        <w:t> </w:t>
      </w:r>
      <w:r w:rsidRPr="00502173">
        <w:rPr>
          <w:b/>
          <w:bCs/>
          <w:rtl/>
        </w:rPr>
        <w:t>צריכה להיות פתיחתה וחתימתה כתיקונה אפילו בדיעבד</w:t>
      </w:r>
      <w:r w:rsidRPr="00502173">
        <w:t>."</w:t>
      </w:r>
    </w:p>
    <w:p w:rsidR="00502173" w:rsidRPr="00502173" w:rsidRDefault="00502173" w:rsidP="00F146A6">
      <w:pPr>
        <w:pStyle w:val="a3"/>
        <w:rPr>
          <w:rtl/>
        </w:rPr>
      </w:pPr>
      <w:r w:rsidRPr="00502173">
        <w:rPr>
          <w:rFonts w:hint="cs"/>
          <w:rtl/>
        </w:rPr>
        <w:t>בסוף הסימן שם</w:t>
      </w:r>
      <w:r w:rsidRPr="00502173">
        <w:rPr>
          <w:vertAlign w:val="superscript"/>
          <w:rtl/>
        </w:rPr>
        <w:footnoteReference w:id="231"/>
      </w:r>
      <w:r w:rsidRPr="00502173">
        <w:rPr>
          <w:rFonts w:hint="cs"/>
          <w:rtl/>
        </w:rPr>
        <w:t xml:space="preserve"> מביא גם שצריך להיות מעין הפתיחה והחתימה סמוך לחתימה, ובמ"א</w:t>
      </w:r>
      <w:r w:rsidRPr="00502173">
        <w:rPr>
          <w:vertAlign w:val="superscript"/>
          <w:rtl/>
        </w:rPr>
        <w:footnoteReference w:id="232"/>
      </w:r>
      <w:r w:rsidRPr="00502173">
        <w:rPr>
          <w:rFonts w:hint="cs"/>
          <w:rtl/>
        </w:rPr>
        <w:t xml:space="preserve"> מביא בסוגריים שיצא יד"ח אפילו אם אמרו בלשון משונה מהלשון שתיקנו חכמים.</w:t>
      </w:r>
    </w:p>
    <w:p w:rsidR="00502173" w:rsidRPr="00502173" w:rsidRDefault="00502173" w:rsidP="00F146A6">
      <w:pPr>
        <w:pStyle w:val="a3"/>
        <w:rPr>
          <w:rtl/>
        </w:rPr>
      </w:pPr>
      <w:r w:rsidRPr="00502173">
        <w:rPr>
          <w:rFonts w:hint="cs"/>
          <w:rtl/>
        </w:rPr>
        <w:t>מכל הנ"ל יוצא שלשיטת אדה"ז ישנם שלושה דברים המעכבים את הברכה, ואם לא אמרם כתיקנם לא יצא יד"ח: פתיחתה</w:t>
      </w:r>
      <w:r w:rsidRPr="00502173">
        <w:rPr>
          <w:vertAlign w:val="superscript"/>
          <w:rtl/>
        </w:rPr>
        <w:footnoteReference w:id="233"/>
      </w:r>
      <w:r w:rsidRPr="00502173">
        <w:rPr>
          <w:rFonts w:hint="cs"/>
          <w:rtl/>
        </w:rPr>
        <w:t xml:space="preserve">, חתימתה כלשון שתיקנו חכמים ואמירת עניין מעין הפתיחה והחתימה סמוך לחתימה ואפילו אם זה משונה מלשון שתיקנו חכמים. </w:t>
      </w:r>
    </w:p>
    <w:p w:rsidR="00502173" w:rsidRPr="00502173" w:rsidRDefault="00502173" w:rsidP="00F146A6">
      <w:pPr>
        <w:pStyle w:val="11"/>
        <w:bidi/>
        <w:rPr>
          <w:rtl/>
        </w:rPr>
      </w:pPr>
      <w:r w:rsidRPr="00502173">
        <w:rPr>
          <w:rFonts w:hint="cs"/>
          <w:rtl/>
        </w:rPr>
        <w:t>ב.</w:t>
      </w:r>
    </w:p>
    <w:p w:rsidR="00502173" w:rsidRPr="00502173" w:rsidRDefault="00502173" w:rsidP="00F146A6">
      <w:pPr>
        <w:pStyle w:val="11"/>
        <w:bidi/>
        <w:rPr>
          <w:rtl/>
        </w:rPr>
      </w:pPr>
      <w:r w:rsidRPr="00502173">
        <w:rPr>
          <w:rFonts w:hint="cs"/>
          <w:rtl/>
        </w:rPr>
        <w:t>מחלוקת הפמ"ג והכנה"ג בטעה בחתימה ביו"ט שחל בשבת</w:t>
      </w:r>
    </w:p>
    <w:p w:rsidR="00502173" w:rsidRPr="00502173" w:rsidRDefault="00502173" w:rsidP="00F146A6">
      <w:pPr>
        <w:pStyle w:val="a3"/>
        <w:rPr>
          <w:rtl/>
        </w:rPr>
      </w:pPr>
      <w:r w:rsidRPr="00502173">
        <w:rPr>
          <w:rFonts w:hint="cs"/>
          <w:rtl/>
        </w:rPr>
        <w:t xml:space="preserve">והנה, ישנה מחלוקת באם טעה ביו"ט שחל בשבת (שצריך לחתום מקדש השבת ישראל והזמנים) וחתם רק מקדש השבת או רק מקדש ישראל והזמנים: </w:t>
      </w:r>
    </w:p>
    <w:p w:rsidR="00502173" w:rsidRPr="00502173" w:rsidRDefault="00502173" w:rsidP="00F146A6">
      <w:pPr>
        <w:pStyle w:val="a3"/>
        <w:rPr>
          <w:rtl/>
        </w:rPr>
      </w:pPr>
      <w:r w:rsidRPr="00502173">
        <w:rPr>
          <w:rFonts w:hint="cs"/>
          <w:rtl/>
        </w:rPr>
        <w:lastRenderedPageBreak/>
        <w:t>דיעה א' היא דעת הכנה"ג</w:t>
      </w:r>
      <w:r w:rsidRPr="00502173">
        <w:rPr>
          <w:vertAlign w:val="superscript"/>
          <w:rtl/>
        </w:rPr>
        <w:footnoteReference w:id="234"/>
      </w:r>
      <w:r w:rsidRPr="00502173">
        <w:rPr>
          <w:rFonts w:hint="cs"/>
          <w:rtl/>
        </w:rPr>
        <w:t xml:space="preserve"> והח"י</w:t>
      </w:r>
      <w:r w:rsidRPr="00502173">
        <w:rPr>
          <w:vertAlign w:val="superscript"/>
          <w:rtl/>
        </w:rPr>
        <w:footnoteReference w:id="235"/>
      </w:r>
      <w:r w:rsidRPr="00502173">
        <w:rPr>
          <w:rFonts w:hint="cs"/>
          <w:rtl/>
        </w:rPr>
        <w:t xml:space="preserve"> שיצא, מכיוון שאם בשבת רגילה או ביו"ט רגיל היה אומר את הנוסח הזה היה יוצא יד"ח, ולכן גם ביו"ט שחל בשבת יוצא יד"ח שהרי את ההזכרה של שבת או יו"ט שלא הזכיר בחתימה הזכיר כבר בברכה; והראיה, מאם טעה והתפלל י"ח ברכות בשבת או ביו"ט והזכיר את שבת ויו"ט בעבודה </w:t>
      </w:r>
      <w:r w:rsidRPr="00502173">
        <w:rPr>
          <w:rtl/>
        </w:rPr>
        <w:t>–</w:t>
      </w:r>
      <w:r w:rsidRPr="00502173">
        <w:rPr>
          <w:rFonts w:hint="cs"/>
          <w:rtl/>
        </w:rPr>
        <w:t xml:space="preserve"> שיצא יד"ח מכיוון שזה היה ראוי להיאמר היום (שהרי מן הדין היה להתפלל י"ח ברכות גם בשבת ויו"ט, אלא שחכמים תיקנו להתפלל שבע ברכות</w:t>
      </w:r>
      <w:r w:rsidRPr="00502173">
        <w:rPr>
          <w:vertAlign w:val="superscript"/>
          <w:rtl/>
        </w:rPr>
        <w:footnoteReference w:id="236"/>
      </w:r>
      <w:r w:rsidRPr="00502173">
        <w:rPr>
          <w:rFonts w:hint="cs"/>
          <w:rtl/>
        </w:rPr>
        <w:t>), למרות שלא הזכיר שבת או יו"ט בחתימה, וה"ה כאן.</w:t>
      </w:r>
    </w:p>
    <w:p w:rsidR="00502173" w:rsidRPr="00502173" w:rsidRDefault="00502173" w:rsidP="00F146A6">
      <w:pPr>
        <w:pStyle w:val="a3"/>
        <w:rPr>
          <w:rtl/>
        </w:rPr>
      </w:pPr>
      <w:r w:rsidRPr="00502173">
        <w:rPr>
          <w:rFonts w:hint="cs"/>
          <w:rtl/>
        </w:rPr>
        <w:t>[הכנה"ג אומר שם בסוף דבריו: "כמו שהארכתי בתשובה שהשבתי על זה לחכם השואל". ולע"ע לא מצאתי תשובה זו].</w:t>
      </w:r>
    </w:p>
    <w:p w:rsidR="00502173" w:rsidRPr="00502173" w:rsidRDefault="00502173" w:rsidP="00F146A6">
      <w:pPr>
        <w:pStyle w:val="a3"/>
        <w:rPr>
          <w:rtl/>
        </w:rPr>
      </w:pPr>
      <w:r w:rsidRPr="00502173">
        <w:rPr>
          <w:rFonts w:hint="cs"/>
          <w:rtl/>
        </w:rPr>
        <w:t>דיעה ב' היא דעת הפר"ח וז"ל</w:t>
      </w:r>
      <w:r w:rsidRPr="00502173">
        <w:rPr>
          <w:vertAlign w:val="superscript"/>
          <w:rtl/>
        </w:rPr>
        <w:footnoteReference w:id="237"/>
      </w:r>
      <w:r w:rsidRPr="00502173">
        <w:rPr>
          <w:rFonts w:hint="cs"/>
          <w:rtl/>
        </w:rPr>
        <w:t xml:space="preserve">: "ואם לא הזכיר שבת בחתימה </w:t>
      </w:r>
      <w:r w:rsidRPr="00502173">
        <w:rPr>
          <w:rtl/>
        </w:rPr>
        <w:t>–</w:t>
      </w:r>
      <w:r w:rsidRPr="00502173">
        <w:rPr>
          <w:rFonts w:hint="cs"/>
          <w:rtl/>
        </w:rPr>
        <w:t xml:space="preserve"> שחתם מקדש ישראל והזמנים, כתב בספר כנה"ג דיצא וא"צ לחזור, וייראה שטעמו ממ"ש לעיל בסי' קס"ח ס"ד שאם הזכיר של שבת בתוך י"ח אע"פ שלא קבעה ברכה לשבת יצא. ויש לדחות, דשאני התם דבדין הוא דאי בעי לצלויי י"ח ומפני כבוד שבת לא אטרחוהו רבנן ולפיכך בהזכרת שבת בלא חתימה סגי, ותדע, דהא איכא מ"ד התם דאפילו אם לא הזכיר שבת כלל יצא, אבל הכא לפחות בעינן ברכות שבע וליכא. וכן נ"ל, שאם לא חתם ישראל והזמנים אלא מקדש השבת לחוד, כיון דלא קי"ל כב"ה שס"ל דמסיים בשל שבת אלא כרבי דס"ל דבעי למחתם מקדש השבת וישראל והזמנים, כל שלא חתם הכי שינה מטבע חכמים וחוזר. ואפילו תימא דבר"ח וחוה"מ שחלו להיות בשבת במוספין אם לא חתם אלא מקדש השבת שיצא, י"ל דשאני התם שבתפילות ערבית שחרית ומנחה אינו קובע ברכה לר"ח וחוה"מ אלא שכולל מעין המאורע בעבודה, ולפיכך אף שתיקנו לחתום מקדש השבת וישראל ור"ח אינו אלא לכתחילה, אבל בי"ט שחל להיות בשבת צריך להתפלל שבע ולחתום בשתיהם ואי לא לא יצא. וכן מסתבר לי שאם חתם מקדש השבת וישראל והזמנים דחוזר כנ"ל ועיין לעיל סי' תכ"ה ס"ד".</w:t>
      </w:r>
    </w:p>
    <w:p w:rsidR="00502173" w:rsidRPr="00502173" w:rsidRDefault="00502173" w:rsidP="00F146A6">
      <w:pPr>
        <w:pStyle w:val="a3"/>
        <w:rPr>
          <w:rtl/>
        </w:rPr>
      </w:pPr>
      <w:r w:rsidRPr="00502173">
        <w:rPr>
          <w:rFonts w:hint="cs"/>
          <w:rtl/>
        </w:rPr>
        <w:t xml:space="preserve">היינו, שמקשה עליו שיש הבדל בין התפלל י"ח בחול עם הזכרת שבת לבין חתם רק מקדש ישראל והזמנים בשבת ויו"ט: בהתפלל תפילת יום חול בשבת </w:t>
      </w:r>
      <w:r w:rsidRPr="00502173">
        <w:rPr>
          <w:rtl/>
        </w:rPr>
        <w:t>–</w:t>
      </w:r>
      <w:r w:rsidRPr="00502173">
        <w:rPr>
          <w:rFonts w:hint="cs"/>
          <w:rtl/>
        </w:rPr>
        <w:t xml:space="preserve"> מן הדין בשבת היה להתפלל י"ח עם הזכרת שבת אלא שחכמים הקילו, ולכן זה היה ראוי להיאמר היום </w:t>
      </w:r>
      <w:r w:rsidRPr="00502173">
        <w:rPr>
          <w:rFonts w:hint="cs"/>
          <w:b/>
          <w:bCs/>
          <w:rtl/>
        </w:rPr>
        <w:t xml:space="preserve">באופן הזה </w:t>
      </w:r>
      <w:r w:rsidRPr="00502173">
        <w:rPr>
          <w:rFonts w:hint="cs"/>
          <w:rtl/>
        </w:rPr>
        <w:t>(עד כדי שיש מי שסובר שא"צ להזכיר לשבת כלל);</w:t>
      </w:r>
      <w:r w:rsidRPr="00502173">
        <w:rPr>
          <w:rFonts w:hint="cs"/>
          <w:b/>
          <w:bCs/>
          <w:rtl/>
        </w:rPr>
        <w:t xml:space="preserve"> </w:t>
      </w:r>
      <w:r w:rsidRPr="00502173">
        <w:rPr>
          <w:rFonts w:hint="cs"/>
          <w:rtl/>
        </w:rPr>
        <w:t xml:space="preserve">משא"כ ביו"ט שחל בשבת, שאמנם נוסח זה היה ראוי להיאמר בשבת לבד או ביו"ט לבד, אבל כשיו"ט חל בשבת צריכים להיאמר שניהם, ואם לא חתם בשניהם </w:t>
      </w:r>
      <w:r w:rsidRPr="00502173">
        <w:rPr>
          <w:rtl/>
        </w:rPr>
        <w:t>–</w:t>
      </w:r>
      <w:r w:rsidRPr="00502173">
        <w:rPr>
          <w:rFonts w:hint="cs"/>
          <w:rtl/>
        </w:rPr>
        <w:t xml:space="preserve"> שינה מהנוסח </w:t>
      </w:r>
      <w:r w:rsidRPr="00502173">
        <w:rPr>
          <w:rFonts w:hint="cs"/>
          <w:rtl/>
        </w:rPr>
        <w:lastRenderedPageBreak/>
        <w:t>שתיקנו חכמים וצריך לחזור.</w:t>
      </w:r>
    </w:p>
    <w:p w:rsidR="00502173" w:rsidRPr="00502173" w:rsidRDefault="00502173" w:rsidP="00F146A6">
      <w:pPr>
        <w:pStyle w:val="a3"/>
        <w:rPr>
          <w:rtl/>
        </w:rPr>
      </w:pPr>
      <w:r w:rsidRPr="00502173">
        <w:rPr>
          <w:rFonts w:hint="cs"/>
          <w:rtl/>
        </w:rPr>
        <w:t>ואפילו אם נאמר שאם חתם במוסף של ר"ח וחוה"מ שחלו להיות בשבת מקדש השבת יצא, שם דין זה שונה מכיוון שבשאר התפילות לא מזכירים אותם בחתימה, לכן גם כשמזכירים אותם בתפילת מוסף זה רק לכתחילה; משא"כ ביו"ט שחל בשבת שמזכירים יו"ט בחתימה בכל התפילות, ולכן אם לא הזכיר את אחד מהם בחתימה לא יצא.</w:t>
      </w:r>
    </w:p>
    <w:p w:rsidR="00502173" w:rsidRPr="00502173" w:rsidRDefault="00502173" w:rsidP="00F146A6">
      <w:pPr>
        <w:pStyle w:val="a3"/>
        <w:rPr>
          <w:rtl/>
        </w:rPr>
      </w:pPr>
      <w:r w:rsidRPr="00502173">
        <w:rPr>
          <w:rFonts w:hint="cs"/>
          <w:rtl/>
        </w:rPr>
        <w:t xml:space="preserve">הגדרת מחלוקתם בקצרה: האם צריך לחתום במה שהיה </w:t>
      </w:r>
      <w:r w:rsidRPr="00502173">
        <w:rPr>
          <w:rFonts w:hint="cs"/>
          <w:b/>
          <w:bCs/>
          <w:rtl/>
        </w:rPr>
        <w:t>ראוי</w:t>
      </w:r>
      <w:r w:rsidRPr="00502173">
        <w:rPr>
          <w:rFonts w:hint="cs"/>
          <w:rtl/>
        </w:rPr>
        <w:t xml:space="preserve"> להיאמר היום או במה שהיה </w:t>
      </w:r>
      <w:r w:rsidRPr="00502173">
        <w:rPr>
          <w:rFonts w:hint="cs"/>
          <w:b/>
          <w:bCs/>
          <w:rtl/>
        </w:rPr>
        <w:t>יכול</w:t>
      </w:r>
      <w:r w:rsidRPr="00502173">
        <w:rPr>
          <w:rFonts w:hint="cs"/>
          <w:rtl/>
        </w:rPr>
        <w:t xml:space="preserve"> להיאמר היום.</w:t>
      </w:r>
    </w:p>
    <w:p w:rsidR="00502173" w:rsidRPr="00502173" w:rsidRDefault="00502173" w:rsidP="00F146A6">
      <w:pPr>
        <w:pStyle w:val="a3"/>
        <w:rPr>
          <w:b/>
          <w:bCs/>
          <w:rtl/>
        </w:rPr>
      </w:pPr>
      <w:r w:rsidRPr="00502173">
        <w:rPr>
          <w:rFonts w:hint="cs"/>
          <w:b/>
          <w:bCs/>
          <w:rtl/>
        </w:rPr>
        <w:t xml:space="preserve">לפר"ח: </w:t>
      </w:r>
      <w:r w:rsidRPr="00502173">
        <w:rPr>
          <w:rFonts w:hint="cs"/>
          <w:rtl/>
        </w:rPr>
        <w:t xml:space="preserve">יש שתי אפשרויות </w:t>
      </w:r>
      <w:r w:rsidRPr="00502173">
        <w:rPr>
          <w:rtl/>
        </w:rPr>
        <w:t>–</w:t>
      </w:r>
      <w:r w:rsidRPr="00502173">
        <w:rPr>
          <w:rFonts w:hint="cs"/>
          <w:rtl/>
        </w:rPr>
        <w:t xml:space="preserve"> י"ח ברכות וז' ברכות (וכמובן שי"ח ברכות בשבת זה רק בדיעבד): אם הלך באפשרות של הי"ח ברכות </w:t>
      </w:r>
      <w:r w:rsidRPr="00502173">
        <w:rPr>
          <w:rtl/>
        </w:rPr>
        <w:t>–</w:t>
      </w:r>
      <w:r w:rsidRPr="00502173">
        <w:rPr>
          <w:rFonts w:hint="cs"/>
          <w:rtl/>
        </w:rPr>
        <w:t xml:space="preserve"> יצא יד"ח אם עשה אותו כתיקנו, שזה רק להזכיר שבת (ויו"ט) בעבודה (ולדעות אחרות אפילו את זה לא); ואם הולך באפשרות של הז' ברכות </w:t>
      </w:r>
      <w:r w:rsidRPr="00502173">
        <w:rPr>
          <w:rtl/>
        </w:rPr>
        <w:t>–</w:t>
      </w:r>
      <w:r w:rsidRPr="00502173">
        <w:rPr>
          <w:rFonts w:hint="cs"/>
          <w:rtl/>
        </w:rPr>
        <w:t xml:space="preserve"> צריך לעשות אותו כתיקנו, היינו </w:t>
      </w:r>
      <w:r w:rsidRPr="00502173">
        <w:rPr>
          <w:rFonts w:hint="cs"/>
          <w:u w:val="single"/>
          <w:rtl/>
        </w:rPr>
        <w:t>להזכיר</w:t>
      </w:r>
      <w:r w:rsidRPr="00502173">
        <w:rPr>
          <w:rFonts w:hint="cs"/>
          <w:rtl/>
        </w:rPr>
        <w:t xml:space="preserve"> ו</w:t>
      </w:r>
      <w:r w:rsidRPr="00502173">
        <w:rPr>
          <w:rFonts w:hint="cs"/>
          <w:u w:val="single"/>
          <w:rtl/>
        </w:rPr>
        <w:t>לחתום</w:t>
      </w:r>
      <w:r w:rsidRPr="00502173">
        <w:rPr>
          <w:rFonts w:hint="cs"/>
          <w:rtl/>
        </w:rPr>
        <w:t xml:space="preserve"> בשל שבת ויו"ט.</w:t>
      </w:r>
    </w:p>
    <w:p w:rsidR="00502173" w:rsidRPr="00502173" w:rsidRDefault="00502173" w:rsidP="00F146A6">
      <w:pPr>
        <w:pStyle w:val="a3"/>
        <w:rPr>
          <w:rtl/>
        </w:rPr>
      </w:pPr>
      <w:r w:rsidRPr="00502173">
        <w:rPr>
          <w:rFonts w:hint="cs"/>
          <w:b/>
          <w:bCs/>
          <w:rtl/>
        </w:rPr>
        <w:t xml:space="preserve">לכנה"ג: </w:t>
      </w:r>
      <w:r w:rsidRPr="00502173">
        <w:rPr>
          <w:rFonts w:hint="cs"/>
          <w:rtl/>
        </w:rPr>
        <w:t xml:space="preserve">עצם זה שאם מתפלל י"ח ברכות מספיק רק הזכרה של היום ולא צריך חתימה, מלמד שקדושת היום מחייבת הזכרה ולא חתימה, אלא שצריך להגיד בפועל נוסח שתיקנו חכמים שראו להיאמר ליום זה, ולכן גם אם חתם רק בשל שבת או יו"ט </w:t>
      </w:r>
      <w:r w:rsidRPr="00502173">
        <w:rPr>
          <w:rtl/>
        </w:rPr>
        <w:t>–</w:t>
      </w:r>
      <w:r w:rsidRPr="00502173">
        <w:rPr>
          <w:rFonts w:hint="cs"/>
          <w:rtl/>
        </w:rPr>
        <w:t xml:space="preserve"> יצא, שהרי הזכיר באמצע הברכה.</w:t>
      </w:r>
    </w:p>
    <w:p w:rsidR="00502173" w:rsidRPr="00502173" w:rsidRDefault="00502173" w:rsidP="00F146A6">
      <w:pPr>
        <w:pStyle w:val="11"/>
        <w:bidi/>
        <w:rPr>
          <w:rtl/>
        </w:rPr>
      </w:pPr>
      <w:r w:rsidRPr="00502173">
        <w:rPr>
          <w:rFonts w:hint="cs"/>
          <w:rtl/>
        </w:rPr>
        <w:t>ג.</w:t>
      </w:r>
    </w:p>
    <w:p w:rsidR="00502173" w:rsidRPr="00502173" w:rsidRDefault="00502173" w:rsidP="00F146A6">
      <w:pPr>
        <w:pStyle w:val="11"/>
        <w:bidi/>
        <w:rPr>
          <w:rtl/>
        </w:rPr>
      </w:pPr>
      <w:r w:rsidRPr="00502173">
        <w:rPr>
          <w:rFonts w:hint="cs"/>
          <w:rtl/>
        </w:rPr>
        <w:t>ביאור בדא"פ בסברת מחלוקתם</w:t>
      </w:r>
    </w:p>
    <w:p w:rsidR="00502173" w:rsidRPr="00502173" w:rsidRDefault="00502173" w:rsidP="00F146A6">
      <w:pPr>
        <w:pStyle w:val="a3"/>
        <w:rPr>
          <w:rtl/>
        </w:rPr>
      </w:pPr>
      <w:r w:rsidRPr="00502173">
        <w:rPr>
          <w:rFonts w:hint="cs"/>
          <w:rtl/>
        </w:rPr>
        <w:t>וי"ל בסברת מחלוקתם, ובהקדים עצם הצורך בהזכרת היום בחתימת הברכה (אף שכבר הזכיר באמצע הברכה):</w:t>
      </w:r>
    </w:p>
    <w:p w:rsidR="00502173" w:rsidRPr="00502173" w:rsidRDefault="00502173" w:rsidP="00F146A6">
      <w:pPr>
        <w:pStyle w:val="a3"/>
        <w:rPr>
          <w:rtl/>
        </w:rPr>
      </w:pPr>
      <w:r w:rsidRPr="00502173">
        <w:rPr>
          <w:rFonts w:hint="cs"/>
          <w:rtl/>
        </w:rPr>
        <w:t>אי' בגמ' ברכות</w:t>
      </w:r>
      <w:r w:rsidRPr="00502173">
        <w:rPr>
          <w:vertAlign w:val="superscript"/>
          <w:rtl/>
        </w:rPr>
        <w:footnoteReference w:id="238"/>
      </w:r>
      <w:r w:rsidRPr="00502173">
        <w:rPr>
          <w:rFonts w:hint="cs"/>
          <w:rtl/>
        </w:rPr>
        <w:t>: "</w:t>
      </w:r>
      <w:r w:rsidRPr="00502173">
        <w:rPr>
          <w:rtl/>
        </w:rPr>
        <w:t>ת"ר מהו חותם בבנין ירושלים</w:t>
      </w:r>
      <w:r w:rsidRPr="00502173">
        <w:rPr>
          <w:rFonts w:hint="cs"/>
          <w:rtl/>
        </w:rPr>
        <w:t>,</w:t>
      </w:r>
      <w:r w:rsidRPr="00502173">
        <w:rPr>
          <w:rtl/>
        </w:rPr>
        <w:t xml:space="preserve"> רבי יוסי בר' יהודה אומר מושיע ישראל</w:t>
      </w:r>
      <w:r w:rsidRPr="00502173">
        <w:rPr>
          <w:rFonts w:hint="cs"/>
          <w:rtl/>
        </w:rPr>
        <w:t>,</w:t>
      </w:r>
      <w:r w:rsidRPr="00502173">
        <w:rPr>
          <w:rtl/>
        </w:rPr>
        <w:t xml:space="preserve"> מושיע ישראל אין בנין ירושלים לא</w:t>
      </w:r>
      <w:r w:rsidRPr="00502173">
        <w:rPr>
          <w:rFonts w:hint="cs"/>
          <w:rtl/>
        </w:rPr>
        <w:t>,</w:t>
      </w:r>
      <w:r w:rsidRPr="00502173">
        <w:rPr>
          <w:rtl/>
        </w:rPr>
        <w:t xml:space="preserve"> אלא אימא אף מושיע ישראל. רבה בר רב הונא איקלע לבי ריש גלותא פתח בחדא וסיים בתרתי</w:t>
      </w:r>
      <w:r w:rsidRPr="00502173">
        <w:rPr>
          <w:rFonts w:hint="cs"/>
          <w:rtl/>
        </w:rPr>
        <w:t>,</w:t>
      </w:r>
      <w:r w:rsidRPr="00502173">
        <w:rPr>
          <w:rtl/>
        </w:rPr>
        <w:t xml:space="preserve"> אמר רב חסדא גבורתא למחתם בתרתי והתניא רבי אומר אין חותמין בשתים</w:t>
      </w:r>
      <w:r w:rsidRPr="00502173">
        <w:rPr>
          <w:rFonts w:hint="cs"/>
          <w:rtl/>
        </w:rPr>
        <w:t>...</w:t>
      </w:r>
    </w:p>
    <w:p w:rsidR="00502173" w:rsidRPr="00502173" w:rsidRDefault="00502173" w:rsidP="00F146A6">
      <w:pPr>
        <w:pStyle w:val="a3"/>
        <w:rPr>
          <w:rtl/>
        </w:rPr>
      </w:pPr>
      <w:r w:rsidRPr="00502173">
        <w:rPr>
          <w:rFonts w:hint="cs"/>
          <w:rtl/>
        </w:rPr>
        <w:t xml:space="preserve">(ושואלת הגמ'): </w:t>
      </w:r>
      <w:r w:rsidRPr="00502173">
        <w:rPr>
          <w:rtl/>
        </w:rPr>
        <w:t>מקדש ישראל והזמנים</w:t>
      </w:r>
      <w:r w:rsidRPr="00502173">
        <w:rPr>
          <w:rFonts w:hint="cs"/>
          <w:rtl/>
        </w:rPr>
        <w:t>?</w:t>
      </w:r>
      <w:r w:rsidRPr="00502173">
        <w:rPr>
          <w:rtl/>
        </w:rPr>
        <w:t xml:space="preserve"> ישראל דקדשינהו לזמנים</w:t>
      </w:r>
      <w:r w:rsidRPr="00502173">
        <w:rPr>
          <w:rFonts w:hint="cs"/>
          <w:rtl/>
        </w:rPr>
        <w:t>;</w:t>
      </w:r>
      <w:r w:rsidRPr="00502173">
        <w:rPr>
          <w:rtl/>
        </w:rPr>
        <w:t xml:space="preserve"> מקדש ישראל וראשי חדשים</w:t>
      </w:r>
      <w:r w:rsidRPr="00502173">
        <w:rPr>
          <w:rFonts w:hint="cs"/>
          <w:rtl/>
        </w:rPr>
        <w:t>?</w:t>
      </w:r>
      <w:r w:rsidRPr="00502173">
        <w:rPr>
          <w:rtl/>
        </w:rPr>
        <w:t xml:space="preserve"> ישראל דקדשינהו לראשי חדשים</w:t>
      </w:r>
      <w:r w:rsidRPr="00502173">
        <w:rPr>
          <w:rFonts w:hint="cs"/>
          <w:rtl/>
        </w:rPr>
        <w:t>;</w:t>
      </w:r>
      <w:r w:rsidRPr="00502173">
        <w:rPr>
          <w:rtl/>
        </w:rPr>
        <w:t xml:space="preserve"> מקדש השבת וישראל והזמנים</w:t>
      </w:r>
      <w:r w:rsidRPr="00502173">
        <w:rPr>
          <w:rFonts w:hint="cs"/>
          <w:rtl/>
        </w:rPr>
        <w:t>?</w:t>
      </w:r>
      <w:r w:rsidRPr="00502173">
        <w:rPr>
          <w:rtl/>
        </w:rPr>
        <w:t xml:space="preserve"> חוץ מזו</w:t>
      </w:r>
      <w:r w:rsidRPr="00502173">
        <w:rPr>
          <w:rFonts w:hint="cs"/>
          <w:rtl/>
        </w:rPr>
        <w:t>,</w:t>
      </w:r>
      <w:r w:rsidRPr="00502173">
        <w:rPr>
          <w:rtl/>
        </w:rPr>
        <w:t xml:space="preserve"> ומאי שנא הכא חדא היא התם תרתי כל חדא וחדא באפי נפשה</w:t>
      </w:r>
      <w:r w:rsidRPr="00502173">
        <w:rPr>
          <w:rFonts w:hint="cs"/>
          <w:rtl/>
        </w:rPr>
        <w:t>.</w:t>
      </w:r>
      <w:r w:rsidRPr="00502173">
        <w:rPr>
          <w:rtl/>
        </w:rPr>
        <w:t xml:space="preserve"> וטעמא מאי אין חותמין בשתים</w:t>
      </w:r>
      <w:r w:rsidRPr="00502173">
        <w:rPr>
          <w:rFonts w:hint="cs"/>
          <w:rtl/>
        </w:rPr>
        <w:t>,</w:t>
      </w:r>
      <w:r w:rsidRPr="00502173">
        <w:rPr>
          <w:rtl/>
        </w:rPr>
        <w:t xml:space="preserve"> לפי שאין עושין מצות חבילות חבילות</w:t>
      </w:r>
      <w:r w:rsidRPr="00502173">
        <w:rPr>
          <w:rFonts w:hint="cs"/>
          <w:rtl/>
        </w:rPr>
        <w:t>".</w:t>
      </w:r>
    </w:p>
    <w:p w:rsidR="00502173" w:rsidRPr="00502173" w:rsidRDefault="00502173" w:rsidP="00F146A6">
      <w:pPr>
        <w:pStyle w:val="a3"/>
        <w:rPr>
          <w:rtl/>
        </w:rPr>
      </w:pPr>
      <w:r w:rsidRPr="00502173">
        <w:rPr>
          <w:rFonts w:hint="cs"/>
          <w:rtl/>
        </w:rPr>
        <w:lastRenderedPageBreak/>
        <w:t>היינו, שהגמ' קובעת שלא חותמים בשני עניינים (לפי שאין עושין מצוות חבילות חבילות), ולכן לא כולל מושיע ישראל עם בונה ירושלים, והגמ' שואלת א"כ למה חותמים מקדש ישראל והזמנים הרי זה לכאורה חתימה בשני עניינים? ומתרצת הגמ' שזה חתימה בעניין אחד: ישראל שמקדשים את הזמנים. א"כ נשאלת השאלה, למה חותמים מקדש השבת ישראל והזמנים, הרי ישראל לא מקדשים את השבת שהרי היא מקדשא וקיימא</w:t>
      </w:r>
      <w:r w:rsidRPr="00502173">
        <w:rPr>
          <w:vertAlign w:val="superscript"/>
          <w:rtl/>
        </w:rPr>
        <w:footnoteReference w:id="239"/>
      </w:r>
      <w:r w:rsidRPr="00502173">
        <w:rPr>
          <w:rFonts w:hint="cs"/>
          <w:rtl/>
        </w:rPr>
        <w:t xml:space="preserve">? ומת' שבאמת חוץ מזו, והסיבה שדווקא בזו היא בגלל ששם כל אחת מהחתימות היא בנפרד, משא"כ כאן שחדא היא. </w:t>
      </w:r>
    </w:p>
    <w:p w:rsidR="00502173" w:rsidRPr="00502173" w:rsidRDefault="00502173" w:rsidP="00F146A6">
      <w:pPr>
        <w:pStyle w:val="a3"/>
        <w:rPr>
          <w:rtl/>
        </w:rPr>
      </w:pPr>
      <w:r w:rsidRPr="00502173">
        <w:rPr>
          <w:rFonts w:hint="cs"/>
          <w:rtl/>
        </w:rPr>
        <w:t>ובביאור תירוץ הגמ' נאמרו כו"כ אופנים</w:t>
      </w:r>
      <w:r w:rsidRPr="00502173">
        <w:rPr>
          <w:vertAlign w:val="superscript"/>
          <w:rtl/>
        </w:rPr>
        <w:footnoteReference w:id="240"/>
      </w:r>
      <w:r w:rsidRPr="00502173">
        <w:rPr>
          <w:rFonts w:hint="cs"/>
          <w:rtl/>
        </w:rPr>
        <w:t>, ומהם:</w:t>
      </w:r>
    </w:p>
    <w:p w:rsidR="00502173" w:rsidRPr="00502173" w:rsidRDefault="00502173" w:rsidP="00F146A6">
      <w:pPr>
        <w:pStyle w:val="a3"/>
        <w:rPr>
          <w:rtl/>
        </w:rPr>
      </w:pPr>
      <w:r w:rsidRPr="00502173">
        <w:rPr>
          <w:rFonts w:hint="cs"/>
          <w:rtl/>
        </w:rPr>
        <w:t>רש"י</w:t>
      </w:r>
      <w:r w:rsidRPr="00502173">
        <w:rPr>
          <w:vertAlign w:val="superscript"/>
          <w:rtl/>
        </w:rPr>
        <w:footnoteReference w:id="241"/>
      </w:r>
      <w:r w:rsidRPr="00502173">
        <w:rPr>
          <w:rFonts w:hint="cs"/>
          <w:rtl/>
        </w:rPr>
        <w:t xml:space="preserve"> כתב: "</w:t>
      </w:r>
      <w:r w:rsidRPr="00502173">
        <w:rPr>
          <w:rtl/>
        </w:rPr>
        <w:t>אין כאן אלא ברכת מקדש שמברך להקב"ה שמקדש השבת והזמנים</w:t>
      </w:r>
      <w:r w:rsidRPr="00502173">
        <w:rPr>
          <w:rFonts w:hint="cs"/>
          <w:rtl/>
        </w:rPr>
        <w:t>,</w:t>
      </w:r>
      <w:r w:rsidRPr="00502173">
        <w:rPr>
          <w:rtl/>
        </w:rPr>
        <w:t xml:space="preserve"> אבל מושיע ישראל ובונה ירושלים תרתי מילי נינהו ואין כוללים ב' דברים בברכה אחת</w:t>
      </w:r>
      <w:r w:rsidRPr="00502173">
        <w:rPr>
          <w:rFonts w:hint="cs"/>
          <w:rtl/>
        </w:rPr>
        <w:t xml:space="preserve">". היינו שזה באמת חתימה בדבר אחד, כי הברכה היא על </w:t>
      </w:r>
      <w:r w:rsidRPr="00502173">
        <w:rPr>
          <w:rFonts w:hint="cs"/>
          <w:b/>
          <w:bCs/>
          <w:rtl/>
        </w:rPr>
        <w:t>הקב"ה</w:t>
      </w:r>
      <w:r w:rsidRPr="00502173">
        <w:rPr>
          <w:rFonts w:hint="cs"/>
          <w:rtl/>
        </w:rPr>
        <w:t xml:space="preserve"> שמקדש את שלושתם.</w:t>
      </w:r>
    </w:p>
    <w:p w:rsidR="00502173" w:rsidRPr="00502173" w:rsidRDefault="00502173" w:rsidP="00F146A6">
      <w:pPr>
        <w:pStyle w:val="a3"/>
        <w:rPr>
          <w:rtl/>
        </w:rPr>
      </w:pPr>
      <w:r w:rsidRPr="00502173">
        <w:rPr>
          <w:rFonts w:hint="cs"/>
          <w:rtl/>
        </w:rPr>
        <w:t>אח"כ הביא את דברי הבה"ג: "</w:t>
      </w:r>
      <w:r w:rsidRPr="00502173">
        <w:rPr>
          <w:rtl/>
        </w:rPr>
        <w:t>ובה"ג גרס הכי חוץ מזו</w:t>
      </w:r>
      <w:r w:rsidRPr="00502173">
        <w:rPr>
          <w:rFonts w:hint="cs"/>
          <w:rtl/>
        </w:rPr>
        <w:t>,</w:t>
      </w:r>
      <w:r w:rsidRPr="00502173">
        <w:rPr>
          <w:rtl/>
        </w:rPr>
        <w:t xml:space="preserve"> ומ"ש הני תרתי קדושי נינהו ומודה רבי דחתמינן בהו בשתים אבל נחמה חדא מילתא היא ובחדא בעי למחתם</w:t>
      </w:r>
      <w:r w:rsidRPr="00502173">
        <w:rPr>
          <w:rFonts w:hint="cs"/>
          <w:rtl/>
        </w:rPr>
        <w:t xml:space="preserve">". היינו, שכאן באמת </w:t>
      </w:r>
      <w:r w:rsidRPr="00502173">
        <w:rPr>
          <w:rFonts w:hint="cs"/>
          <w:b/>
          <w:bCs/>
          <w:rtl/>
        </w:rPr>
        <w:t>אפשר לחתום בשתים</w:t>
      </w:r>
      <w:r w:rsidRPr="00502173">
        <w:rPr>
          <w:rFonts w:hint="cs"/>
          <w:rtl/>
        </w:rPr>
        <w:t xml:space="preserve"> מכיוון שבקידוש אפשר לחתום בשתים ובנחמה לא</w:t>
      </w:r>
      <w:r w:rsidRPr="00502173">
        <w:rPr>
          <w:vertAlign w:val="superscript"/>
          <w:rtl/>
        </w:rPr>
        <w:footnoteReference w:id="242"/>
      </w:r>
      <w:r w:rsidRPr="00502173">
        <w:rPr>
          <w:rFonts w:hint="cs"/>
          <w:rtl/>
        </w:rPr>
        <w:t>.</w:t>
      </w:r>
    </w:p>
    <w:p w:rsidR="00502173" w:rsidRPr="00502173" w:rsidRDefault="00502173" w:rsidP="00F146A6">
      <w:pPr>
        <w:pStyle w:val="a3"/>
        <w:rPr>
          <w:rtl/>
        </w:rPr>
      </w:pPr>
      <w:r w:rsidRPr="00502173">
        <w:rPr>
          <w:rFonts w:hint="cs"/>
          <w:rtl/>
        </w:rPr>
        <w:t>בשם ר' אפרים הספרדי</w:t>
      </w:r>
      <w:r w:rsidRPr="00502173">
        <w:rPr>
          <w:vertAlign w:val="superscript"/>
          <w:rtl/>
        </w:rPr>
        <w:footnoteReference w:id="243"/>
      </w:r>
      <w:r w:rsidRPr="00502173">
        <w:rPr>
          <w:rFonts w:hint="cs"/>
          <w:rtl/>
        </w:rPr>
        <w:t xml:space="preserve">: מקדש הולך על </w:t>
      </w:r>
      <w:r w:rsidRPr="00502173">
        <w:rPr>
          <w:rFonts w:hint="cs"/>
          <w:b/>
          <w:bCs/>
          <w:rtl/>
        </w:rPr>
        <w:t>היום</w:t>
      </w:r>
      <w:r w:rsidRPr="00502173">
        <w:rPr>
          <w:rFonts w:hint="cs"/>
          <w:rtl/>
        </w:rPr>
        <w:t xml:space="preserve"> שהתקדש בשתי קדושות</w:t>
      </w:r>
      <w:r w:rsidRPr="00502173">
        <w:rPr>
          <w:vertAlign w:val="superscript"/>
          <w:rtl/>
        </w:rPr>
        <w:footnoteReference w:id="244"/>
      </w:r>
      <w:r w:rsidRPr="00502173">
        <w:rPr>
          <w:rFonts w:hint="cs"/>
          <w:rtl/>
        </w:rPr>
        <w:t>.</w:t>
      </w:r>
    </w:p>
    <w:p w:rsidR="00502173" w:rsidRPr="00502173" w:rsidRDefault="00502173" w:rsidP="00F146A6">
      <w:pPr>
        <w:pStyle w:val="a3"/>
        <w:rPr>
          <w:rtl/>
        </w:rPr>
      </w:pPr>
      <w:r w:rsidRPr="00502173">
        <w:rPr>
          <w:rFonts w:hint="cs"/>
          <w:rtl/>
        </w:rPr>
        <w:t xml:space="preserve">וי"ל שמחלוקת הבה"ג והפר"ח תלויה במחלוקת הראשונים הנ"ל: </w:t>
      </w:r>
    </w:p>
    <w:p w:rsidR="00502173" w:rsidRPr="00502173" w:rsidRDefault="00502173" w:rsidP="00F146A6">
      <w:pPr>
        <w:pStyle w:val="a3"/>
        <w:rPr>
          <w:rtl/>
        </w:rPr>
      </w:pPr>
      <w:r w:rsidRPr="00502173">
        <w:rPr>
          <w:rFonts w:hint="cs"/>
          <w:rtl/>
        </w:rPr>
        <w:t>הכנה"ג סבר כהבה"ג שיו"ט ושבת הם שתי קדושות נפרדות (אלא שיש דין מיוחד בחתימה שאפשר להזכיר את שתי הקדושות</w:t>
      </w:r>
      <w:r w:rsidRPr="00502173">
        <w:rPr>
          <w:vertAlign w:val="superscript"/>
          <w:rtl/>
        </w:rPr>
        <w:footnoteReference w:id="245"/>
      </w:r>
      <w:r w:rsidRPr="00502173">
        <w:rPr>
          <w:rFonts w:hint="cs"/>
          <w:rtl/>
        </w:rPr>
        <w:t xml:space="preserve">), וממילא יוצא שהחתימה מדברת על </w:t>
      </w:r>
      <w:r w:rsidRPr="00502173">
        <w:rPr>
          <w:rFonts w:hint="cs"/>
          <w:rtl/>
        </w:rPr>
        <w:lastRenderedPageBreak/>
        <w:t>כל קדושה בפ"ע (שבת, ישראל וזמנים), ולכן גם אם לא הזכיר את אחת מהם לא מעכב, כי הרי הזכיר כבר באמצע הברכה.</w:t>
      </w:r>
    </w:p>
    <w:p w:rsidR="00502173" w:rsidRPr="00502173" w:rsidRDefault="00502173" w:rsidP="00F146A6">
      <w:pPr>
        <w:pStyle w:val="a3"/>
        <w:rPr>
          <w:rtl/>
        </w:rPr>
      </w:pPr>
      <w:r w:rsidRPr="00502173">
        <w:rPr>
          <w:rFonts w:hint="cs"/>
          <w:rtl/>
        </w:rPr>
        <w:t xml:space="preserve">והפר"ח סבר כרש"י שהחתימה מדברת על </w:t>
      </w:r>
      <w:r w:rsidRPr="00502173">
        <w:rPr>
          <w:rFonts w:hint="cs"/>
          <w:b/>
          <w:bCs/>
          <w:rtl/>
        </w:rPr>
        <w:t>הקב"ה</w:t>
      </w:r>
      <w:r w:rsidRPr="00502173">
        <w:rPr>
          <w:rFonts w:hint="cs"/>
          <w:rtl/>
        </w:rPr>
        <w:t xml:space="preserve"> שמקדש את שלושתם (או על </w:t>
      </w:r>
      <w:r w:rsidRPr="00502173">
        <w:rPr>
          <w:rFonts w:hint="cs"/>
          <w:b/>
          <w:bCs/>
          <w:rtl/>
        </w:rPr>
        <w:t>היום</w:t>
      </w:r>
      <w:r w:rsidRPr="00502173">
        <w:rPr>
          <w:rFonts w:hint="cs"/>
          <w:rtl/>
        </w:rPr>
        <w:t xml:space="preserve"> </w:t>
      </w:r>
      <w:r w:rsidRPr="00502173">
        <w:rPr>
          <w:rtl/>
        </w:rPr>
        <w:t>–</w:t>
      </w:r>
      <w:r w:rsidRPr="00502173">
        <w:rPr>
          <w:rFonts w:hint="cs"/>
          <w:rtl/>
        </w:rPr>
        <w:t xml:space="preserve"> כדברי ר' אפרים הספרדי), ולכן אם לא הזכיר את שלושתם בחתימה מעכב, כי הקב"ה באותו יום מקדש את שלושתם, לא כמו ביום אחר שמקדש רק אחד / שתיים (או שזה יום שבו מתקדשים שלושתם). היינו, שמכיוון שהזכרה זו כוללת את שלושתם, לכן צריך את שלושתם לא מצד הגדר של </w:t>
      </w:r>
      <w:r w:rsidRPr="00502173">
        <w:rPr>
          <w:rFonts w:hint="cs"/>
          <w:b/>
          <w:bCs/>
          <w:rtl/>
        </w:rPr>
        <w:t>ההזכרה</w:t>
      </w:r>
      <w:r w:rsidRPr="00502173">
        <w:rPr>
          <w:rFonts w:hint="cs"/>
          <w:rtl/>
        </w:rPr>
        <w:t xml:space="preserve"> (שהרי כבר הזכיר באמצע הברכה, כדברי כנה"ג) אלא מצד גדר של </w:t>
      </w:r>
      <w:r w:rsidRPr="00502173">
        <w:rPr>
          <w:rFonts w:hint="cs"/>
          <w:b/>
          <w:bCs/>
          <w:rtl/>
        </w:rPr>
        <w:t>החתימה</w:t>
      </w:r>
      <w:r w:rsidRPr="00502173">
        <w:rPr>
          <w:rFonts w:hint="cs"/>
          <w:rtl/>
        </w:rPr>
        <w:t>. משא"כ אם הולך באפשרות של י"ח ברכות, שאז החתימה היא שונה, והזכרה יש ביעלה ויבוא (או לדיעות שלא צריך כלל הזכרה).</w:t>
      </w:r>
    </w:p>
    <w:p w:rsidR="00502173" w:rsidRPr="00502173" w:rsidRDefault="00502173" w:rsidP="00F146A6">
      <w:pPr>
        <w:pStyle w:val="11"/>
        <w:bidi/>
        <w:rPr>
          <w:rtl/>
        </w:rPr>
      </w:pPr>
      <w:r w:rsidRPr="00502173">
        <w:rPr>
          <w:rFonts w:hint="cs"/>
          <w:rtl/>
        </w:rPr>
        <w:t>ד.</w:t>
      </w:r>
    </w:p>
    <w:p w:rsidR="00502173" w:rsidRPr="00502173" w:rsidRDefault="00502173" w:rsidP="00F146A6">
      <w:pPr>
        <w:pStyle w:val="11"/>
        <w:bidi/>
        <w:rPr>
          <w:rtl/>
        </w:rPr>
      </w:pPr>
      <w:r w:rsidRPr="00502173">
        <w:rPr>
          <w:rFonts w:hint="cs"/>
          <w:rtl/>
        </w:rPr>
        <w:t>פסיקת אדה"ז להלכה, ודין התפלל תפילת יו"ט בחוה"מ</w:t>
      </w:r>
    </w:p>
    <w:p w:rsidR="00502173" w:rsidRPr="00502173" w:rsidRDefault="00502173" w:rsidP="00F146A6">
      <w:pPr>
        <w:pStyle w:val="a3"/>
        <w:rPr>
          <w:rtl/>
        </w:rPr>
      </w:pPr>
      <w:r w:rsidRPr="00502173">
        <w:rPr>
          <w:rFonts w:hint="cs"/>
          <w:rtl/>
        </w:rPr>
        <w:t>שתי דיעות אלו הובאו בשו"ע אדה"ז וז"ל</w:t>
      </w:r>
      <w:r w:rsidRPr="00502173">
        <w:rPr>
          <w:vertAlign w:val="superscript"/>
          <w:rtl/>
        </w:rPr>
        <w:footnoteReference w:id="246"/>
      </w:r>
      <w:r w:rsidRPr="00502173">
        <w:rPr>
          <w:rFonts w:hint="cs"/>
          <w:rtl/>
        </w:rPr>
        <w:t xml:space="preserve">: </w:t>
      </w:r>
    </w:p>
    <w:p w:rsidR="00502173" w:rsidRPr="00502173" w:rsidRDefault="00502173" w:rsidP="00F146A6">
      <w:pPr>
        <w:pStyle w:val="a3"/>
        <w:rPr>
          <w:rtl/>
        </w:rPr>
      </w:pPr>
      <w:r w:rsidRPr="00502173">
        <w:rPr>
          <w:rFonts w:hint="cs"/>
          <w:rtl/>
        </w:rPr>
        <w:t>"</w:t>
      </w:r>
      <w:r w:rsidRPr="00502173">
        <w:rPr>
          <w:rtl/>
        </w:rPr>
        <w:t>אם חל יו"ט בשבת צריך להזכיר גם קדושת שבת בתחלת הברכה</w:t>
      </w:r>
      <w:r w:rsidRPr="00502173">
        <w:rPr>
          <w:rFonts w:hint="cs"/>
          <w:rtl/>
        </w:rPr>
        <w:t>...</w:t>
      </w:r>
    </w:p>
    <w:p w:rsidR="00502173" w:rsidRPr="00502173" w:rsidRDefault="00502173" w:rsidP="00F146A6">
      <w:pPr>
        <w:pStyle w:val="a3"/>
      </w:pPr>
      <w:r w:rsidRPr="00502173">
        <w:rPr>
          <w:rtl/>
        </w:rPr>
        <w:t>ואם לא (אמר אתה בחרתנו כלל אלא התחיל ביעלה ויבא אם הזכיר בו שבת יצא</w:t>
      </w:r>
      <w:r w:rsidRPr="00502173">
        <w:rPr>
          <w:rFonts w:hint="cs"/>
          <w:rtl/>
        </w:rPr>
        <w:t>,</w:t>
      </w:r>
      <w:r w:rsidRPr="00502173">
        <w:rPr>
          <w:rFonts w:ascii="Cambria" w:hAnsi="Cambria" w:cs="Cambria"/>
        </w:rPr>
        <w:t> </w:t>
      </w:r>
      <w:r w:rsidRPr="00502173">
        <w:rPr>
          <w:rtl/>
        </w:rPr>
        <w:t>אבל אם לא) הזכיר שבת בחתימה</w:t>
      </w:r>
      <w:r w:rsidRPr="00502173">
        <w:rPr>
          <w:rFonts w:hint="cs"/>
          <w:rtl/>
        </w:rPr>
        <w:t>,</w:t>
      </w:r>
      <w:r w:rsidRPr="00502173">
        <w:rPr>
          <w:rtl/>
        </w:rPr>
        <w:t xml:space="preserve"> אף שאמר אתה בחרתנו והזכיר בו שבת וגם הזכירו ביעלה ויבא</w:t>
      </w:r>
      <w:r w:rsidRPr="00502173">
        <w:rPr>
          <w:rFonts w:hint="cs"/>
          <w:rtl/>
        </w:rPr>
        <w:t xml:space="preserve"> -</w:t>
      </w:r>
      <w:r w:rsidRPr="00502173">
        <w:rPr>
          <w:rtl/>
        </w:rPr>
        <w:t xml:space="preserve"> לא יצא</w:t>
      </w:r>
      <w:r w:rsidRPr="00502173">
        <w:rPr>
          <w:rFonts w:hint="cs"/>
          <w:rtl/>
        </w:rPr>
        <w:t>,</w:t>
      </w:r>
      <w:r w:rsidRPr="00502173">
        <w:rPr>
          <w:rtl/>
        </w:rPr>
        <w:t xml:space="preserve"> וצריך לחזור לראש אם נזכר לאחר ששהה כדי דבור</w:t>
      </w:r>
      <w:r w:rsidRPr="00502173">
        <w:rPr>
          <w:rFonts w:hint="cs"/>
          <w:rtl/>
        </w:rPr>
        <w:t>.</w:t>
      </w:r>
      <w:r w:rsidRPr="00502173">
        <w:rPr>
          <w:rtl/>
        </w:rPr>
        <w:t xml:space="preserve"> וכן הדין אם טעה וחתם בשבת בלבד</w:t>
      </w:r>
      <w:r w:rsidRPr="00502173">
        <w:t>.</w:t>
      </w:r>
    </w:p>
    <w:p w:rsidR="00502173" w:rsidRPr="00502173" w:rsidRDefault="00502173" w:rsidP="00F146A6">
      <w:pPr>
        <w:pStyle w:val="a3"/>
        <w:rPr>
          <w:rtl/>
        </w:rPr>
      </w:pPr>
      <w:r w:rsidRPr="00502173">
        <w:rPr>
          <w:rtl/>
        </w:rPr>
        <w:t>ויש חולקין על זה ואומרים</w:t>
      </w:r>
      <w:r w:rsidRPr="00502173">
        <w:rPr>
          <w:rFonts w:ascii="Cambria" w:hAnsi="Cambria" w:cs="Cambria"/>
        </w:rPr>
        <w:t> </w:t>
      </w:r>
      <w:r w:rsidRPr="00502173">
        <w:rPr>
          <w:rtl/>
        </w:rPr>
        <w:t xml:space="preserve">שאם חתם ביום טוב בלבד או בשבת בלבד </w:t>
      </w:r>
      <w:r w:rsidRPr="00502173">
        <w:rPr>
          <w:rFonts w:hint="cs"/>
          <w:rtl/>
        </w:rPr>
        <w:t xml:space="preserve">- </w:t>
      </w:r>
      <w:r w:rsidRPr="00502173">
        <w:rPr>
          <w:rtl/>
        </w:rPr>
        <w:t>יצא</w:t>
      </w:r>
      <w:r w:rsidRPr="00502173">
        <w:rPr>
          <w:rFonts w:hint="cs"/>
          <w:rtl/>
        </w:rPr>
        <w:t>,</w:t>
      </w:r>
      <w:r w:rsidRPr="00502173">
        <w:rPr>
          <w:rtl/>
        </w:rPr>
        <w:t xml:space="preserve"> כיון שכבר הזכיר שניהם באמצע הברכה קודם החתימה</w:t>
      </w:r>
      <w:r w:rsidRPr="00502173">
        <w:rPr>
          <w:rFonts w:hint="cs"/>
          <w:rtl/>
        </w:rPr>
        <w:t>,</w:t>
      </w:r>
      <w:r w:rsidRPr="00502173">
        <w:rPr>
          <w:rtl/>
        </w:rPr>
        <w:t xml:space="preserve"> אף שלא הזכיר שניהם בחתימה אלא אחד מהן אין בכך כלום בדיעבד</w:t>
      </w:r>
      <w:r w:rsidRPr="00502173">
        <w:rPr>
          <w:rFonts w:hint="cs"/>
          <w:rtl/>
        </w:rPr>
        <w:t>,</w:t>
      </w:r>
      <w:r w:rsidRPr="00502173">
        <w:rPr>
          <w:rtl/>
        </w:rPr>
        <w:t xml:space="preserve"> שהרי מי שהתפלל י"ח של חול אם הזכיר יום טוב באחת מהן אע"פ שלא חתם בה ביום טוב יצא בדיעבד</w:t>
      </w:r>
      <w:r w:rsidRPr="00502173">
        <w:rPr>
          <w:rFonts w:hint="cs"/>
          <w:rtl/>
        </w:rPr>
        <w:t>,</w:t>
      </w:r>
      <w:r w:rsidRPr="00502173">
        <w:rPr>
          <w:rtl/>
        </w:rPr>
        <w:t xml:space="preserve"> לפי שלא שינה ממטבע שטבעו חכמים בנוסח חתימת הברכה כשאומרה בחול והיתה ראויה גם כן ביום טוב כמו שנתבאר</w:t>
      </w:r>
      <w:r w:rsidRPr="00502173">
        <w:rPr>
          <w:rFonts w:hint="cs"/>
          <w:rtl/>
        </w:rPr>
        <w:t xml:space="preserve">, </w:t>
      </w:r>
      <w:r w:rsidRPr="00502173">
        <w:rPr>
          <w:rtl/>
        </w:rPr>
        <w:t>א"כ הוא הדין כשחתם ביום טוב בלבד הרי לא שינה ממטבע שטבעו חכמים בנוסח חתימת הברכה בכל יום טוב</w:t>
      </w:r>
      <w:r w:rsidRPr="00502173">
        <w:rPr>
          <w:rFonts w:hint="cs"/>
          <w:rtl/>
        </w:rPr>
        <w:t>,</w:t>
      </w:r>
      <w:r w:rsidRPr="00502173">
        <w:rPr>
          <w:rtl/>
        </w:rPr>
        <w:t xml:space="preserve"> ואף שלא הזכיר בה שבת</w:t>
      </w:r>
      <w:r w:rsidRPr="00502173">
        <w:rPr>
          <w:rFonts w:hint="cs"/>
          <w:rtl/>
        </w:rPr>
        <w:t>,</w:t>
      </w:r>
      <w:r w:rsidRPr="00502173">
        <w:rPr>
          <w:rtl/>
        </w:rPr>
        <w:t xml:space="preserve"> מכל מקום הרי כבר הזכירו באמצע הברכה וגם חתמה במטבע שטבעו בו חכמים בכל יום טוב וגם היום הוא יום טוב</w:t>
      </w:r>
      <w:r w:rsidRPr="00502173">
        <w:rPr>
          <w:rFonts w:hint="cs"/>
          <w:rtl/>
        </w:rPr>
        <w:t>.</w:t>
      </w:r>
      <w:r w:rsidRPr="00502173">
        <w:rPr>
          <w:rtl/>
        </w:rPr>
        <w:t xml:space="preserve"> וכן כשחתם בשבת בלבד</w:t>
      </w:r>
      <w:r w:rsidRPr="00502173">
        <w:rPr>
          <w:rFonts w:hint="cs"/>
          <w:rtl/>
        </w:rPr>
        <w:t>,</w:t>
      </w:r>
      <w:r w:rsidRPr="00502173">
        <w:rPr>
          <w:rtl/>
        </w:rPr>
        <w:t xml:space="preserve"> הרי חתם במטבע שתיקנו חכמים בכל שבת וגם היום שבת הוא</w:t>
      </w:r>
      <w:r w:rsidRPr="00502173">
        <w:rPr>
          <w:rFonts w:hint="cs"/>
          <w:rtl/>
        </w:rPr>
        <w:t>,</w:t>
      </w:r>
      <w:r w:rsidRPr="00502173">
        <w:rPr>
          <w:rtl/>
        </w:rPr>
        <w:t xml:space="preserve"> וגם יום טוב הזכיר כבר באמצע הברכה</w:t>
      </w:r>
      <w:r w:rsidRPr="00502173">
        <w:rPr>
          <w:rFonts w:hint="cs"/>
          <w:rtl/>
        </w:rPr>
        <w:t>,</w:t>
      </w:r>
      <w:r w:rsidRPr="00502173">
        <w:rPr>
          <w:rtl/>
        </w:rPr>
        <w:t xml:space="preserve"> </w:t>
      </w:r>
      <w:r w:rsidRPr="00502173">
        <w:rPr>
          <w:b/>
          <w:bCs/>
          <w:rtl/>
        </w:rPr>
        <w:t xml:space="preserve">וטוב לחוש לדבריהם </w:t>
      </w:r>
      <w:r w:rsidRPr="00502173">
        <w:rPr>
          <w:b/>
          <w:bCs/>
          <w:rtl/>
        </w:rPr>
        <w:lastRenderedPageBreak/>
        <w:t>שלא לחזור לראש שלא להכניס עצמו לידי ספק ברכה לבטל</w:t>
      </w:r>
      <w:r w:rsidRPr="00502173">
        <w:rPr>
          <w:rFonts w:hint="cs"/>
          <w:b/>
          <w:bCs/>
          <w:rtl/>
        </w:rPr>
        <w:t>ה</w:t>
      </w:r>
      <w:r w:rsidRPr="00502173">
        <w:rPr>
          <w:rFonts w:hint="cs"/>
          <w:rtl/>
        </w:rPr>
        <w:t>".</w:t>
      </w:r>
    </w:p>
    <w:p w:rsidR="00502173" w:rsidRPr="00502173" w:rsidRDefault="00502173" w:rsidP="00F146A6">
      <w:pPr>
        <w:pStyle w:val="a3"/>
      </w:pPr>
      <w:r w:rsidRPr="00502173">
        <w:rPr>
          <w:rFonts w:hint="cs"/>
          <w:rtl/>
        </w:rPr>
        <w:t>היינו שפוסק אדה"ז לחשוש לדעת כנה"ג, שלא להכניס את עצמו לספק ברכה לבטלה.</w:t>
      </w:r>
    </w:p>
    <w:p w:rsidR="00502173" w:rsidRPr="00502173" w:rsidRDefault="00502173" w:rsidP="00F146A6">
      <w:pPr>
        <w:pStyle w:val="a3"/>
        <w:rPr>
          <w:rtl/>
        </w:rPr>
      </w:pPr>
      <w:r w:rsidRPr="00502173">
        <w:rPr>
          <w:rFonts w:hint="cs"/>
          <w:rtl/>
        </w:rPr>
        <w:t>והנה, אם התפלל תפילת יו"ט בחוה"מ לא יצא יד"ח שהרי צריך להתפלל י"ח ברכות ואם חיסר אפילו ברכה אחת לא יצא יד"ח, והקולא שהקילו חכמים היא רק בשבת ויו"ט. כמ"ש בשו"ע אדה"ז</w:t>
      </w:r>
      <w:r w:rsidRPr="00502173">
        <w:rPr>
          <w:vertAlign w:val="superscript"/>
          <w:rtl/>
        </w:rPr>
        <w:footnoteReference w:id="247"/>
      </w:r>
      <w:r w:rsidRPr="00502173">
        <w:rPr>
          <w:rFonts w:hint="cs"/>
          <w:rtl/>
        </w:rPr>
        <w:t xml:space="preserve">: </w:t>
      </w:r>
    </w:p>
    <w:p w:rsidR="00502173" w:rsidRPr="00502173" w:rsidRDefault="00502173" w:rsidP="00F146A6">
      <w:pPr>
        <w:pStyle w:val="a3"/>
        <w:rPr>
          <w:rtl/>
        </w:rPr>
      </w:pPr>
      <w:r w:rsidRPr="00502173">
        <w:rPr>
          <w:rFonts w:hint="cs"/>
          <w:rtl/>
        </w:rPr>
        <w:t>"...</w:t>
      </w:r>
      <w:r w:rsidRPr="00502173">
        <w:rPr>
          <w:rtl/>
        </w:rPr>
        <w:t>לפיכך אם דילג ברכה אחת או שטעה בה טעות שמחזירין אותו א"צ לחזור לברכת אתה חונן אלא לראש הברכה שטעה בה או שדילג</w:t>
      </w:r>
      <w:r w:rsidRPr="00502173">
        <w:rPr>
          <w:rFonts w:hint="cs"/>
          <w:rtl/>
        </w:rPr>
        <w:t>,</w:t>
      </w:r>
      <w:r w:rsidRPr="00502173">
        <w:rPr>
          <w:rtl/>
        </w:rPr>
        <w:t xml:space="preserve"> ומכל מקום משם ואילך צריך לומר על הסדר</w:t>
      </w:r>
      <w:r w:rsidRPr="00502173">
        <w:rPr>
          <w:rFonts w:hint="cs"/>
          <w:rtl/>
        </w:rPr>
        <w:t>,</w:t>
      </w:r>
      <w:r w:rsidRPr="00502173">
        <w:rPr>
          <w:rFonts w:ascii="Cambria" w:hAnsi="Cambria" w:cs="Cambria"/>
        </w:rPr>
        <w:t> </w:t>
      </w:r>
      <w:r w:rsidRPr="00502173">
        <w:rPr>
          <w:rtl/>
        </w:rPr>
        <w:t xml:space="preserve">שאם לא נזכר עד לאחר כמה ברכות </w:t>
      </w:r>
      <w:r w:rsidRPr="00502173">
        <w:rPr>
          <w:b/>
          <w:bCs/>
          <w:rtl/>
        </w:rPr>
        <w:t>צריך לחזור ולומר כולן אחריה</w:t>
      </w:r>
      <w:r w:rsidRPr="00502173">
        <w:rPr>
          <w:rFonts w:hint="cs"/>
          <w:rtl/>
        </w:rPr>
        <w:t>,</w:t>
      </w:r>
      <w:r w:rsidRPr="00502173">
        <w:rPr>
          <w:rtl/>
        </w:rPr>
        <w:t xml:space="preserve"> שאם יאמר אותה ברכה לבדה במקום שנזכר </w:t>
      </w:r>
      <w:r w:rsidRPr="00502173">
        <w:rPr>
          <w:b/>
          <w:bCs/>
          <w:rtl/>
        </w:rPr>
        <w:t>נמצא שינה סדרן של ברכות ולא יצא ידי חובתו</w:t>
      </w:r>
      <w:r w:rsidRPr="00502173">
        <w:rPr>
          <w:rFonts w:hint="cs"/>
          <w:rtl/>
        </w:rPr>
        <w:t>,</w:t>
      </w:r>
      <w:r w:rsidRPr="00502173">
        <w:rPr>
          <w:rtl/>
        </w:rPr>
        <w:t xml:space="preserve"> שסדר ברכות הוא מאנשי כנסת הגדולה ומהם כמה נביאים</w:t>
      </w:r>
      <w:r w:rsidRPr="00502173">
        <w:rPr>
          <w:rFonts w:hint="cs"/>
          <w:rtl/>
        </w:rPr>
        <w:t xml:space="preserve"> </w:t>
      </w:r>
      <w:r w:rsidRPr="00502173">
        <w:rPr>
          <w:rtl/>
        </w:rPr>
        <w:t>וסמכו סדרן על המקראות</w:t>
      </w:r>
      <w:r w:rsidRPr="00502173">
        <w:rPr>
          <w:rFonts w:hint="cs"/>
          <w:rtl/>
        </w:rPr>
        <w:t xml:space="preserve">". </w:t>
      </w:r>
    </w:p>
    <w:p w:rsidR="00502173" w:rsidRPr="00502173" w:rsidRDefault="00502173" w:rsidP="00F146A6">
      <w:pPr>
        <w:pStyle w:val="a3"/>
        <w:rPr>
          <w:rtl/>
        </w:rPr>
      </w:pPr>
      <w:r w:rsidRPr="00502173">
        <w:rPr>
          <w:rFonts w:hint="cs"/>
          <w:rtl/>
        </w:rPr>
        <w:t>ומזה רואים שאם שינה את סדר הברכות לא יצא יד"ח וצריך לחזור לראש, וכ"ש כשהתפלל רק שבע ברכות. ופשוט.</w:t>
      </w:r>
    </w:p>
    <w:p w:rsidR="00502173" w:rsidRPr="00502173" w:rsidRDefault="00502173" w:rsidP="00F146A6">
      <w:pPr>
        <w:pStyle w:val="11"/>
        <w:bidi/>
        <w:rPr>
          <w:rtl/>
        </w:rPr>
      </w:pPr>
      <w:r w:rsidRPr="00502173">
        <w:rPr>
          <w:rFonts w:hint="cs"/>
          <w:rtl/>
        </w:rPr>
        <w:t>ה.</w:t>
      </w:r>
    </w:p>
    <w:p w:rsidR="00502173" w:rsidRPr="00502173" w:rsidRDefault="00502173" w:rsidP="00F146A6">
      <w:pPr>
        <w:pStyle w:val="11"/>
        <w:bidi/>
        <w:rPr>
          <w:rtl/>
        </w:rPr>
      </w:pPr>
      <w:r w:rsidRPr="00502173">
        <w:rPr>
          <w:rFonts w:hint="cs"/>
          <w:rtl/>
        </w:rPr>
        <w:t>עפ"ז עיון בדין התפלל תפילת יו"ט בשבת חוה"מ</w:t>
      </w:r>
    </w:p>
    <w:p w:rsidR="00502173" w:rsidRPr="00502173" w:rsidRDefault="00502173" w:rsidP="00F146A6">
      <w:pPr>
        <w:pStyle w:val="a3"/>
        <w:rPr>
          <w:rtl/>
        </w:rPr>
      </w:pPr>
      <w:r w:rsidRPr="00502173">
        <w:rPr>
          <w:rFonts w:hint="cs"/>
          <w:rtl/>
        </w:rPr>
        <w:t>ועפכ"ז יש לעיין בהתפלל תפילת יו"ט (אתה בחרתנו וכו') בשבת חוה"מ בתפילות ערבית, שחרית ומנחה (שמתפללים תפילת שבת רגילה עם יעלה ויבוא)</w:t>
      </w:r>
      <w:r w:rsidRPr="00502173">
        <w:rPr>
          <w:vertAlign w:val="superscript"/>
          <w:rtl/>
        </w:rPr>
        <w:footnoteReference w:id="248"/>
      </w:r>
      <w:r w:rsidRPr="00502173">
        <w:rPr>
          <w:rFonts w:hint="cs"/>
          <w:rtl/>
        </w:rPr>
        <w:t>, שהרי צריך להתפלל רק שבע ברכות, אם יצא יד"ח או לא.</w:t>
      </w:r>
    </w:p>
    <w:p w:rsidR="00502173" w:rsidRPr="00502173" w:rsidRDefault="00502173" w:rsidP="00F146A6">
      <w:pPr>
        <w:pStyle w:val="a3"/>
        <w:rPr>
          <w:rtl/>
        </w:rPr>
      </w:pPr>
      <w:r w:rsidRPr="00502173">
        <w:rPr>
          <w:rFonts w:hint="cs"/>
          <w:rtl/>
        </w:rPr>
        <w:t>בפשטות בהזכרה אין בעיה מכיוון שהזכיר גם שבת וגם יו"ט, וגם היה צריך לפתוח בשבת ובאתה בחרתנו פותח בשבת, אבל בחתימה היה צריך לחתום רק מקדש השבת וחתם מקדש ישראל והזמנים. ולכן לכאורה חוזר מכיוון ששינה מהנוסח שתיקנו חכמים בחתימה.</w:t>
      </w:r>
    </w:p>
    <w:p w:rsidR="00502173" w:rsidRPr="00502173" w:rsidRDefault="00502173" w:rsidP="00F146A6">
      <w:pPr>
        <w:pStyle w:val="a3"/>
        <w:rPr>
          <w:rtl/>
        </w:rPr>
      </w:pPr>
      <w:r w:rsidRPr="00502173">
        <w:rPr>
          <w:rFonts w:hint="cs"/>
          <w:rtl/>
        </w:rPr>
        <w:t xml:space="preserve">ולכאורה אין לומר לדעת כנה"ג (שאדה"ז פוסק שצריך לחשוש לדבריו), שכיוון שאם היה היום שבת ויו"ט היה חותם מקדש השבת ישראל והזמנים, לכן גם עכשיו יצא יד"ח. היינו לחדש שבחוה"מ אומרים גם על חתימה של יו"ט שזה היה אמור להיאמר היום. כי החידוש הוא </w:t>
      </w:r>
      <w:r w:rsidRPr="00502173">
        <w:rPr>
          <w:rFonts w:hint="cs"/>
          <w:b/>
          <w:bCs/>
          <w:rtl/>
        </w:rPr>
        <w:t>ביו"ט</w:t>
      </w:r>
      <w:r w:rsidRPr="00502173">
        <w:rPr>
          <w:rFonts w:hint="cs"/>
          <w:rtl/>
        </w:rPr>
        <w:t xml:space="preserve"> שבו חותמים אחרת, ומכיוון שהיום לא שבת ויו"ט, שינה מהנוסח הרגיל וצריך לחזור. כהדגשתו: "</w:t>
      </w:r>
      <w:r w:rsidRPr="00502173">
        <w:rPr>
          <w:rFonts w:hint="cs"/>
          <w:b/>
          <w:bCs/>
          <w:rtl/>
        </w:rPr>
        <w:t>וגם היום הוא יו"ט</w:t>
      </w:r>
      <w:r w:rsidRPr="00502173">
        <w:rPr>
          <w:rFonts w:hint="cs"/>
          <w:rtl/>
        </w:rPr>
        <w:t>", "</w:t>
      </w:r>
      <w:r w:rsidRPr="00502173">
        <w:rPr>
          <w:rFonts w:hint="cs"/>
          <w:b/>
          <w:bCs/>
          <w:rtl/>
        </w:rPr>
        <w:t xml:space="preserve">וגם היום </w:t>
      </w:r>
      <w:r w:rsidRPr="00502173">
        <w:rPr>
          <w:rFonts w:hint="cs"/>
          <w:b/>
          <w:bCs/>
          <w:rtl/>
        </w:rPr>
        <w:lastRenderedPageBreak/>
        <w:t>שבת הוא</w:t>
      </w:r>
      <w:r w:rsidRPr="00502173">
        <w:rPr>
          <w:rFonts w:hint="cs"/>
          <w:rtl/>
        </w:rPr>
        <w:t xml:space="preserve">", ובשבת חוה"מ הוא לא יו"ט, ולכן שינה מהנוסח וצריך לחזור. </w:t>
      </w:r>
    </w:p>
    <w:p w:rsidR="00502173" w:rsidRPr="00502173" w:rsidRDefault="00502173" w:rsidP="00F146A6">
      <w:pPr>
        <w:pStyle w:val="a3"/>
        <w:rPr>
          <w:rtl/>
        </w:rPr>
      </w:pPr>
      <w:r w:rsidRPr="00502173">
        <w:rPr>
          <w:rFonts w:hint="cs"/>
          <w:rtl/>
        </w:rPr>
        <w:t>ומכ"ז יוצא לכאורה שאם התפלל תפילת יו"ט בשבת חוה"מ (גם) בתפילות ערבית שחרית ומנחה צריך לחזור. ויל"ע בכ"ז.</w:t>
      </w:r>
    </w:p>
    <w:p w:rsidR="00502173" w:rsidRPr="00502173" w:rsidRDefault="00502173" w:rsidP="00F146A6">
      <w:pPr>
        <w:pStyle w:val="a3"/>
      </w:pPr>
      <w:r w:rsidRPr="00502173">
        <w:rPr>
          <w:rFonts w:hint="cs"/>
          <w:rtl/>
        </w:rPr>
        <w:t>ולא באתי אלא להעיר, ולהלכה למעשה יש לשאול רב מורה הוראה.</w:t>
      </w:r>
    </w:p>
    <w:p w:rsidR="001B37D0" w:rsidRPr="000836F8" w:rsidRDefault="001B37D0" w:rsidP="001B37D0">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0836F8" w:rsidRDefault="00346413" w:rsidP="00346413">
      <w:pPr>
        <w:pStyle w:val="12"/>
        <w:rPr>
          <w:rtl/>
        </w:rPr>
      </w:pPr>
      <w:bookmarkStart w:id="197" w:name="_Toc43963150"/>
      <w:r>
        <w:rPr>
          <w:rFonts w:hint="cs"/>
          <w:rtl/>
        </w:rPr>
        <w:t>פשוטו של מקרא</w:t>
      </w:r>
      <w:bookmarkEnd w:id="197"/>
    </w:p>
    <w:p w:rsidR="00346413" w:rsidRDefault="00346413" w:rsidP="00346413">
      <w:pPr>
        <w:pStyle w:val="a0"/>
        <w:rPr>
          <w:rtl/>
        </w:rPr>
      </w:pPr>
      <w:bookmarkStart w:id="198" w:name="_Toc43963151"/>
      <w:r>
        <w:rPr>
          <w:rFonts w:hint="cs"/>
          <w:rtl/>
        </w:rPr>
        <w:t>על פי ה' פ' במדבר ג' ט"ז</w:t>
      </w:r>
      <w:bookmarkEnd w:id="198"/>
    </w:p>
    <w:p w:rsidR="00346413" w:rsidRPr="00E85961" w:rsidRDefault="00346413" w:rsidP="00F146A6">
      <w:pPr>
        <w:pStyle w:val="a"/>
        <w:rPr>
          <w:rtl/>
        </w:rPr>
      </w:pPr>
      <w:bookmarkStart w:id="199" w:name="_Toc43963152"/>
      <w:r w:rsidRPr="00E85961">
        <w:rPr>
          <w:rFonts w:hint="cs"/>
          <w:rtl/>
        </w:rPr>
        <w:t>הרב שרגא פייוויל רימלער</w:t>
      </w:r>
      <w:bookmarkEnd w:id="199"/>
    </w:p>
    <w:p w:rsidR="00346413" w:rsidRPr="00346413" w:rsidRDefault="00346413" w:rsidP="00346413">
      <w:pPr>
        <w:pStyle w:val="a1"/>
        <w:rPr>
          <w:rtl/>
        </w:rPr>
      </w:pPr>
      <w:r w:rsidRPr="00E85961">
        <w:rPr>
          <w:rFonts w:hint="cs"/>
          <w:rtl/>
        </w:rPr>
        <w:t>רב בברייטון ביטש, ברוקלין, נ.י.</w:t>
      </w:r>
    </w:p>
    <w:p w:rsidR="00346413" w:rsidRDefault="00346413" w:rsidP="00F146A6">
      <w:pPr>
        <w:pStyle w:val="a3"/>
        <w:rPr>
          <w:rtl/>
        </w:rPr>
      </w:pPr>
      <w:r>
        <w:rPr>
          <w:rFonts w:hint="cs"/>
          <w:rtl/>
        </w:rPr>
        <w:t>רש"י בד"ה על פי ה' כותב אמר משה לפני הקב"ה היאך אני נכנס לתוך אהליהם לדעת מנין יונקיהם ,  א"ל הקב"ה  וכו'    ובת קול יוצאת מן האהל ואומרת כך וכך תינוקות יש באהל זה, לכך נאמר על פי ה'.</w:t>
      </w:r>
    </w:p>
    <w:p w:rsidR="00346413" w:rsidRDefault="00346413" w:rsidP="00F146A6">
      <w:pPr>
        <w:pStyle w:val="a3"/>
        <w:rPr>
          <w:rtl/>
        </w:rPr>
      </w:pPr>
      <w:r>
        <w:rPr>
          <w:rFonts w:hint="cs"/>
          <w:rtl/>
        </w:rPr>
        <w:t>ולהלן ג' ל"ט  נאמר עוה"פ על פי ה' כל פקודי הלוים וגו' מבן חדש ומעלה וגו' .  ובפ' נשא במנין הלוים מבן ל' עד בן נ' (ד' ל"ז) נאמר עוה"פ על פי ה', וכן שם בפסוקים מ"א מ"ה ומ"ט  נאמר על פי ה'. ובכל אלה אין רש"י מפרש למה נאמר על פי ה'. ובלבד השני פעמים הראשונים בפ' במדבר שהיה במנין תינוקות הלוים  כל שאר המקומות  שבפ' נשא שמדבר במנין מבוגרים ולא בתינוקות נאמר על פי ה' ואין רש"י מפרש כלום למה נאמר שם על פי ה'?</w:t>
      </w:r>
    </w:p>
    <w:p w:rsidR="00346413" w:rsidRDefault="00346413" w:rsidP="00F146A6">
      <w:pPr>
        <w:pStyle w:val="a3"/>
        <w:rPr>
          <w:rtl/>
        </w:rPr>
      </w:pPr>
      <w:r>
        <w:rPr>
          <w:rFonts w:hint="cs"/>
          <w:rtl/>
        </w:rPr>
        <w:t>והביאור הוא בהקדמת קושיא הכי גדולה -  איך נמנו הלוים  גם התינוקות וגם המבוגרים באופן ישר  בלי שקלים אחרי שנאמר בפ' כי תשא (ל' י"ב) שאסור למנותם לגלגלת וכן בתחילת פ' במדבר "לגלגלתם"  כותב רש"י  על ידי שקלים, בקע לגלגלת ?!</w:t>
      </w:r>
    </w:p>
    <w:p w:rsidR="00346413" w:rsidRDefault="00346413" w:rsidP="00F146A6">
      <w:pPr>
        <w:pStyle w:val="a3"/>
        <w:rPr>
          <w:rtl/>
        </w:rPr>
      </w:pPr>
      <w:r>
        <w:rPr>
          <w:rFonts w:hint="cs"/>
          <w:rtl/>
        </w:rPr>
        <w:t xml:space="preserve">והביאור הוא שבנוגע למנין בני ישראל צוה הקב"ה למשה שימנם לגלגלותם </w:t>
      </w:r>
      <w:r>
        <w:rPr>
          <w:rtl/>
        </w:rPr>
        <w:t>–</w:t>
      </w:r>
      <w:r>
        <w:rPr>
          <w:rFonts w:hint="cs"/>
          <w:rtl/>
        </w:rPr>
        <w:t xml:space="preserve"> בקע לגלגולת </w:t>
      </w:r>
      <w:r>
        <w:rPr>
          <w:rtl/>
        </w:rPr>
        <w:t>–</w:t>
      </w:r>
      <w:r>
        <w:rPr>
          <w:rFonts w:hint="cs"/>
          <w:rtl/>
        </w:rPr>
        <w:t xml:space="preserve"> ע"י השקלים  אבל בנוגע למנין הלוים צוה ה' למנותם בלי שקלים באופן ישר.  ולכן במנין התינוקות  המלים "על פי ה' " מבטא ומדגיש ענין הבת קול נוסף על פירוש הפשוט שמנה אותם בלי שקלים,  ומה שנאמר על פי ה'  במנין הלוים המבוגרים  הוא לומר שנמנו בלי שקלים </w:t>
      </w:r>
    </w:p>
    <w:p w:rsidR="00346413" w:rsidRDefault="00346413" w:rsidP="00F146A6">
      <w:pPr>
        <w:pStyle w:val="a3"/>
        <w:rPr>
          <w:rtl/>
        </w:rPr>
      </w:pPr>
      <w:r>
        <w:rPr>
          <w:rFonts w:hint="cs"/>
          <w:rtl/>
        </w:rPr>
        <w:t xml:space="preserve">ומה שלא נאמר במנין הבכורים שגם שם נמנו מבן חדש ומעלה ולא נאמר שם על </w:t>
      </w:r>
      <w:r>
        <w:rPr>
          <w:rFonts w:hint="cs"/>
          <w:rtl/>
        </w:rPr>
        <w:lastRenderedPageBreak/>
        <w:t>פי ה' אף שלא היה ע"י שקלים  מבואר במדרש על אתר שהקב"ה לא רצה להשתתף במנין הבכורים, ע"ש הטעמים לזה.</w:t>
      </w:r>
    </w:p>
    <w:p w:rsidR="00346413" w:rsidRDefault="00346413" w:rsidP="00F146A6">
      <w:pPr>
        <w:pStyle w:val="a3"/>
        <w:rPr>
          <w:rtl/>
        </w:rPr>
      </w:pPr>
      <w:r>
        <w:rPr>
          <w:rFonts w:hint="cs"/>
          <w:rtl/>
        </w:rPr>
        <w:t xml:space="preserve">ומה שלא נאמר במנין בני ישראל בפ' פנחס (כ"ו ב') "לגלגלותם" שפירושו בקע לגלגולת  הרי רש"י מבאר שם בד"ה "מבן עשרים שנה"  שיהא מנינם מבן עשרים שנה ומעלה  שנאמר (שמות ל') כל העובר על הפקודים וגו' </w:t>
      </w:r>
      <w:r>
        <w:rPr>
          <w:rtl/>
        </w:rPr>
        <w:t>–</w:t>
      </w:r>
      <w:r>
        <w:rPr>
          <w:rFonts w:hint="cs"/>
          <w:rtl/>
        </w:rPr>
        <w:t xml:space="preserve"> ושם נאמר בפירוש שנמנו ע"י השקליםת</w:t>
      </w:r>
    </w:p>
    <w:p w:rsidR="00346413" w:rsidRDefault="00346413" w:rsidP="00F146A6">
      <w:pPr>
        <w:pStyle w:val="a3"/>
        <w:rPr>
          <w:rtl/>
        </w:rPr>
      </w:pPr>
      <w:r>
        <w:rPr>
          <w:rFonts w:hint="cs"/>
          <w:rtl/>
        </w:rPr>
        <w:t>וא"ת מאחר שנאמר במנין בני קהת על פי ה' , ללמד שנצתוה למנותם בלי שקלים , למה נאמר עוה"פ  על פי ה' במנין בני גרשון ועוה"פ במנין בני מררי ?</w:t>
      </w:r>
    </w:p>
    <w:p w:rsidR="00346413" w:rsidRDefault="00346413" w:rsidP="00F146A6">
      <w:pPr>
        <w:pStyle w:val="a3"/>
        <w:rPr>
          <w:rtl/>
        </w:rPr>
      </w:pPr>
      <w:r>
        <w:rPr>
          <w:rFonts w:hint="cs"/>
          <w:rtl/>
        </w:rPr>
        <w:t>י"ל שכיון שהכתוב הבדיל ביניהם  שאצל בני קהת נאמר נשא את ראש בני קהת,  ואצל בני גקשון נאמר "גם הם"  ואצל בני מררי  לא נאמר "נשא" כלל  וגם מחולקים בעבודתם , שמשא בני קהת קודש הקדשים ומשא בני גרשון יריעות המשכן והאהל  ובני מררי במשא הקרשים, לכן אילו היה כתוב  על פי ה'  רק אצל קהת לא היינו יודעים להשוות גרשון ומררי לקהת שגם הם נמנו בלי שקלים לכן נאמר בכולם על פי ה'</w:t>
      </w:r>
    </w:p>
    <w:p w:rsidR="00346413" w:rsidRDefault="00346413" w:rsidP="00F146A6">
      <w:pPr>
        <w:pStyle w:val="a3"/>
        <w:rPr>
          <w:rtl/>
        </w:rPr>
      </w:pPr>
      <w:r>
        <w:rPr>
          <w:rFonts w:hint="cs"/>
          <w:rtl/>
        </w:rPr>
        <w:t>והגנת הלוים מנגף שעלול להיות ע"י מנין ישר בלי שקלים הוא זה גופא שמנינם הוא על פי ה'  כדאיתא במדרש תנחומא (במדבר ט"ז) "למוד השבט הזה להיות הקב"ה מונה אותו עד שהן במעי אמן".</w:t>
      </w:r>
    </w:p>
    <w:p w:rsidR="00346413" w:rsidRPr="000836F8" w:rsidRDefault="00346413" w:rsidP="00346413">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346413" w:rsidRPr="00346413" w:rsidRDefault="00346413" w:rsidP="00346413">
      <w:pPr>
        <w:pStyle w:val="12"/>
        <w:rPr>
          <w:rtl/>
        </w:rPr>
      </w:pPr>
    </w:p>
    <w:p w:rsidR="00364372" w:rsidRPr="000836F8" w:rsidRDefault="000836F8" w:rsidP="00900523">
      <w:pPr>
        <w:tabs>
          <w:tab w:val="left" w:pos="2171"/>
          <w:tab w:val="center" w:pos="3096"/>
        </w:tabs>
        <w:bidi/>
        <w:spacing w:after="100" w:line="360" w:lineRule="auto"/>
        <w:ind w:firstLine="288"/>
        <w:jc w:val="center"/>
        <w:rPr>
          <w:rFonts w:ascii="Nymphette" w:eastAsia="Times New Roman" w:hAnsi="Nymphette" w:cs="Nymphette"/>
          <w:sz w:val="44"/>
          <w:szCs w:val="44"/>
        </w:rPr>
      </w:pPr>
      <w:r w:rsidRPr="000836F8">
        <w:rPr>
          <w:rtl/>
        </w:rPr>
        <w:br w:type="page"/>
      </w:r>
    </w:p>
    <w:p w:rsidR="000836F8" w:rsidRDefault="000836F8" w:rsidP="000836F8">
      <w:pPr>
        <w:pStyle w:val="12"/>
        <w:rPr>
          <w:rtl/>
        </w:rPr>
      </w:pPr>
      <w:bookmarkStart w:id="200" w:name="_Toc43963153"/>
      <w:r w:rsidRPr="000836F8">
        <w:rPr>
          <w:rFonts w:hint="cs"/>
          <w:rtl/>
        </w:rPr>
        <w:lastRenderedPageBreak/>
        <w:t>שונות</w:t>
      </w:r>
      <w:bookmarkEnd w:id="200"/>
    </w:p>
    <w:p w:rsidR="008E7D71" w:rsidRPr="008E7D71" w:rsidRDefault="008E7D71" w:rsidP="008E7D71">
      <w:pPr>
        <w:pStyle w:val="a0"/>
        <w:rPr>
          <w:rtl/>
        </w:rPr>
      </w:pPr>
      <w:bookmarkStart w:id="201" w:name="_Toc43963154"/>
      <w:r w:rsidRPr="008E7D71">
        <w:rPr>
          <w:rtl/>
        </w:rPr>
        <w:t>'אֱלִיעֶזֶר בֶּן הוֹרְקְנוֹס מַכְרִיעַ אֶת כֻּלָּם'</w:t>
      </w:r>
      <w:bookmarkEnd w:id="201"/>
    </w:p>
    <w:p w:rsidR="008E7D71" w:rsidRPr="008E7D71" w:rsidRDefault="008E7D71" w:rsidP="00F146A6">
      <w:pPr>
        <w:pStyle w:val="a"/>
        <w:rPr>
          <w:rtl/>
        </w:rPr>
      </w:pPr>
      <w:bookmarkStart w:id="202" w:name="_Toc43963155"/>
      <w:r w:rsidRPr="008E7D71">
        <w:rPr>
          <w:rtl/>
        </w:rPr>
        <w:t>הרב ישכר דוד קלויזנר</w:t>
      </w:r>
      <w:bookmarkEnd w:id="202"/>
    </w:p>
    <w:p w:rsidR="008E7D71" w:rsidRPr="008E7D71" w:rsidRDefault="008E7D71" w:rsidP="008E7D71">
      <w:pPr>
        <w:pStyle w:val="a1"/>
        <w:rPr>
          <w:rtl/>
        </w:rPr>
      </w:pPr>
      <w:r w:rsidRPr="008E7D71">
        <w:rPr>
          <w:rtl/>
        </w:rPr>
        <w:t>נחלת הר חב"ד, אה"ק</w:t>
      </w:r>
    </w:p>
    <w:p w:rsidR="008E7D71" w:rsidRPr="008E7D71" w:rsidRDefault="008E7D71" w:rsidP="00F146A6">
      <w:pPr>
        <w:pStyle w:val="a3"/>
        <w:rPr>
          <w:rtl/>
        </w:rPr>
      </w:pPr>
      <w:r w:rsidRPr="008E7D71">
        <w:rPr>
          <w:rtl/>
        </w:rPr>
        <w:t>איתא באבות (פ"ב מ"ט): "חֲמִשָּׁה תַלְמִידִים הָיוּ לוֹ לְרַבָּן יוֹחָנָן בֶּן זַכַּאי,</w:t>
      </w:r>
      <w:r w:rsidRPr="008E7D71">
        <w:rPr>
          <w:rFonts w:ascii="Cambria" w:hAnsi="Cambria" w:cs="Cambria" w:hint="cs"/>
          <w:rtl/>
        </w:rPr>
        <w:t> </w:t>
      </w:r>
      <w:r w:rsidRPr="008E7D71">
        <w:rPr>
          <w:rFonts w:hint="cs"/>
          <w:rtl/>
        </w:rPr>
        <w:t>וְאֵלּוּ</w:t>
      </w:r>
      <w:r w:rsidRPr="008E7D71">
        <w:rPr>
          <w:rtl/>
        </w:rPr>
        <w:t xml:space="preserve"> </w:t>
      </w:r>
      <w:r w:rsidRPr="008E7D71">
        <w:rPr>
          <w:rFonts w:hint="cs"/>
          <w:rtl/>
        </w:rPr>
        <w:t>הֵן</w:t>
      </w:r>
      <w:r w:rsidRPr="008E7D71">
        <w:rPr>
          <w:rtl/>
        </w:rPr>
        <w:t>, רַבִּי אֱלִיעֶזֶר בֶּן הוֹרְקְנוֹס, וְרַבִּי יְהוֹשֻׁעַ בֶּן חֲנַנְיָה, וְרַבִּי יוֹסֵי הַכֹּהֵן, וְרַבִּי שִׁמְעוֹן בֶּן נְתַנְאֵל, וְרַבִּי אֶלְעָזָר בֶּן עֲרָךְ. הוּא הָיָה מוֹנֶה שִׁבְחָן. רַבִּי אֱלִיעֶזֶר</w:t>
      </w:r>
      <w:r w:rsidRPr="008E7D71">
        <w:rPr>
          <w:rFonts w:ascii="Cambria" w:hAnsi="Cambria" w:cs="Cambria"/>
          <w:lang w:val="en-US"/>
        </w:rPr>
        <w:t> </w:t>
      </w:r>
      <w:r w:rsidRPr="008E7D71">
        <w:rPr>
          <w:rtl/>
        </w:rPr>
        <w:t>בֶּן הוֹרְקְנוֹס, בּוֹר סוּד שֶׁאֵינוֹ מְאַבֵּד טִפָּה.</w:t>
      </w:r>
      <w:r w:rsidRPr="008E7D71">
        <w:rPr>
          <w:rFonts w:ascii="Cambria" w:hAnsi="Cambria" w:cs="Cambria" w:hint="cs"/>
          <w:rtl/>
        </w:rPr>
        <w:t> </w:t>
      </w:r>
      <w:r w:rsidRPr="008E7D71">
        <w:rPr>
          <w:lang w:val="en-US"/>
        </w:rPr>
        <w:t xml:space="preserve"> </w:t>
      </w:r>
      <w:r w:rsidRPr="008E7D71">
        <w:rPr>
          <w:rtl/>
        </w:rPr>
        <w:t xml:space="preserve">רַבִּי יְהוֹשֻׁעַ בֶּן חֲנַנְיָה, אַשְׁרֵי יוֹלַדְתּוֹ. רַבִּי יוֹסֵי הַכֹּהֵן, חָסִיד. רַבִּי שִׁמְעוֹן בֶּן נְתַנְאֵל, יְרֵא חֵטְא. וְרַבִּי אֶלְעָזָר בֶּן עֲרָךְ, מַעְיָן הַמִּתְגַּבֵּר. הוּא </w:t>
      </w:r>
      <w:bookmarkStart w:id="203" w:name="_Hlk42416923"/>
      <w:r w:rsidRPr="008E7D71">
        <w:rPr>
          <w:rtl/>
        </w:rPr>
        <w:t>הָיָה אוֹמֵר, אִם יִהְיוּ כָל חַכְמֵי יִשְׂרָאֵל בְּכַף מֹאזְנַיִם, וֶאֱלִיעֶזֶר בֶּן הוֹרְקְנוֹס בְּכַף שְׁנִיָּה, מַכְרִיעַ אֶת כֻּלָּם.</w:t>
      </w:r>
      <w:bookmarkEnd w:id="203"/>
      <w:r w:rsidRPr="008E7D71">
        <w:rPr>
          <w:rtl/>
        </w:rPr>
        <w:t xml:space="preserve"> אַבָּא שָׁאוּל אוֹמֵר מִשְּׁמוֹ, אִם יִהְיוּ כָל חַכְמֵי יִשְׂרָאֵל בְּכַף מֹאזְנַיִם וְרַבִּי אֱלִיעֶזֶר בֶּן הוֹרְקְנוֹס אַף עִמָּהֶם, </w:t>
      </w:r>
      <w:bookmarkStart w:id="204" w:name="_Hlk42417469"/>
      <w:r w:rsidRPr="008E7D71">
        <w:rPr>
          <w:rtl/>
        </w:rPr>
        <w:t xml:space="preserve">וְרַבִּי אֶלְעָזָר בֶּן עֲרָךְ </w:t>
      </w:r>
      <w:bookmarkEnd w:id="204"/>
      <w:r w:rsidRPr="008E7D71">
        <w:rPr>
          <w:rtl/>
        </w:rPr>
        <w:t>בְּכַף שְׁנִיָּה, מַכְרִיעַ אֶת כֻּלָּם".</w:t>
      </w:r>
    </w:p>
    <w:p w:rsidR="008E7D71" w:rsidRPr="008E7D71" w:rsidRDefault="008E7D71" w:rsidP="00F146A6">
      <w:pPr>
        <w:pStyle w:val="a3"/>
        <w:rPr>
          <w:lang w:val="en-US"/>
        </w:rPr>
      </w:pPr>
      <w:r w:rsidRPr="008E7D71">
        <w:rPr>
          <w:rtl/>
        </w:rPr>
        <w:t xml:space="preserve">ויש להבין, מדוע כשרַבָּן יוֹחָנָן בֶּן זַכַּאי מונה את שבחו של רַבִּי אֱלִיעֶזֶר בֶּן הוֹרְקְנוֹס קראו לו "רבי", ומתי שאומר בשבחו כש'מַכְרִיעַ אֶת כֻּלָּם' קראו לו אֱלִיעֶזֶר בֶּן הוֹרְקְנוֹס בלבד, בלי "רבי"? - ואכן כשאַבָּא שָׁאוּל אוֹמֵר מִשְּׁמוֹ של רַבָּן יוֹחָנָן בֶּן זַכַּאי "אִם יִהְיוּ </w:t>
      </w:r>
      <w:bookmarkStart w:id="205" w:name="_Hlk42417100"/>
      <w:r w:rsidRPr="008E7D71">
        <w:rPr>
          <w:rtl/>
        </w:rPr>
        <w:t xml:space="preserve">כָל חַכְמֵי יִשְׂרָאֵל </w:t>
      </w:r>
      <w:bookmarkEnd w:id="205"/>
      <w:r w:rsidRPr="008E7D71">
        <w:rPr>
          <w:rtl/>
        </w:rPr>
        <w:t xml:space="preserve">בְּכַף מֹאזְנַיִם וְרַבִּי </w:t>
      </w:r>
      <w:bookmarkStart w:id="206" w:name="_Hlk43383009"/>
      <w:r w:rsidRPr="008E7D71">
        <w:rPr>
          <w:rtl/>
        </w:rPr>
        <w:t xml:space="preserve">אֱלִיעֶזֶר בֶּן הוֹרְקְנוֹס אַף עִמָּהֶם, וְרַבִּי אֶלְעָזָר בֶּן עֲרָךְ </w:t>
      </w:r>
      <w:bookmarkEnd w:id="206"/>
      <w:r w:rsidRPr="008E7D71">
        <w:rPr>
          <w:rtl/>
        </w:rPr>
        <w:t>בְּכַף שְׁנִיָּה, מַכְרִיעַ אֶת כֻּלָּם", שפיר קרא להם "רבי"</w:t>
      </w:r>
      <w:r w:rsidRPr="008E7D71">
        <w:rPr>
          <w:rFonts w:hint="cs"/>
          <w:rtl/>
        </w:rPr>
        <w:t>.</w:t>
      </w:r>
      <w:r w:rsidRPr="008E7D71">
        <w:rPr>
          <w:rtl/>
        </w:rPr>
        <w:t xml:space="preserve"> - אולם במשניות מדויקים - כמו בסידור רבנו הזקן - אכן לא מופיע "רבי" גם בדברי "אַבָּא שָׁאוּל כשאוֹמֵר מִשְּׁמוֹ"</w:t>
      </w:r>
      <w:r w:rsidRPr="008E7D71">
        <w:rPr>
          <w:rFonts w:hint="cs"/>
          <w:rtl/>
        </w:rPr>
        <w:t xml:space="preserve"> - רצו"ב צילומי משנה עתיקים.</w:t>
      </w:r>
    </w:p>
    <w:p w:rsidR="008E7D71" w:rsidRPr="008E7D71" w:rsidRDefault="008E7D71" w:rsidP="00F146A6">
      <w:pPr>
        <w:pStyle w:val="a3"/>
        <w:rPr>
          <w:rtl/>
        </w:rPr>
      </w:pPr>
      <w:r w:rsidRPr="008E7D71">
        <w:rPr>
          <w:noProof/>
          <w:lang w:val="en-US"/>
        </w:rPr>
        <w:drawing>
          <wp:inline distT="0" distB="0" distL="0" distR="0" wp14:anchorId="556F060F" wp14:editId="1F484F9C">
            <wp:extent cx="3711844" cy="591773"/>
            <wp:effectExtent l="0" t="0" r="3175" b="0"/>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03293" cy="606352"/>
                    </a:xfrm>
                    <a:prstGeom prst="rect">
                      <a:avLst/>
                    </a:prstGeom>
                    <a:noFill/>
                    <a:ln>
                      <a:noFill/>
                    </a:ln>
                  </pic:spPr>
                </pic:pic>
              </a:graphicData>
            </a:graphic>
          </wp:inline>
        </w:drawing>
      </w:r>
      <w:r w:rsidRPr="008E7D71">
        <w:rPr>
          <w:rFonts w:hint="cs"/>
          <w:rtl/>
        </w:rPr>
        <w:t xml:space="preserve"> </w:t>
      </w:r>
    </w:p>
    <w:p w:rsidR="008E7D71" w:rsidRPr="008E7D71" w:rsidRDefault="008E7D71" w:rsidP="00F146A6">
      <w:pPr>
        <w:pStyle w:val="a3"/>
        <w:rPr>
          <w:rtl/>
        </w:rPr>
      </w:pPr>
      <w:r w:rsidRPr="008E7D71">
        <w:rPr>
          <w:rFonts w:hint="cs"/>
          <w:rtl/>
        </w:rPr>
        <w:t>הספרייה</w:t>
      </w:r>
      <w:r w:rsidRPr="008E7D71">
        <w:rPr>
          <w:rtl/>
        </w:rPr>
        <w:t xml:space="preserve"> </w:t>
      </w:r>
      <w:r w:rsidRPr="008E7D71">
        <w:rPr>
          <w:rFonts w:hint="cs"/>
          <w:rtl/>
        </w:rPr>
        <w:t>הלאומית</w:t>
      </w:r>
      <w:r w:rsidRPr="008E7D71">
        <w:rPr>
          <w:rtl/>
        </w:rPr>
        <w:t xml:space="preserve"> </w:t>
      </w:r>
      <w:r w:rsidRPr="008E7D71">
        <w:rPr>
          <w:rFonts w:hint="cs"/>
          <w:rtl/>
        </w:rPr>
        <w:t>של</w:t>
      </w:r>
      <w:r w:rsidRPr="008E7D71">
        <w:rPr>
          <w:rtl/>
        </w:rPr>
        <w:t xml:space="preserve"> </w:t>
      </w:r>
      <w:r w:rsidRPr="008E7D71">
        <w:rPr>
          <w:rFonts w:hint="cs"/>
          <w:rtl/>
        </w:rPr>
        <w:t>רוסיה</w:t>
      </w:r>
      <w:r w:rsidRPr="008E7D71">
        <w:rPr>
          <w:rtl/>
        </w:rPr>
        <w:t xml:space="preserve">, </w:t>
      </w:r>
      <w:r w:rsidRPr="008E7D71">
        <w:rPr>
          <w:rFonts w:hint="cs"/>
          <w:rtl/>
        </w:rPr>
        <w:t>סנקט</w:t>
      </w:r>
      <w:r w:rsidRPr="008E7D71">
        <w:rPr>
          <w:rtl/>
        </w:rPr>
        <w:t xml:space="preserve"> </w:t>
      </w:r>
      <w:r w:rsidRPr="008E7D71">
        <w:rPr>
          <w:rFonts w:hint="cs"/>
          <w:rtl/>
        </w:rPr>
        <w:t>פטרבורג</w:t>
      </w:r>
      <w:r w:rsidRPr="008E7D71">
        <w:rPr>
          <w:rtl/>
        </w:rPr>
        <w:t xml:space="preserve">, </w:t>
      </w:r>
      <w:r w:rsidRPr="008E7D71">
        <w:t>Ms. Evr. Antonin B 311</w:t>
      </w:r>
      <w:r w:rsidRPr="008E7D71">
        <w:rPr>
          <w:rtl/>
        </w:rPr>
        <w:t xml:space="preserve"> </w:t>
      </w:r>
      <w:r w:rsidRPr="008E7D71">
        <w:rPr>
          <w:rFonts w:hint="cs"/>
          <w:rtl/>
        </w:rPr>
        <w:t>מאה</w:t>
      </w:r>
      <w:r w:rsidRPr="008E7D71">
        <w:rPr>
          <w:rtl/>
        </w:rPr>
        <w:t xml:space="preserve"> </w:t>
      </w:r>
      <w:r w:rsidRPr="008E7D71">
        <w:rPr>
          <w:rFonts w:hint="cs"/>
          <w:rtl/>
        </w:rPr>
        <w:t>ט</w:t>
      </w:r>
      <w:r w:rsidRPr="008E7D71">
        <w:rPr>
          <w:rtl/>
        </w:rPr>
        <w:t>-</w:t>
      </w:r>
      <w:r w:rsidRPr="008E7D71">
        <w:rPr>
          <w:rFonts w:hint="cs"/>
          <w:rtl/>
        </w:rPr>
        <w:t>י</w:t>
      </w:r>
      <w:r w:rsidRPr="008E7D71">
        <w:rPr>
          <w:rtl/>
        </w:rPr>
        <w:t xml:space="preserve">'. </w:t>
      </w:r>
      <w:r w:rsidRPr="008E7D71">
        <w:rPr>
          <w:rFonts w:hint="cs"/>
          <w:rtl/>
        </w:rPr>
        <w:t>קטעי</w:t>
      </w:r>
      <w:r w:rsidRPr="008E7D71">
        <w:rPr>
          <w:rtl/>
        </w:rPr>
        <w:t xml:space="preserve"> </w:t>
      </w:r>
      <w:r w:rsidRPr="008E7D71">
        <w:rPr>
          <w:rFonts w:hint="cs"/>
          <w:rtl/>
        </w:rPr>
        <w:t>הגניזה</w:t>
      </w:r>
      <w:r w:rsidRPr="008E7D71">
        <w:rPr>
          <w:rtl/>
        </w:rPr>
        <w:t xml:space="preserve"> </w:t>
      </w:r>
      <w:r w:rsidRPr="008E7D71">
        <w:rPr>
          <w:rFonts w:hint="cs"/>
          <w:rtl/>
        </w:rPr>
        <w:t xml:space="preserve">הקהירית                </w:t>
      </w:r>
    </w:p>
    <w:p w:rsidR="008E7D71" w:rsidRPr="008E7D71" w:rsidRDefault="008E7D71" w:rsidP="00F146A6">
      <w:pPr>
        <w:pStyle w:val="a3"/>
        <w:rPr>
          <w:rtl/>
        </w:rPr>
      </w:pPr>
      <w:r w:rsidRPr="008E7D71">
        <w:rPr>
          <w:noProof/>
        </w:rPr>
        <w:drawing>
          <wp:anchor distT="0" distB="0" distL="114300" distR="114300" simplePos="0" relativeHeight="251665408" behindDoc="0" locked="0" layoutInCell="1" allowOverlap="1" wp14:anchorId="3422C533" wp14:editId="34F411D7">
            <wp:simplePos x="0" y="0"/>
            <wp:positionH relativeFrom="margin">
              <wp:align>right</wp:align>
            </wp:positionH>
            <wp:positionV relativeFrom="paragraph">
              <wp:posOffset>1905</wp:posOffset>
            </wp:positionV>
            <wp:extent cx="2711450" cy="1014095"/>
            <wp:effectExtent l="0" t="0" r="0" b="0"/>
            <wp:wrapSquare wrapText="bothSides"/>
            <wp:docPr id="9" name="תמונה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11450" cy="1014095"/>
                    </a:xfrm>
                    <a:prstGeom prst="rect">
                      <a:avLst/>
                    </a:prstGeom>
                    <a:noFill/>
                  </pic:spPr>
                </pic:pic>
              </a:graphicData>
            </a:graphic>
            <wp14:sizeRelV relativeFrom="margin">
              <wp14:pctHeight>0</wp14:pctHeight>
            </wp14:sizeRelV>
          </wp:anchor>
        </w:drawing>
      </w:r>
    </w:p>
    <w:p w:rsidR="008E7D71" w:rsidRPr="008E7D71" w:rsidRDefault="008E7D71" w:rsidP="00F146A6">
      <w:pPr>
        <w:pStyle w:val="a3"/>
        <w:rPr>
          <w:rtl/>
        </w:rPr>
      </w:pPr>
      <w:r w:rsidRPr="008E7D71">
        <w:rPr>
          <w:rFonts w:hint="cs"/>
          <w:rtl/>
        </w:rPr>
        <w:t xml:space="preserve">                                      </w:t>
      </w:r>
      <w:r w:rsidRPr="008E7D71">
        <w:rPr>
          <w:noProof/>
          <w:lang w:val="en-US"/>
        </w:rPr>
        <w:lastRenderedPageBreak/>
        <w:drawing>
          <wp:inline distT="0" distB="0" distL="0" distR="0" wp14:anchorId="023B8B4B" wp14:editId="415B6C6D">
            <wp:extent cx="2314787" cy="565265"/>
            <wp:effectExtent l="0" t="0" r="0" b="6350"/>
            <wp:docPr id="7"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33693" cy="667561"/>
                    </a:xfrm>
                    <a:prstGeom prst="rect">
                      <a:avLst/>
                    </a:prstGeom>
                    <a:noFill/>
                    <a:ln>
                      <a:noFill/>
                    </a:ln>
                  </pic:spPr>
                </pic:pic>
              </a:graphicData>
            </a:graphic>
          </wp:inline>
        </w:drawing>
      </w:r>
      <w:r w:rsidRPr="008E7D71">
        <w:rPr>
          <w:rFonts w:hint="cs"/>
          <w:rtl/>
        </w:rPr>
        <w:t xml:space="preserve">                                                  </w:t>
      </w:r>
    </w:p>
    <w:p w:rsidR="008E7D71" w:rsidRDefault="008E7D71" w:rsidP="00F146A6">
      <w:pPr>
        <w:pStyle w:val="a3"/>
        <w:rPr>
          <w:rtl/>
        </w:rPr>
      </w:pPr>
      <w:r w:rsidRPr="008E7D71">
        <w:rPr>
          <w:noProof/>
        </w:rPr>
        <w:drawing>
          <wp:inline distT="0" distB="0" distL="0" distR="0" wp14:anchorId="3EB3E337" wp14:editId="16207E43">
            <wp:extent cx="2277745" cy="897832"/>
            <wp:effectExtent l="0" t="0" r="0" b="0"/>
            <wp:docPr id="8"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27194" cy="917324"/>
                    </a:xfrm>
                    <a:prstGeom prst="rect">
                      <a:avLst/>
                    </a:prstGeom>
                    <a:noFill/>
                    <a:ln>
                      <a:noFill/>
                    </a:ln>
                  </pic:spPr>
                </pic:pic>
              </a:graphicData>
            </a:graphic>
          </wp:inline>
        </w:drawing>
      </w:r>
    </w:p>
    <w:p w:rsidR="008E7D71" w:rsidRPr="008E7D71" w:rsidRDefault="008E7D71" w:rsidP="00F146A6">
      <w:pPr>
        <w:pStyle w:val="a3"/>
        <w:rPr>
          <w:rtl/>
        </w:rPr>
      </w:pPr>
      <w:r w:rsidRPr="008E7D71">
        <w:rPr>
          <w:rtl/>
        </w:rPr>
        <w:t>כת"י</w:t>
      </w:r>
      <w:r w:rsidRPr="008E7D71">
        <w:rPr>
          <w:rFonts w:hint="cs"/>
          <w:rtl/>
        </w:rPr>
        <w:t xml:space="preserve"> פרמה 3173 כתב יד קאופמן בודפסט</w:t>
      </w:r>
      <w:r w:rsidRPr="008E7D71">
        <w:rPr>
          <w:rtl/>
        </w:rPr>
        <w:t xml:space="preserve">                        </w:t>
      </w:r>
    </w:p>
    <w:p w:rsidR="008E7D71" w:rsidRPr="008E7D71" w:rsidRDefault="008E7D71" w:rsidP="00F146A6">
      <w:pPr>
        <w:pStyle w:val="a3"/>
        <w:rPr>
          <w:rtl/>
        </w:rPr>
      </w:pPr>
      <w:r w:rsidRPr="008E7D71">
        <w:rPr>
          <w:rtl/>
        </w:rPr>
        <w:t xml:space="preserve">והנראה בזה בס"ד, ע"פ מה דאיתא בבמדבר רבה (פי"ג, יז): "לָמָּה בְּכָל הַנְּשִׂיאִים כְּתִיב שָׁם נָשִׂיא, וְנַחְשׁוֹן אֵינוֹ קָרוּא נָשִׂיא? (ומתרץ:) לְפִי שֶׁהִקְרִיב תְּחִלָּה, </w:t>
      </w:r>
      <w:bookmarkStart w:id="207" w:name="_Hlk42417063"/>
      <w:r w:rsidRPr="008E7D71">
        <w:rPr>
          <w:rtl/>
        </w:rPr>
        <w:t>שֶׁאִם בָּא לְהִתְגָּאוֹת עַל הַנְּשִׂיאִים הָאֲחֵרִים לוֹמַר שֶׁאֲנִי מֶלֶךְ עֲלֵיהֶם, שֶׁאֲנִי הִקְרַבְתִּי תְּחִלָּה,</w:t>
      </w:r>
      <w:bookmarkEnd w:id="207"/>
      <w:r w:rsidRPr="008E7D71">
        <w:rPr>
          <w:rtl/>
        </w:rPr>
        <w:t xml:space="preserve"> </w:t>
      </w:r>
      <w:bookmarkStart w:id="208" w:name="_Hlk42417295"/>
      <w:r w:rsidRPr="008E7D71">
        <w:rPr>
          <w:rtl/>
        </w:rPr>
        <w:t>הֵם יֹאמְרוּ לוֹ אֵין אַתָּה אֶלָּא הֶדְיוֹט, שֶׁכֻּלָּם קְרוּאִים נָשִׂיא, נָשִׂיא, וְאַתָּה לֹא נִקְרֵאתָ נָשִׂיא, לְקַיֵּם מַה שֶּׁנֶּאֱמַר (משלי טז, ה): תּוֹעֲבַת ה' כָּל גְּבַהּ לֵב וגו', וְאוֹמֵר (תהלים קלח, ו): כִּי רָם ה' וְשָׁפָל יִרְאֶה וְגָבוֹהַּ מִמֶּרְחָק יְיֵדָע".</w:t>
      </w:r>
    </w:p>
    <w:bookmarkEnd w:id="208"/>
    <w:p w:rsidR="008E7D71" w:rsidRPr="008E7D71" w:rsidRDefault="008E7D71" w:rsidP="00F146A6">
      <w:pPr>
        <w:pStyle w:val="a3"/>
        <w:rPr>
          <w:rtl/>
        </w:rPr>
      </w:pPr>
      <w:r w:rsidRPr="008E7D71">
        <w:rPr>
          <w:rtl/>
        </w:rPr>
        <w:t xml:space="preserve">ה"נ י"ל בנדו"ד, דלפי שהָיָה ריב"ז אוֹמֵר, אִם יִהְיוּ כָל חַכְמֵי יִשְׂרָאֵל בְּכַף מֹאזְנַיִם, וֶאֱלִיעֶזֶר בֶּן הוֹרְקְנוֹס בְּכַף שְׁנִיָּה, </w:t>
      </w:r>
      <w:bookmarkStart w:id="209" w:name="_Hlk42417215"/>
      <w:r w:rsidRPr="008E7D71">
        <w:rPr>
          <w:rtl/>
        </w:rPr>
        <w:t>מַכְרִיעַ אֶת כֻּלָּם</w:t>
      </w:r>
      <w:bookmarkEnd w:id="209"/>
      <w:r w:rsidRPr="008E7D71">
        <w:rPr>
          <w:rtl/>
        </w:rPr>
        <w:t>, שֶׁאִם בָּא לְהִתְגָּאוֹת עַל כָל חַכְמֵי יִשְׂרָאֵל לוֹמַר שֶׁאֲנִי מַכְרִיעַ אֶת כֻּלָּכם, הֵם יֹאמְרוּ לוֹ אֵין אַתָּה אֶלָּא הֶדְיוֹט, שֶׁכֻּלָּם קְרוּאִים רבי, רבי, וְאַתָּה לֹא נִקְרֵאתָ רבי, לְקַיֵּם מַה שֶּׁנֶּאֱמַר (משלי טז, ה): תּוֹעֲבַת ה' כָּל גְּבַהּ לֵב וגו', וְאוֹמֵר (תהלים קלח, ו): כִּי רָם ה' וְשָׁפָל יִרְאֶה וְגָבוֹהַּ מִמֶּרְחָק יְיֵדָע" - וה"נ בנוגע לרַבִּי אֶלְעָזָר בֶּן עֲרָךְ, וא"ש.</w:t>
      </w:r>
    </w:p>
    <w:p w:rsidR="008E7D71" w:rsidRPr="008E7D71" w:rsidRDefault="008E7D71" w:rsidP="00F146A6">
      <w:pPr>
        <w:pStyle w:val="a3"/>
        <w:rPr>
          <w:rtl/>
        </w:rPr>
      </w:pPr>
      <w:r w:rsidRPr="008E7D71">
        <w:rPr>
          <w:rtl/>
        </w:rPr>
        <w:t>והנה ברע"ב כתב: "מצאתי כתוב, דאבא שאול לא נחלק על תנא קמא</w:t>
      </w:r>
      <w:r w:rsidRPr="008E7D71">
        <w:rPr>
          <w:rFonts w:hint="cs"/>
          <w:rtl/>
        </w:rPr>
        <w:t>,</w:t>
      </w:r>
      <w:r w:rsidRPr="008E7D71">
        <w:rPr>
          <w:rtl/>
        </w:rPr>
        <w:t xml:space="preserve"> ושני הדברים אמרם ריב"ז</w:t>
      </w:r>
      <w:r w:rsidRPr="008E7D71">
        <w:rPr>
          <w:rFonts w:hint="cs"/>
          <w:rtl/>
        </w:rPr>
        <w:t>,</w:t>
      </w:r>
      <w:r w:rsidRPr="008E7D71">
        <w:rPr>
          <w:rtl/>
        </w:rPr>
        <w:t xml:space="preserve"> ושניהם אמת, דלענין הבקיאות והזכרון היה רבי אליעזר מכריע, ולענין החריפות והפלפול היה ר"א בן ערך מכריע". וכבר כ"כ ברבנו יונה ובעוד ראשונים.</w:t>
      </w:r>
    </w:p>
    <w:p w:rsidR="008E7D71" w:rsidRPr="008E7D71" w:rsidRDefault="008E7D71" w:rsidP="00F146A6">
      <w:pPr>
        <w:pStyle w:val="a3"/>
        <w:rPr>
          <w:rtl/>
        </w:rPr>
      </w:pPr>
      <w:r w:rsidRPr="008E7D71">
        <w:rPr>
          <w:rtl/>
        </w:rPr>
        <w:t>ונראה להביא סעייתא לזה ש</w:t>
      </w:r>
      <w:r w:rsidRPr="008E7D71">
        <w:rPr>
          <w:rFonts w:hint="cs"/>
          <w:rtl/>
        </w:rPr>
        <w:t xml:space="preserve">אבא שאול </w:t>
      </w:r>
      <w:r w:rsidRPr="008E7D71">
        <w:rPr>
          <w:rtl/>
        </w:rPr>
        <w:t>לא נחלק על הת"ק, מזה שאבא שאול אינו קורא לשניהם בתואר 'רבי', כי א</w:t>
      </w:r>
      <w:r w:rsidRPr="008E7D71">
        <w:rPr>
          <w:rFonts w:hint="cs"/>
          <w:rtl/>
        </w:rPr>
        <w:t>ילו</w:t>
      </w:r>
      <w:r w:rsidRPr="008E7D71">
        <w:rPr>
          <w:rtl/>
        </w:rPr>
        <w:t xml:space="preserve"> היה כ</w:t>
      </w:r>
      <w:r w:rsidRPr="008E7D71">
        <w:rPr>
          <w:rFonts w:hint="cs"/>
          <w:rtl/>
        </w:rPr>
        <w:t xml:space="preserve">אן מחלוקת, היה צריך להוסיף את התואר 'רבי' אצל 'אליעזר בן הורקנוס', כי אילו היה שווה לשאר התנאים מעיקרא לא היה שום חשש של גאות ח"ו. </w:t>
      </w:r>
    </w:p>
    <w:p w:rsidR="008E7D71" w:rsidRPr="008E7D71" w:rsidRDefault="008E7D71" w:rsidP="00F146A6">
      <w:pPr>
        <w:pStyle w:val="a3"/>
        <w:rPr>
          <w:rtl/>
        </w:rPr>
      </w:pPr>
      <w:r w:rsidRPr="008E7D71">
        <w:rPr>
          <w:rFonts w:hint="cs"/>
          <w:rtl/>
        </w:rPr>
        <w:t>ונראה לבאר שתי הגרסאות גבי אבא שאול, אם אמר ריב"ז התואר 'רבי' גבי</w:t>
      </w:r>
      <w:r w:rsidRPr="008E7D71">
        <w:rPr>
          <w:rtl/>
        </w:rPr>
        <w:t xml:space="preserve"> אֱלִיעֶזֶר בֶּן הוֹרְקְנוֹס וְאֶלְעָזָר בֶּן עֲרָךְ</w:t>
      </w:r>
      <w:r w:rsidRPr="008E7D71">
        <w:rPr>
          <w:rFonts w:hint="cs"/>
          <w:rtl/>
        </w:rPr>
        <w:t xml:space="preserve"> או לא. ובהקדים:</w:t>
      </w:r>
    </w:p>
    <w:p w:rsidR="008E7D71" w:rsidRPr="008E7D71" w:rsidRDefault="008E7D71" w:rsidP="00F146A6">
      <w:pPr>
        <w:pStyle w:val="a3"/>
        <w:rPr>
          <w:lang w:val="en-US"/>
        </w:rPr>
      </w:pPr>
      <w:r w:rsidRPr="008E7D71">
        <w:rPr>
          <w:rtl/>
        </w:rPr>
        <w:t xml:space="preserve">במכילתא </w:t>
      </w:r>
      <w:r w:rsidRPr="008E7D71">
        <w:rPr>
          <w:rFonts w:hint="cs"/>
          <w:rtl/>
        </w:rPr>
        <w:t xml:space="preserve">(יתרו) </w:t>
      </w:r>
      <w:r w:rsidRPr="008E7D71">
        <w:rPr>
          <w:rtl/>
        </w:rPr>
        <w:t>מובאת מחלוקת</w:t>
      </w:r>
      <w:r w:rsidRPr="008E7D71">
        <w:rPr>
          <w:rFonts w:hint="cs"/>
          <w:rtl/>
        </w:rPr>
        <w:t xml:space="preserve"> </w:t>
      </w:r>
      <w:r w:rsidRPr="008E7D71">
        <w:rPr>
          <w:rtl/>
        </w:rPr>
        <w:t xml:space="preserve">כיצד בני ישראל הגיבו לשמע </w:t>
      </w:r>
      <w:r w:rsidRPr="008E7D71">
        <w:rPr>
          <w:rFonts w:hint="cs"/>
          <w:rtl/>
        </w:rPr>
        <w:t>ה</w:t>
      </w:r>
      <w:r w:rsidRPr="008E7D71">
        <w:rPr>
          <w:rtl/>
        </w:rPr>
        <w:t xml:space="preserve">דיברות המצוות </w:t>
      </w:r>
      <w:r w:rsidRPr="008E7D71">
        <w:rPr>
          <w:rtl/>
        </w:rPr>
        <w:lastRenderedPageBreak/>
        <w:t>עליהם 'עשה' ו'לא תעשה</w:t>
      </w:r>
      <w:r w:rsidRPr="008E7D71">
        <w:rPr>
          <w:lang w:val="en-US"/>
        </w:rPr>
        <w:t>'</w:t>
      </w:r>
      <w:r w:rsidRPr="008E7D71">
        <w:rPr>
          <w:rFonts w:hint="cs"/>
          <w:rtl/>
        </w:rPr>
        <w:t xml:space="preserve">. </w:t>
      </w:r>
      <w:r w:rsidRPr="008E7D71">
        <w:rPr>
          <w:rtl/>
        </w:rPr>
        <w:t xml:space="preserve">רבי ישמעאל אומר: שהיו אומרים על הן </w:t>
      </w:r>
      <w:r w:rsidRPr="008E7D71">
        <w:rPr>
          <w:rFonts w:hint="cs"/>
          <w:rtl/>
        </w:rPr>
        <w:t>-</w:t>
      </w:r>
      <w:r w:rsidRPr="008E7D71">
        <w:rPr>
          <w:rtl/>
        </w:rPr>
        <w:t xml:space="preserve"> הן, ועל לאו </w:t>
      </w:r>
      <w:r w:rsidRPr="008E7D71">
        <w:rPr>
          <w:rFonts w:hint="cs"/>
          <w:rtl/>
        </w:rPr>
        <w:t>-</w:t>
      </w:r>
      <w:r w:rsidRPr="008E7D71">
        <w:rPr>
          <w:rtl/>
        </w:rPr>
        <w:t xml:space="preserve"> לאו</w:t>
      </w:r>
      <w:r w:rsidRPr="008E7D71">
        <w:rPr>
          <w:lang w:val="en-US"/>
        </w:rPr>
        <w:t>.</w:t>
      </w:r>
      <w:r w:rsidRPr="008E7D71">
        <w:rPr>
          <w:rFonts w:hint="cs"/>
          <w:rtl/>
        </w:rPr>
        <w:t xml:space="preserve"> </w:t>
      </w:r>
      <w:r w:rsidRPr="008E7D71">
        <w:rPr>
          <w:rtl/>
        </w:rPr>
        <w:t xml:space="preserve">לפי רבי ישמעאל, בני ישראל הגיבו </w:t>
      </w:r>
      <w:bookmarkStart w:id="210" w:name="_Hlk43386079"/>
      <w:r w:rsidRPr="008E7D71">
        <w:rPr>
          <w:rtl/>
        </w:rPr>
        <w:t>בהתאמה לתוכן הדיבר</w:t>
      </w:r>
      <w:bookmarkEnd w:id="210"/>
      <w:r w:rsidRPr="008E7D71">
        <w:rPr>
          <w:rtl/>
        </w:rPr>
        <w:t>: כאשר הדיבר ציווה ציווי</w:t>
      </w:r>
      <w:r w:rsidRPr="008E7D71">
        <w:rPr>
          <w:rFonts w:ascii="Cambria" w:hAnsi="Cambria" w:cs="Cambria" w:hint="cs"/>
          <w:rtl/>
        </w:rPr>
        <w:t> </w:t>
      </w:r>
      <w:r w:rsidRPr="008E7D71">
        <w:rPr>
          <w:rtl/>
        </w:rPr>
        <w:t>חיוב</w:t>
      </w:r>
      <w:r w:rsidRPr="008E7D71">
        <w:rPr>
          <w:rFonts w:hint="cs"/>
          <w:rtl/>
        </w:rPr>
        <w:t>י,</w:t>
      </w:r>
      <w:r w:rsidRPr="008E7D71">
        <w:rPr>
          <w:lang w:val="en-US"/>
        </w:rPr>
        <w:t xml:space="preserve"> </w:t>
      </w:r>
      <w:r w:rsidRPr="008E7D71">
        <w:rPr>
          <w:rtl/>
        </w:rPr>
        <w:t>הם ענו בחיוב "הן" (נעשה זאת), וכאשר הדיבר ציווה ציווי</w:t>
      </w:r>
      <w:r w:rsidRPr="008E7D71">
        <w:rPr>
          <w:rFonts w:ascii="Cambria" w:hAnsi="Cambria" w:cs="Cambria" w:hint="cs"/>
          <w:rtl/>
        </w:rPr>
        <w:t> </w:t>
      </w:r>
      <w:r w:rsidRPr="008E7D71">
        <w:rPr>
          <w:rtl/>
        </w:rPr>
        <w:t>שלילי</w:t>
      </w:r>
      <w:r w:rsidRPr="008E7D71">
        <w:rPr>
          <w:rFonts w:ascii="Cambria" w:hAnsi="Cambria" w:cs="Cambria" w:hint="cs"/>
          <w:rtl/>
        </w:rPr>
        <w:t> </w:t>
      </w:r>
      <w:r w:rsidRPr="008E7D71">
        <w:rPr>
          <w:rtl/>
        </w:rPr>
        <w:t>(</w:t>
      </w:r>
      <w:r w:rsidRPr="008E7D71">
        <w:rPr>
          <w:rFonts w:hint="cs"/>
          <w:rtl/>
        </w:rPr>
        <w:t>להימנע</w:t>
      </w:r>
      <w:r w:rsidRPr="008E7D71">
        <w:rPr>
          <w:rtl/>
        </w:rPr>
        <w:t xml:space="preserve"> </w:t>
      </w:r>
      <w:r w:rsidRPr="008E7D71">
        <w:rPr>
          <w:rFonts w:hint="cs"/>
          <w:rtl/>
        </w:rPr>
        <w:t>ממעשה</w:t>
      </w:r>
      <w:r w:rsidRPr="008E7D71">
        <w:rPr>
          <w:rtl/>
        </w:rPr>
        <w:t xml:space="preserve"> </w:t>
      </w:r>
      <w:r w:rsidRPr="008E7D71">
        <w:rPr>
          <w:rFonts w:hint="cs"/>
          <w:rtl/>
        </w:rPr>
        <w:t>מסוים</w:t>
      </w:r>
      <w:r w:rsidRPr="008E7D71">
        <w:rPr>
          <w:rtl/>
        </w:rPr>
        <w:t xml:space="preserve">), </w:t>
      </w:r>
      <w:r w:rsidRPr="008E7D71">
        <w:rPr>
          <w:rFonts w:hint="cs"/>
          <w:rtl/>
        </w:rPr>
        <w:t>הם</w:t>
      </w:r>
      <w:r w:rsidRPr="008E7D71">
        <w:rPr>
          <w:rtl/>
        </w:rPr>
        <w:t xml:space="preserve"> </w:t>
      </w:r>
      <w:r w:rsidRPr="008E7D71">
        <w:rPr>
          <w:rFonts w:hint="cs"/>
          <w:rtl/>
        </w:rPr>
        <w:t>הגיבו</w:t>
      </w:r>
      <w:r w:rsidRPr="008E7D71">
        <w:rPr>
          <w:rtl/>
        </w:rPr>
        <w:t xml:space="preserve"> </w:t>
      </w:r>
      <w:r w:rsidRPr="008E7D71">
        <w:rPr>
          <w:rFonts w:hint="cs"/>
          <w:rtl/>
        </w:rPr>
        <w:t>בשלילה</w:t>
      </w:r>
      <w:r w:rsidRPr="008E7D71">
        <w:rPr>
          <w:rtl/>
        </w:rPr>
        <w:t>: "</w:t>
      </w:r>
      <w:r w:rsidRPr="008E7D71">
        <w:rPr>
          <w:rFonts w:hint="cs"/>
          <w:rtl/>
        </w:rPr>
        <w:t>לאו</w:t>
      </w:r>
      <w:r w:rsidRPr="008E7D71">
        <w:rPr>
          <w:rtl/>
        </w:rPr>
        <w:t>" (</w:t>
      </w:r>
      <w:r w:rsidRPr="008E7D71">
        <w:rPr>
          <w:rFonts w:hint="cs"/>
          <w:rtl/>
        </w:rPr>
        <w:t>לא</w:t>
      </w:r>
      <w:r w:rsidRPr="008E7D71">
        <w:rPr>
          <w:rtl/>
        </w:rPr>
        <w:t xml:space="preserve"> </w:t>
      </w:r>
      <w:r w:rsidRPr="008E7D71">
        <w:rPr>
          <w:rFonts w:hint="cs"/>
          <w:rtl/>
        </w:rPr>
        <w:t>נעשה</w:t>
      </w:r>
      <w:r w:rsidRPr="008E7D71">
        <w:rPr>
          <w:rtl/>
        </w:rPr>
        <w:t xml:space="preserve"> </w:t>
      </w:r>
      <w:r w:rsidRPr="008E7D71">
        <w:rPr>
          <w:rFonts w:hint="cs"/>
          <w:rtl/>
        </w:rPr>
        <w:t>את</w:t>
      </w:r>
      <w:r w:rsidRPr="008E7D71">
        <w:rPr>
          <w:rtl/>
        </w:rPr>
        <w:t xml:space="preserve"> </w:t>
      </w:r>
      <w:r w:rsidRPr="008E7D71">
        <w:rPr>
          <w:rFonts w:hint="cs"/>
          <w:rtl/>
        </w:rPr>
        <w:t>הדבר</w:t>
      </w:r>
      <w:r w:rsidRPr="008E7D71">
        <w:rPr>
          <w:rtl/>
        </w:rPr>
        <w:t xml:space="preserve"> </w:t>
      </w:r>
      <w:r w:rsidRPr="008E7D71">
        <w:rPr>
          <w:rFonts w:hint="cs"/>
          <w:rtl/>
        </w:rPr>
        <w:t>שה</w:t>
      </w:r>
      <w:r w:rsidRPr="008E7D71">
        <w:rPr>
          <w:rtl/>
        </w:rPr>
        <w:t xml:space="preserve">' </w:t>
      </w:r>
      <w:r w:rsidRPr="008E7D71">
        <w:rPr>
          <w:rFonts w:hint="cs"/>
          <w:rtl/>
        </w:rPr>
        <w:t>אסר</w:t>
      </w:r>
      <w:r w:rsidRPr="008E7D71">
        <w:rPr>
          <w:rtl/>
        </w:rPr>
        <w:t>)</w:t>
      </w:r>
      <w:r w:rsidRPr="008E7D71">
        <w:rPr>
          <w:lang w:val="en-US"/>
        </w:rPr>
        <w:t>.</w:t>
      </w:r>
    </w:p>
    <w:p w:rsidR="008E7D71" w:rsidRPr="008E7D71" w:rsidRDefault="008E7D71" w:rsidP="00F146A6">
      <w:pPr>
        <w:pStyle w:val="a3"/>
        <w:rPr>
          <w:rtl/>
        </w:rPr>
      </w:pPr>
      <w:r w:rsidRPr="008E7D71">
        <w:rPr>
          <w:rtl/>
        </w:rPr>
        <w:t xml:space="preserve">רבי עקיבא אומר: שהיו אומרים על הן </w:t>
      </w:r>
      <w:r w:rsidRPr="008E7D71">
        <w:rPr>
          <w:rFonts w:hint="cs"/>
          <w:rtl/>
        </w:rPr>
        <w:t>-</w:t>
      </w:r>
      <w:r w:rsidRPr="008E7D71">
        <w:rPr>
          <w:rtl/>
        </w:rPr>
        <w:t xml:space="preserve"> הן, ועל לאו </w:t>
      </w:r>
      <w:r w:rsidRPr="008E7D71">
        <w:rPr>
          <w:rFonts w:hint="cs"/>
          <w:rtl/>
        </w:rPr>
        <w:t>-</w:t>
      </w:r>
      <w:r w:rsidRPr="008E7D71">
        <w:rPr>
          <w:rtl/>
        </w:rPr>
        <w:t xml:space="preserve"> הן</w:t>
      </w:r>
      <w:r w:rsidRPr="008E7D71">
        <w:rPr>
          <w:lang w:val="en-US"/>
        </w:rPr>
        <w:t>.</w:t>
      </w:r>
      <w:r w:rsidRPr="008E7D71">
        <w:rPr>
          <w:rFonts w:hint="cs"/>
          <w:rtl/>
        </w:rPr>
        <w:t xml:space="preserve"> </w:t>
      </w:r>
      <w:r w:rsidRPr="008E7D71">
        <w:rPr>
          <w:rtl/>
        </w:rPr>
        <w:t>לפי רבי עקיבא, בני ישראל הגיבו בהסכמה חיובית לכל ציווי: הציווי אשר דרש מהן מהם עשיית מעשים נענה בקריאה "הן" (נעשה את הדבר), וגם הציווי שאסר עליהם לעשות דברים מסוימים נענה בקריאה "הן" (נמלא את ציווי ה', שלא לעשות כך וכך)</w:t>
      </w:r>
      <w:r w:rsidRPr="008E7D71">
        <w:rPr>
          <w:lang w:val="en-US"/>
        </w:rPr>
        <w:t>.</w:t>
      </w:r>
      <w:r w:rsidRPr="008E7D71">
        <w:rPr>
          <w:rFonts w:hint="cs"/>
          <w:rtl/>
        </w:rPr>
        <w:t xml:space="preserve"> ועי' לקוטי שיחות ח"ו (ע' 119 ואילך) בארוכה שורש הדברים.</w:t>
      </w:r>
    </w:p>
    <w:p w:rsidR="008E7D71" w:rsidRPr="008E7D71" w:rsidRDefault="008E7D71" w:rsidP="00F146A6">
      <w:pPr>
        <w:pStyle w:val="a3"/>
        <w:rPr>
          <w:lang w:val="en-US"/>
        </w:rPr>
      </w:pPr>
      <w:r w:rsidRPr="008E7D71">
        <w:rPr>
          <w:rFonts w:hint="cs"/>
          <w:rtl/>
        </w:rPr>
        <w:t>עד"ז בנדו"ד, לפי הגירסא שאינו מזכיר התואר 'רבי' אצלם הרי זה ע"ד רבי ישמעאל, שהוא אמר את הלשון ממש שאמר רבו ריב"ז בלי 'רבי',</w:t>
      </w:r>
      <w:r w:rsidRPr="008E7D71">
        <w:rPr>
          <w:rtl/>
        </w:rPr>
        <w:t xml:space="preserve"> </w:t>
      </w:r>
      <w:r w:rsidRPr="008E7D71">
        <w:rPr>
          <w:rFonts w:hint="cs"/>
          <w:rtl/>
        </w:rPr>
        <w:t xml:space="preserve">שזה </w:t>
      </w:r>
      <w:r w:rsidRPr="008E7D71">
        <w:rPr>
          <w:rtl/>
        </w:rPr>
        <w:t>בהתאמה לתוכן הדבר</w:t>
      </w:r>
      <w:r w:rsidRPr="008E7D71">
        <w:rPr>
          <w:rFonts w:hint="cs"/>
          <w:rtl/>
        </w:rPr>
        <w:t xml:space="preserve">ים. ולפי הגירסא שהוסיף מעצמו אצלם התואר 'רבי', ה"ז </w:t>
      </w:r>
      <w:bookmarkStart w:id="211" w:name="_Hlk43385977"/>
      <w:r w:rsidRPr="008E7D71">
        <w:rPr>
          <w:rFonts w:hint="cs"/>
          <w:rtl/>
        </w:rPr>
        <w:t>ע"ד</w:t>
      </w:r>
      <w:bookmarkEnd w:id="211"/>
      <w:r w:rsidRPr="008E7D71">
        <w:rPr>
          <w:rFonts w:hint="cs"/>
          <w:rtl/>
        </w:rPr>
        <w:t xml:space="preserve"> רע"ק, שמחמת כבוד חבריו התנאים לא היה מסוגל להוציא את שמותם בלי תואר 'רבי', אבל ריב"ז בעצמו לא אמר (על תלמידיו) התואר 'רבי' לפי שתי הגירסאות. </w:t>
      </w:r>
    </w:p>
    <w:bookmarkEnd w:id="72"/>
    <w:bookmarkEnd w:id="89"/>
    <w:bookmarkEnd w:id="90"/>
    <w:bookmarkEnd w:id="91"/>
    <w:bookmarkEnd w:id="92"/>
    <w:bookmarkEnd w:id="164"/>
    <w:p w:rsidR="000836F8" w:rsidRPr="000836F8" w:rsidRDefault="000836F8" w:rsidP="000836F8">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8E7D71" w:rsidRPr="005B27A7" w:rsidRDefault="008E7D71" w:rsidP="008E7D71">
      <w:pPr>
        <w:pStyle w:val="a0"/>
        <w:rPr>
          <w:rFonts w:eastAsia="MS Mincho"/>
          <w:rtl/>
        </w:rPr>
      </w:pPr>
      <w:bookmarkStart w:id="212" w:name="_Toc43963156"/>
      <w:r>
        <w:rPr>
          <w:rFonts w:hint="cs"/>
          <w:rtl/>
        </w:rPr>
        <w:t>חידוש רבינו הזקן</w:t>
      </w:r>
      <w:r w:rsidRPr="005B27A7">
        <w:rPr>
          <w:rFonts w:hint="cs"/>
          <w:rtl/>
        </w:rPr>
        <w:t xml:space="preserve"> </w:t>
      </w:r>
      <w:r>
        <w:rPr>
          <w:rFonts w:hint="cs"/>
          <w:rtl/>
        </w:rPr>
        <w:t>ב</w:t>
      </w:r>
      <w:r w:rsidRPr="005B27A7">
        <w:rPr>
          <w:rFonts w:hint="cs"/>
          <w:rtl/>
        </w:rPr>
        <w:t>אגה״ק סי׳ כג ב</w:t>
      </w:r>
      <w:r>
        <w:rPr>
          <w:rFonts w:hint="cs"/>
          <w:rtl/>
        </w:rPr>
        <w:t xml:space="preserve">ענין </w:t>
      </w:r>
      <w:r w:rsidRPr="005B27A7">
        <w:rPr>
          <w:rFonts w:hint="cs"/>
          <w:rtl/>
        </w:rPr>
        <w:t>׳כל בי עשרה שכינתא שריא׳</w:t>
      </w:r>
      <w:bookmarkEnd w:id="212"/>
    </w:p>
    <w:p w:rsidR="008E7D71" w:rsidRPr="00EF5EB5" w:rsidRDefault="008E7D71" w:rsidP="00F146A6">
      <w:pPr>
        <w:pStyle w:val="a"/>
        <w:rPr>
          <w:rtl/>
        </w:rPr>
      </w:pPr>
      <w:bookmarkStart w:id="213" w:name="_Toc43963157"/>
      <w:r w:rsidRPr="00EF5EB5">
        <w:rPr>
          <w:rFonts w:hint="cs"/>
          <w:rtl/>
        </w:rPr>
        <w:t>הרב ישראל אליעזר רובין</w:t>
      </w:r>
      <w:bookmarkEnd w:id="213"/>
      <w:r w:rsidRPr="00EF5EB5">
        <w:rPr>
          <w:rFonts w:hint="cs"/>
          <w:rtl/>
        </w:rPr>
        <w:t xml:space="preserve"> </w:t>
      </w:r>
    </w:p>
    <w:p w:rsidR="008E7D71" w:rsidRDefault="008E7D71" w:rsidP="008E7D71">
      <w:pPr>
        <w:pStyle w:val="a1"/>
        <w:rPr>
          <w:rtl/>
        </w:rPr>
      </w:pPr>
      <w:r w:rsidRPr="00EF5EB5">
        <w:rPr>
          <w:rFonts w:hint="cs"/>
          <w:rtl/>
        </w:rPr>
        <w:t>שליח כ״ק אדמו״ר</w:t>
      </w:r>
      <w:r>
        <w:t xml:space="preserve">  – </w:t>
      </w:r>
      <w:r w:rsidRPr="00EF5EB5">
        <w:rPr>
          <w:rFonts w:hint="cs"/>
          <w:rtl/>
        </w:rPr>
        <w:t>אלבאני ניו יארק</w:t>
      </w:r>
    </w:p>
    <w:p w:rsidR="008E7D71" w:rsidRPr="005B27A7" w:rsidRDefault="008E7D71" w:rsidP="00F146A6">
      <w:pPr>
        <w:pStyle w:val="a3"/>
        <w:rPr>
          <w:rtl/>
        </w:rPr>
      </w:pPr>
      <w:r w:rsidRPr="005B27A7">
        <w:rPr>
          <w:rFonts w:hint="cs"/>
          <w:rtl/>
        </w:rPr>
        <w:t xml:space="preserve">      בהמשך למה ש</w:t>
      </w:r>
      <w:r>
        <w:rPr>
          <w:rFonts w:hint="cs"/>
          <w:rtl/>
        </w:rPr>
        <w:t>ביאר</w:t>
      </w:r>
      <w:r w:rsidRPr="005B27A7">
        <w:rPr>
          <w:rFonts w:hint="cs"/>
          <w:rtl/>
        </w:rPr>
        <w:t xml:space="preserve">נו בגליונות הקודמים </w:t>
      </w:r>
      <w:r>
        <w:rPr>
          <w:rFonts w:hint="cs"/>
          <w:rtl/>
        </w:rPr>
        <w:t>(א'קעז</w:t>
      </w:r>
      <w:r>
        <w:t>-</w:t>
      </w:r>
      <w:r>
        <w:rPr>
          <w:rFonts w:hint="cs"/>
          <w:rtl/>
        </w:rPr>
        <w:t xml:space="preserve">א'קעט) </w:t>
      </w:r>
      <w:r w:rsidRPr="005B27A7">
        <w:rPr>
          <w:rFonts w:hint="cs"/>
          <w:rtl/>
        </w:rPr>
        <w:t>במשנת ׳עשרה שיושבין ועוסקין בתורה</w:t>
      </w:r>
      <w:r>
        <w:rPr>
          <w:rFonts w:hint="cs"/>
          <w:rtl/>
        </w:rPr>
        <w:t xml:space="preserve"> </w:t>
      </w:r>
      <w:r w:rsidRPr="005B27A7">
        <w:rPr>
          <w:rFonts w:hint="cs"/>
          <w:rtl/>
        </w:rPr>
        <w:t>.</w:t>
      </w:r>
      <w:r>
        <w:rPr>
          <w:rFonts w:hint="cs"/>
          <w:rtl/>
        </w:rPr>
        <w:t xml:space="preserve"> </w:t>
      </w:r>
      <w:r w:rsidRPr="005B27A7">
        <w:rPr>
          <w:rFonts w:hint="cs"/>
          <w:rtl/>
        </w:rPr>
        <w:t>. ומנין שאפילו אחד׳, הנה ברוך שהחיינו וקימנו והגיענו לקראת פרשיות שלח-קורח, ש</w:t>
      </w:r>
      <w:r>
        <w:rPr>
          <w:rFonts w:hint="cs"/>
          <w:rtl/>
        </w:rPr>
        <w:t>שם מצינו</w:t>
      </w:r>
      <w:r w:rsidRPr="005B27A7">
        <w:rPr>
          <w:rFonts w:hint="cs"/>
          <w:rtl/>
        </w:rPr>
        <w:t xml:space="preserve"> </w:t>
      </w:r>
      <w:r>
        <w:rPr>
          <w:rFonts w:hint="cs"/>
          <w:rtl/>
        </w:rPr>
        <w:t>יסוד ענינו של מנין לדבר שבקדושה, ו</w:t>
      </w:r>
      <w:r w:rsidRPr="005B27A7">
        <w:rPr>
          <w:rFonts w:hint="cs"/>
          <w:rtl/>
        </w:rPr>
        <w:t xml:space="preserve">המקור בתורה דדרשינן גזירה שוה ׳עדה-עדה׳ ו׳תוך-תוך׳ ל׳ונקדשתי בתוך בני ישראל׳, </w:t>
      </w:r>
    </w:p>
    <w:p w:rsidR="008E7D71" w:rsidRPr="005B27A7" w:rsidRDefault="008E7D71" w:rsidP="00F146A6">
      <w:pPr>
        <w:pStyle w:val="a3"/>
        <w:rPr>
          <w:b/>
          <w:bCs/>
          <w:rtl/>
        </w:rPr>
      </w:pPr>
      <w:r>
        <w:t xml:space="preserve">     </w:t>
      </w:r>
      <w:r w:rsidRPr="005B27A7">
        <w:rPr>
          <w:rFonts w:hint="cs"/>
          <w:rtl/>
        </w:rPr>
        <w:t>וכעת לכבוד יומא דהילולא</w:t>
      </w:r>
      <w:r>
        <w:rPr>
          <w:rFonts w:hint="cs"/>
          <w:rtl/>
        </w:rPr>
        <w:t xml:space="preserve"> רבא</w:t>
      </w:r>
      <w:r w:rsidRPr="005B27A7">
        <w:rPr>
          <w:rFonts w:hint="cs"/>
          <w:rtl/>
        </w:rPr>
        <w:t xml:space="preserve"> ג׳ תמוז, </w:t>
      </w:r>
      <w:r>
        <w:rPr>
          <w:rFonts w:hint="cs"/>
          <w:rtl/>
        </w:rPr>
        <w:t xml:space="preserve">למדנו יחד מתפללי ביהכ״נ שומרי תורה ד'אלבאני </w:t>
      </w:r>
      <w:r w:rsidRPr="005B27A7">
        <w:rPr>
          <w:rFonts w:hint="cs"/>
          <w:rtl/>
        </w:rPr>
        <w:t>בענין זה מתורת רבינו, ב</w:t>
      </w:r>
      <w:r>
        <w:rPr>
          <w:rFonts w:hint="cs"/>
          <w:rtl/>
        </w:rPr>
        <w:t>חידושו של רבינו הזקן ששמע מרבותיו הה״מ והבעש״ט ב</w:t>
      </w:r>
      <w:r w:rsidRPr="005B27A7">
        <w:rPr>
          <w:rFonts w:hint="cs"/>
          <w:rtl/>
        </w:rPr>
        <w:t xml:space="preserve">גודל כוחם גם של מנין ׳פשוט׳ של עשרה מישראל, גם אם אינם יושבין ועוסקין בתורה או תפלה, </w:t>
      </w:r>
    </w:p>
    <w:p w:rsidR="008E7D71" w:rsidRDefault="008E7D71" w:rsidP="00F146A6">
      <w:pPr>
        <w:pStyle w:val="a3"/>
        <w:rPr>
          <w:rtl/>
        </w:rPr>
      </w:pPr>
      <w:r w:rsidRPr="005B27A7">
        <w:rPr>
          <w:rFonts w:hint="cs"/>
          <w:rtl/>
        </w:rPr>
        <w:t xml:space="preserve">     והנה </w:t>
      </w:r>
      <w:r>
        <w:rPr>
          <w:rFonts w:hint="cs"/>
          <w:rtl/>
        </w:rPr>
        <w:t>רבינו (בלקו"ש ח"ה ע' 423 הע' 11. ומשם לתו"מ חנ"ד ע' 323 הע' 20),</w:t>
      </w:r>
      <w:r w:rsidRPr="005B27A7">
        <w:rPr>
          <w:rFonts w:hint="cs"/>
          <w:rtl/>
        </w:rPr>
        <w:t xml:space="preserve"> </w:t>
      </w:r>
      <w:r w:rsidRPr="005B27A7">
        <w:rPr>
          <w:rFonts w:hint="cs"/>
          <w:rtl/>
        </w:rPr>
        <w:lastRenderedPageBreak/>
        <w:t>מתפלא על זה: ׳הרי זה חידוש גדול,׳ ובמכתב רבינו להגרש״י זוין (אג״ק חלק כד ע' רמה, אגרת ט׳רלח. לקו״ש חל"ז ע׳ 203) מציין מקור לזה ב</w:t>
      </w:r>
      <w:r>
        <w:rPr>
          <w:rFonts w:hint="cs"/>
          <w:rtl/>
        </w:rPr>
        <w:t>ענין</w:t>
      </w:r>
      <w:r w:rsidRPr="005B27A7">
        <w:rPr>
          <w:rFonts w:hint="cs"/>
          <w:rtl/>
        </w:rPr>
        <w:t xml:space="preserve"> ש</w:t>
      </w:r>
      <w:r>
        <w:rPr>
          <w:rFonts w:hint="cs"/>
          <w:rtl/>
        </w:rPr>
        <w:t>נראה</w:t>
      </w:r>
      <w:r w:rsidRPr="005B27A7">
        <w:rPr>
          <w:rFonts w:hint="cs"/>
          <w:rtl/>
        </w:rPr>
        <w:t xml:space="preserve"> לכאורה </w:t>
      </w:r>
      <w:r>
        <w:rPr>
          <w:rFonts w:hint="cs"/>
          <w:rtl/>
        </w:rPr>
        <w:t>כ</w:t>
      </w:r>
      <w:r w:rsidRPr="005B27A7">
        <w:rPr>
          <w:rFonts w:hint="cs"/>
          <w:rtl/>
        </w:rPr>
        <w:t>חריג ומוזר (</w:t>
      </w:r>
      <w:r>
        <w:rPr>
          <w:rFonts w:hint="cs"/>
          <w:rtl/>
        </w:rPr>
        <w:t>"</w:t>
      </w:r>
      <w:r w:rsidRPr="005B27A7">
        <w:rPr>
          <w:rFonts w:hint="cs"/>
          <w:rtl/>
        </w:rPr>
        <w:t>נדרים ח.</w:t>
      </w:r>
      <w:r>
        <w:rPr>
          <w:rFonts w:hint="cs"/>
          <w:rtl/>
        </w:rPr>
        <w:t>"</w:t>
      </w:r>
      <w:r w:rsidRPr="005B27A7">
        <w:rPr>
          <w:rFonts w:hint="cs"/>
          <w:rtl/>
        </w:rPr>
        <w:t>)</w:t>
      </w:r>
      <w:r>
        <w:rPr>
          <w:rFonts w:hint="cs"/>
          <w:rtl/>
        </w:rPr>
        <w:t>,</w:t>
      </w:r>
    </w:p>
    <w:p w:rsidR="008E7D71" w:rsidRPr="00FC6F06" w:rsidRDefault="008E7D71" w:rsidP="00F146A6">
      <w:pPr>
        <w:pStyle w:val="a3"/>
        <w:rPr>
          <w:rtl/>
        </w:rPr>
      </w:pPr>
      <w:r w:rsidRPr="005B27A7">
        <w:rPr>
          <w:rFonts w:hint="cs"/>
          <w:rtl/>
        </w:rPr>
        <w:t xml:space="preserve"> </w:t>
      </w:r>
      <w:r>
        <w:rPr>
          <w:rFonts w:hint="cs"/>
          <w:rtl/>
        </w:rPr>
        <w:t xml:space="preserve">    ש</w:t>
      </w:r>
      <w:r w:rsidRPr="005B27A7">
        <w:rPr>
          <w:rFonts w:hint="cs"/>
          <w:rtl/>
        </w:rPr>
        <w:t>אף שבכלל קי</w:t>
      </w:r>
      <w:r>
        <w:rPr>
          <w:rFonts w:hint="cs"/>
          <w:rtl/>
        </w:rPr>
        <w:t>״ל להלכה ש</w:t>
      </w:r>
      <w:r w:rsidRPr="00FC6F06">
        <w:rPr>
          <w:rFonts w:hint="cs"/>
          <w:rtl/>
        </w:rPr>
        <w:t xml:space="preserve">׳דברי חלומות לא מעלין ולא מורידים,׳ </w:t>
      </w:r>
      <w:r>
        <w:rPr>
          <w:rFonts w:hint="cs"/>
          <w:rtl/>
        </w:rPr>
        <w:t xml:space="preserve">מזהירנו רב יוסף שמי שנידוהו בחלום </w:t>
      </w:r>
      <w:r w:rsidRPr="00FC6F06">
        <w:rPr>
          <w:rFonts w:hint="cs"/>
          <w:rtl/>
        </w:rPr>
        <w:t xml:space="preserve">יש </w:t>
      </w:r>
      <w:r>
        <w:rPr>
          <w:rFonts w:hint="cs"/>
          <w:rtl/>
        </w:rPr>
        <w:t xml:space="preserve">לו </w:t>
      </w:r>
      <w:r w:rsidRPr="00FC6F06">
        <w:rPr>
          <w:rFonts w:hint="cs"/>
          <w:rtl/>
        </w:rPr>
        <w:t xml:space="preserve">לחוש שאולי נידוי </w:t>
      </w:r>
      <w:r>
        <w:rPr>
          <w:rFonts w:hint="cs"/>
          <w:rtl/>
        </w:rPr>
        <w:t xml:space="preserve">זה בא לו בשליחותו של מקום </w:t>
      </w:r>
      <w:r w:rsidRPr="00FC6F06">
        <w:rPr>
          <w:rFonts w:hint="cs"/>
          <w:rtl/>
        </w:rPr>
        <w:t>מ</w:t>
      </w:r>
      <w:r>
        <w:rPr>
          <w:rFonts w:hint="cs"/>
          <w:rtl/>
        </w:rPr>
        <w:t>ן ה</w:t>
      </w:r>
      <w:r w:rsidRPr="00FC6F06">
        <w:rPr>
          <w:rFonts w:hint="cs"/>
          <w:rtl/>
        </w:rPr>
        <w:t xml:space="preserve">שמים, שלכן צריך אדם </w:t>
      </w:r>
      <w:r>
        <w:rPr>
          <w:rFonts w:hint="cs"/>
          <w:rtl/>
        </w:rPr>
        <w:t xml:space="preserve">זה שחלם </w:t>
      </w:r>
      <w:r w:rsidRPr="00FC6F06">
        <w:rPr>
          <w:rFonts w:hint="cs"/>
          <w:rtl/>
        </w:rPr>
        <w:t>להתיר את נדויו לפני עשרה בני אדם</w:t>
      </w:r>
      <w:r>
        <w:rPr>
          <w:rFonts w:hint="cs"/>
          <w:rtl/>
        </w:rPr>
        <w:t>,</w:t>
      </w:r>
      <w:r w:rsidRPr="00FC6F06">
        <w:rPr>
          <w:rFonts w:hint="cs"/>
          <w:rtl/>
        </w:rPr>
        <w:t xml:space="preserve"> ש׳</w:t>
      </w:r>
      <w:r>
        <w:rPr>
          <w:rFonts w:hint="cs"/>
          <w:rtl/>
        </w:rPr>
        <w:t xml:space="preserve">על </w:t>
      </w:r>
      <w:r w:rsidRPr="00FC6F06">
        <w:rPr>
          <w:rFonts w:hint="cs"/>
          <w:rtl/>
        </w:rPr>
        <w:t xml:space="preserve">כל בי עשרה שכינתא שריא,׳ וכן מובא להלכה בשו״ע </w:t>
      </w:r>
      <w:r>
        <w:rPr>
          <w:rFonts w:hint="cs"/>
          <w:rtl/>
        </w:rPr>
        <w:t xml:space="preserve">יו״ד סי׳ שלד </w:t>
      </w:r>
      <w:r w:rsidRPr="00FC6F06">
        <w:rPr>
          <w:rFonts w:hint="cs"/>
          <w:rtl/>
        </w:rPr>
        <w:t>ו</w:t>
      </w:r>
      <w:r>
        <w:rPr>
          <w:rFonts w:hint="cs"/>
          <w:rtl/>
        </w:rPr>
        <w:t>ב</w:t>
      </w:r>
      <w:r w:rsidRPr="00FC6F06">
        <w:rPr>
          <w:rFonts w:hint="cs"/>
          <w:rtl/>
        </w:rPr>
        <w:t>רמב״ם</w:t>
      </w:r>
      <w:r>
        <w:rPr>
          <w:rFonts w:hint="cs"/>
          <w:rtl/>
        </w:rPr>
        <w:t xml:space="preserve"> הלכות תלמוד תורה</w:t>
      </w:r>
      <w:r w:rsidRPr="00FC6F06">
        <w:rPr>
          <w:rFonts w:hint="cs"/>
          <w:rtl/>
        </w:rPr>
        <w:t>.</w:t>
      </w:r>
    </w:p>
    <w:p w:rsidR="008E7D71" w:rsidRPr="00FC6F06" w:rsidRDefault="008E7D71" w:rsidP="00F146A6">
      <w:pPr>
        <w:pStyle w:val="a3"/>
        <w:rPr>
          <w:rtl/>
        </w:rPr>
      </w:pPr>
      <w:r w:rsidRPr="00FC6F06">
        <w:rPr>
          <w:rFonts w:hint="cs"/>
          <w:rtl/>
        </w:rPr>
        <w:t xml:space="preserve">   והנה ראשית, </w:t>
      </w:r>
      <w:r>
        <w:rPr>
          <w:rFonts w:hint="cs"/>
          <w:rtl/>
        </w:rPr>
        <w:t>הסברתי למתפללי ביהכ״נ בעירנו ש</w:t>
      </w:r>
      <w:r w:rsidRPr="00FC6F06">
        <w:rPr>
          <w:rFonts w:hint="cs"/>
          <w:rtl/>
        </w:rPr>
        <w:t xml:space="preserve">מקור זה מסביר את מנהגינו בהתרת נדרים ערב ראש השנה </w:t>
      </w:r>
      <w:r>
        <w:rPr>
          <w:rFonts w:hint="cs"/>
          <w:rtl/>
        </w:rPr>
        <w:t xml:space="preserve">לפי מ״ש אדה״ז בסידורו </w:t>
      </w:r>
      <w:r w:rsidRPr="00FC6F06">
        <w:rPr>
          <w:rFonts w:hint="cs"/>
          <w:rtl/>
        </w:rPr>
        <w:t>׳טוב שיהא עדה שלימה׳</w:t>
      </w:r>
      <w:r>
        <w:rPr>
          <w:rStyle w:val="FootnoteReference"/>
          <w:rFonts w:ascii="Narkisim" w:hAnsi="Narkisim"/>
          <w:rtl/>
        </w:rPr>
        <w:footnoteReference w:id="249"/>
      </w:r>
      <w:r w:rsidRPr="00FC6F06">
        <w:rPr>
          <w:rFonts w:hint="cs"/>
          <w:rtl/>
        </w:rPr>
        <w:t xml:space="preserve">, </w:t>
      </w:r>
      <w:r>
        <w:rPr>
          <w:rFonts w:hint="cs"/>
          <w:rtl/>
        </w:rPr>
        <w:t>ו</w:t>
      </w:r>
      <w:r w:rsidRPr="00FC6F06">
        <w:rPr>
          <w:rFonts w:hint="cs"/>
          <w:rtl/>
        </w:rPr>
        <w:t>אף ש</w:t>
      </w:r>
      <w:r>
        <w:rPr>
          <w:rFonts w:hint="cs"/>
          <w:rtl/>
        </w:rPr>
        <w:t>בשאר ימות השנה (וברוב</w:t>
      </w:r>
      <w:r>
        <w:rPr>
          <w:rStyle w:val="FootnoteReference"/>
          <w:rFonts w:ascii="Narkisim" w:hAnsi="Narkisim"/>
          <w:rtl/>
        </w:rPr>
        <w:footnoteReference w:id="250"/>
      </w:r>
      <w:r>
        <w:rPr>
          <w:rFonts w:hint="cs"/>
          <w:rtl/>
        </w:rPr>
        <w:t xml:space="preserve"> בתי כנסיות מחוגים אחרים </w:t>
      </w:r>
      <w:r>
        <w:rPr>
          <w:rtl/>
        </w:rPr>
        <w:t>–</w:t>
      </w:r>
      <w:r>
        <w:rPr>
          <w:rFonts w:hint="cs"/>
          <w:rtl/>
        </w:rPr>
        <w:t xml:space="preserve"> גם בער״ה)</w:t>
      </w:r>
      <w:r w:rsidRPr="00FC6F06">
        <w:rPr>
          <w:rFonts w:hint="cs"/>
          <w:rtl/>
        </w:rPr>
        <w:t xml:space="preserve"> </w:t>
      </w:r>
      <w:r>
        <w:rPr>
          <w:rFonts w:hint="cs"/>
          <w:rtl/>
        </w:rPr>
        <w:t>די ומספיק להתיר</w:t>
      </w:r>
      <w:r w:rsidRPr="00FC6F06">
        <w:rPr>
          <w:rFonts w:hint="cs"/>
          <w:rtl/>
        </w:rPr>
        <w:t xml:space="preserve"> נדר בפני שלשה אנשים, ו</w:t>
      </w:r>
      <w:r>
        <w:rPr>
          <w:rFonts w:hint="cs"/>
          <w:rtl/>
        </w:rPr>
        <w:t>אף</w:t>
      </w:r>
      <w:r w:rsidRPr="00FC6F06">
        <w:rPr>
          <w:rFonts w:hint="cs"/>
          <w:rtl/>
        </w:rPr>
        <w:t xml:space="preserve"> </w:t>
      </w:r>
      <w:r>
        <w:rPr>
          <w:rFonts w:hint="cs"/>
          <w:rtl/>
        </w:rPr>
        <w:t xml:space="preserve">שאכן </w:t>
      </w:r>
      <w:r w:rsidRPr="00FC6F06">
        <w:rPr>
          <w:rFonts w:hint="cs"/>
          <w:rtl/>
        </w:rPr>
        <w:t xml:space="preserve">קשה להתעכב כ״כ בביהכ״נ </w:t>
      </w:r>
      <w:r>
        <w:rPr>
          <w:rFonts w:hint="cs"/>
          <w:rtl/>
        </w:rPr>
        <w:t>ב</w:t>
      </w:r>
      <w:r w:rsidRPr="00FC6F06">
        <w:rPr>
          <w:rFonts w:hint="cs"/>
          <w:rtl/>
        </w:rPr>
        <w:t>ערב ראש השנה, ל</w:t>
      </w:r>
      <w:r>
        <w:rPr>
          <w:rFonts w:hint="cs"/>
          <w:rtl/>
        </w:rPr>
        <w:t>ישב ול</w:t>
      </w:r>
      <w:r w:rsidRPr="00FC6F06">
        <w:rPr>
          <w:rFonts w:hint="cs"/>
          <w:rtl/>
        </w:rPr>
        <w:t>שמוע התרת הנדרים לכה״פ עשרה פעמים, ולחזור להשיב לכל אחד ואחד: מותר לך, מותר לך, מותר לך..</w:t>
      </w:r>
    </w:p>
    <w:p w:rsidR="008E7D71" w:rsidRPr="00FC6F06" w:rsidRDefault="008E7D71" w:rsidP="00F146A6">
      <w:pPr>
        <w:pStyle w:val="a3"/>
        <w:rPr>
          <w:rtl/>
        </w:rPr>
      </w:pPr>
      <w:r w:rsidRPr="00FC6F06">
        <w:rPr>
          <w:rFonts w:hint="cs"/>
          <w:rtl/>
        </w:rPr>
        <w:t xml:space="preserve">    והנה חוץ מ</w:t>
      </w:r>
      <w:r>
        <w:rPr>
          <w:rFonts w:hint="cs"/>
          <w:rtl/>
        </w:rPr>
        <w:t>כוונתו</w:t>
      </w:r>
      <w:r w:rsidRPr="00FC6F06">
        <w:rPr>
          <w:rFonts w:hint="cs"/>
          <w:rtl/>
        </w:rPr>
        <w:t xml:space="preserve"> של רבינו ב</w:t>
      </w:r>
      <w:r>
        <w:rPr>
          <w:rFonts w:hint="cs"/>
          <w:rtl/>
        </w:rPr>
        <w:t xml:space="preserve">אותה </w:t>
      </w:r>
      <w:r w:rsidRPr="00FC6F06">
        <w:rPr>
          <w:rFonts w:hint="cs"/>
          <w:rtl/>
        </w:rPr>
        <w:t xml:space="preserve">הערה למכתבו ששלח להרב זוין ליישב ׳והוא דתנו׳ לפי הרמב״ם, </w:t>
      </w:r>
      <w:r>
        <w:rPr>
          <w:rFonts w:hint="cs"/>
          <w:rtl/>
        </w:rPr>
        <w:t>הרי הורנו כ״ק רבינו ללמוד הוראה ועידוד בכל דבר בעבודת ה׳, ו</w:t>
      </w:r>
      <w:r w:rsidRPr="00FC6F06">
        <w:rPr>
          <w:rFonts w:hint="cs"/>
          <w:rtl/>
        </w:rPr>
        <w:t xml:space="preserve">יש </w:t>
      </w:r>
      <w:r>
        <w:rPr>
          <w:rFonts w:hint="cs"/>
          <w:rtl/>
        </w:rPr>
        <w:t xml:space="preserve">לראות גם </w:t>
      </w:r>
      <w:r w:rsidRPr="00FC6F06">
        <w:rPr>
          <w:rFonts w:hint="cs"/>
          <w:rtl/>
        </w:rPr>
        <w:t xml:space="preserve">בזה </w:t>
      </w:r>
      <w:r>
        <w:rPr>
          <w:rFonts w:hint="cs"/>
          <w:rtl/>
        </w:rPr>
        <w:t>מסר כללי של חיזוק</w:t>
      </w:r>
      <w:r w:rsidRPr="00FC6F06">
        <w:rPr>
          <w:rFonts w:hint="cs"/>
          <w:rtl/>
        </w:rPr>
        <w:t xml:space="preserve"> ועידוד לנו</w:t>
      </w:r>
      <w:r>
        <w:rPr>
          <w:rFonts w:hint="cs"/>
          <w:rtl/>
        </w:rPr>
        <w:t xml:space="preserve"> היום,</w:t>
      </w:r>
      <w:r w:rsidRPr="00FC6F06">
        <w:rPr>
          <w:rFonts w:hint="cs"/>
          <w:rtl/>
        </w:rPr>
        <w:t xml:space="preserve"> ש</w:t>
      </w:r>
      <w:r>
        <w:rPr>
          <w:rFonts w:hint="cs"/>
          <w:rtl/>
        </w:rPr>
        <w:t>כעת ל</w:t>
      </w:r>
      <w:r w:rsidRPr="00FC6F06">
        <w:rPr>
          <w:rFonts w:hint="cs"/>
          <w:rtl/>
        </w:rPr>
        <w:t>אחר ג׳ תמוז ש׳היינו כחולמים׳ בגלות</w:t>
      </w:r>
      <w:r>
        <w:rPr>
          <w:rFonts w:hint="cs"/>
          <w:rtl/>
        </w:rPr>
        <w:t>,</w:t>
      </w:r>
      <w:r w:rsidRPr="00FC6F06">
        <w:rPr>
          <w:rFonts w:hint="cs"/>
          <w:rtl/>
        </w:rPr>
        <w:t xml:space="preserve"> וכולנו מחפשים מזור ותרופה בזמן של ׳אותותינו לא ראינו׳ שהננו מרגישים עצמינו כ׳בני אדם הנזופים למקום׳, שכולנו נמצאים היום במצב </w:t>
      </w:r>
      <w:r>
        <w:rPr>
          <w:rFonts w:hint="cs"/>
          <w:rtl/>
        </w:rPr>
        <w:t xml:space="preserve">של ספק שנראה </w:t>
      </w:r>
      <w:r w:rsidRPr="00FC6F06">
        <w:rPr>
          <w:rFonts w:hint="cs"/>
          <w:rtl/>
        </w:rPr>
        <w:t xml:space="preserve">כעין ׳נידוהו בחלום׳, </w:t>
      </w:r>
      <w:r>
        <w:rPr>
          <w:rFonts w:hint="cs"/>
          <w:rtl/>
        </w:rPr>
        <w:t>הנה בזמן כזה יש לנו למצוא פתרון ונוחם במנין שעל ׳כל בי עשרה שכינתא שריא.׳</w:t>
      </w:r>
    </w:p>
    <w:p w:rsidR="008E7D71" w:rsidRPr="00FC6F06" w:rsidRDefault="008E7D71" w:rsidP="00F146A6">
      <w:pPr>
        <w:pStyle w:val="a3"/>
        <w:rPr>
          <w:rtl/>
        </w:rPr>
      </w:pPr>
      <w:r w:rsidRPr="00FC6F06">
        <w:rPr>
          <w:rFonts w:hint="cs"/>
          <w:rtl/>
        </w:rPr>
        <w:t xml:space="preserve">    ובעצם העובדא של הגמ</w:t>
      </w:r>
      <w:r>
        <w:rPr>
          <w:rFonts w:hint="cs"/>
          <w:rtl/>
        </w:rPr>
        <w:t>רא</w:t>
      </w:r>
      <w:r w:rsidRPr="00FC6F06">
        <w:rPr>
          <w:rFonts w:hint="cs"/>
          <w:rtl/>
        </w:rPr>
        <w:t xml:space="preserve"> </w:t>
      </w:r>
      <w:r>
        <w:rPr>
          <w:rFonts w:hint="cs"/>
          <w:rtl/>
        </w:rPr>
        <w:t>ב</w:t>
      </w:r>
      <w:r w:rsidRPr="00FC6F06">
        <w:rPr>
          <w:rFonts w:hint="cs"/>
          <w:rtl/>
        </w:rPr>
        <w:t xml:space="preserve">נדרים, </w:t>
      </w:r>
      <w:r>
        <w:rPr>
          <w:rFonts w:hint="cs"/>
          <w:rtl/>
        </w:rPr>
        <w:t xml:space="preserve">מעניין הדבר, </w:t>
      </w:r>
      <w:r w:rsidRPr="00FC6F06">
        <w:rPr>
          <w:rFonts w:hint="cs"/>
          <w:rtl/>
        </w:rPr>
        <w:t xml:space="preserve">למה קשה </w:t>
      </w:r>
      <w:r>
        <w:rPr>
          <w:rFonts w:hint="cs"/>
          <w:rtl/>
        </w:rPr>
        <w:t xml:space="preserve">לו </w:t>
      </w:r>
      <w:r w:rsidRPr="00FC6F06">
        <w:rPr>
          <w:rFonts w:hint="cs"/>
          <w:rtl/>
        </w:rPr>
        <w:t xml:space="preserve">כ״כ למצוא מנין להטבת חלום זה, למה לא ילך לבהכ״נ בו מתפלל כל יום? </w:t>
      </w:r>
    </w:p>
    <w:p w:rsidR="008E7D71" w:rsidRPr="00FC6F06" w:rsidRDefault="008E7D71" w:rsidP="00F146A6">
      <w:pPr>
        <w:pStyle w:val="a3"/>
        <w:rPr>
          <w:rtl/>
        </w:rPr>
      </w:pPr>
      <w:r>
        <w:rPr>
          <w:rFonts w:hint="cs"/>
          <w:rtl/>
        </w:rPr>
        <w:t xml:space="preserve">   </w:t>
      </w:r>
      <w:r w:rsidRPr="00FC6F06">
        <w:rPr>
          <w:rFonts w:hint="cs"/>
          <w:rtl/>
        </w:rPr>
        <w:t xml:space="preserve">אלא </w:t>
      </w:r>
      <w:r>
        <w:rPr>
          <w:rFonts w:hint="cs"/>
          <w:rtl/>
        </w:rPr>
        <w:t xml:space="preserve">ענין </w:t>
      </w:r>
      <w:r w:rsidRPr="00FC6F06">
        <w:rPr>
          <w:rFonts w:hint="cs"/>
          <w:rtl/>
        </w:rPr>
        <w:t xml:space="preserve">זה מתאים לנו </w:t>
      </w:r>
      <w:r>
        <w:rPr>
          <w:rFonts w:hint="cs"/>
          <w:rtl/>
        </w:rPr>
        <w:t xml:space="preserve">ביותר </w:t>
      </w:r>
      <w:r w:rsidRPr="00FC6F06">
        <w:rPr>
          <w:rFonts w:hint="cs"/>
          <w:rtl/>
        </w:rPr>
        <w:t>כעת בעידן הקורונא</w:t>
      </w:r>
      <w:r>
        <w:rPr>
          <w:rFonts w:hint="cs"/>
          <w:rtl/>
        </w:rPr>
        <w:t>-</w:t>
      </w:r>
      <w:r w:rsidRPr="00FC6F06">
        <w:rPr>
          <w:rFonts w:hint="cs"/>
          <w:rtl/>
        </w:rPr>
        <w:t>ו</w:t>
      </w:r>
      <w:r>
        <w:rPr>
          <w:rFonts w:hint="cs"/>
          <w:rtl/>
        </w:rPr>
        <w:t>ו</w:t>
      </w:r>
      <w:r w:rsidRPr="00FC6F06">
        <w:rPr>
          <w:rFonts w:hint="cs"/>
          <w:rtl/>
        </w:rPr>
        <w:t>ירוס שכל אחד</w:t>
      </w:r>
      <w:r>
        <w:rPr>
          <w:rFonts w:hint="cs"/>
          <w:rtl/>
        </w:rPr>
        <w:t xml:space="preserve">, בפרט אנשים זקנים מבן ששים ומעלה, </w:t>
      </w:r>
      <w:r w:rsidRPr="00FC6F06">
        <w:rPr>
          <w:rFonts w:hint="cs"/>
          <w:rtl/>
        </w:rPr>
        <w:t>נזהר</w:t>
      </w:r>
      <w:r>
        <w:rPr>
          <w:rFonts w:hint="cs"/>
          <w:rtl/>
        </w:rPr>
        <w:t xml:space="preserve">ים </w:t>
      </w:r>
      <w:r w:rsidRPr="00FC6F06">
        <w:rPr>
          <w:rFonts w:hint="cs"/>
          <w:rtl/>
        </w:rPr>
        <w:t>ונשמר</w:t>
      </w:r>
      <w:r>
        <w:rPr>
          <w:rFonts w:hint="cs"/>
          <w:rtl/>
        </w:rPr>
        <w:t>ים</w:t>
      </w:r>
      <w:r w:rsidRPr="00FC6F06">
        <w:rPr>
          <w:rFonts w:hint="cs"/>
          <w:rtl/>
        </w:rPr>
        <w:t xml:space="preserve"> </w:t>
      </w:r>
      <w:r>
        <w:rPr>
          <w:rFonts w:hint="cs"/>
          <w:rtl/>
        </w:rPr>
        <w:t xml:space="preserve">מאד </w:t>
      </w:r>
      <w:r w:rsidRPr="00FC6F06">
        <w:rPr>
          <w:rFonts w:hint="cs"/>
          <w:rtl/>
        </w:rPr>
        <w:t xml:space="preserve">בבידוד לעצמו, ובקושי למצוא יחד עשרה דמתנו גמרא או תנו משניות, </w:t>
      </w:r>
      <w:r>
        <w:rPr>
          <w:rFonts w:hint="cs"/>
          <w:rtl/>
        </w:rPr>
        <w:t xml:space="preserve">הרי דוקא </w:t>
      </w:r>
      <w:r w:rsidRPr="00FC6F06">
        <w:rPr>
          <w:rFonts w:hint="cs"/>
          <w:rtl/>
        </w:rPr>
        <w:t>ב</w:t>
      </w:r>
      <w:r>
        <w:rPr>
          <w:rFonts w:hint="cs"/>
          <w:rtl/>
        </w:rPr>
        <w:t>זמן כזה עלינו</w:t>
      </w:r>
      <w:r w:rsidRPr="00FC6F06">
        <w:rPr>
          <w:rFonts w:hint="cs"/>
          <w:rtl/>
        </w:rPr>
        <w:t xml:space="preserve"> לטרוח לצאת ולילך ל</w:t>
      </w:r>
      <w:r>
        <w:rPr>
          <w:rFonts w:hint="cs"/>
          <w:rtl/>
        </w:rPr>
        <w:t>׳</w:t>
      </w:r>
      <w:r w:rsidRPr="00FC6F06">
        <w:rPr>
          <w:rFonts w:hint="cs"/>
          <w:rtl/>
        </w:rPr>
        <w:t>פרשת דרכים</w:t>
      </w:r>
      <w:r>
        <w:rPr>
          <w:rFonts w:hint="cs"/>
          <w:rtl/>
        </w:rPr>
        <w:t>׳</w:t>
      </w:r>
      <w:r w:rsidRPr="00FC6F06">
        <w:rPr>
          <w:rFonts w:hint="cs"/>
          <w:rtl/>
        </w:rPr>
        <w:t>, ל</w:t>
      </w:r>
      <w:r>
        <w:rPr>
          <w:rFonts w:hint="cs"/>
          <w:rtl/>
        </w:rPr>
        <w:t>חפש ול</w:t>
      </w:r>
      <w:r w:rsidRPr="00FC6F06">
        <w:rPr>
          <w:rFonts w:hint="cs"/>
          <w:rtl/>
        </w:rPr>
        <w:t>מצוא אנשים בודדים</w:t>
      </w:r>
      <w:r>
        <w:rPr>
          <w:rFonts w:hint="cs"/>
          <w:rtl/>
        </w:rPr>
        <w:t>,</w:t>
      </w:r>
      <w:r w:rsidRPr="00FC6F06">
        <w:rPr>
          <w:rFonts w:hint="cs"/>
          <w:rtl/>
        </w:rPr>
        <w:t xml:space="preserve"> ליתן שלום לכל א׳ וא׳ מהעוברים </w:t>
      </w:r>
      <w:r w:rsidRPr="00FC6F06">
        <w:rPr>
          <w:rFonts w:hint="cs"/>
          <w:rtl/>
        </w:rPr>
        <w:lastRenderedPageBreak/>
        <w:t>ושבים</w:t>
      </w:r>
      <w:r>
        <w:rPr>
          <w:rFonts w:hint="cs"/>
          <w:rtl/>
        </w:rPr>
        <w:t xml:space="preserve"> והם מחזירים לנו שלום</w:t>
      </w:r>
      <w:r w:rsidRPr="00FC6F06">
        <w:rPr>
          <w:rFonts w:hint="cs"/>
          <w:rtl/>
        </w:rPr>
        <w:t xml:space="preserve">, </w:t>
      </w:r>
      <w:r>
        <w:rPr>
          <w:rFonts w:hint="cs"/>
          <w:rtl/>
        </w:rPr>
        <w:t xml:space="preserve">כמו שאמר רבינו בהתוועדות בשנת תשי"א (תורת מנחם ח"ב ע' 65) שעל כל א׳ להשתדל למצוא ולהשפיע על מנין של יהודים. </w:t>
      </w:r>
      <w:r w:rsidRPr="00FC6F06">
        <w:rPr>
          <w:rFonts w:hint="cs"/>
          <w:rtl/>
        </w:rPr>
        <w:t xml:space="preserve">וזה מספיק </w:t>
      </w:r>
      <w:r>
        <w:rPr>
          <w:rFonts w:hint="cs"/>
          <w:rtl/>
        </w:rPr>
        <w:t xml:space="preserve">להגן עלינו </w:t>
      </w:r>
      <w:r w:rsidRPr="00FC6F06">
        <w:rPr>
          <w:rFonts w:hint="cs"/>
          <w:rtl/>
        </w:rPr>
        <w:t xml:space="preserve">כעת, עד אי״ה שנזכה לזמן של מקלעי עשרה </w:t>
      </w:r>
      <w:r>
        <w:rPr>
          <w:rFonts w:hint="cs"/>
          <w:rtl/>
        </w:rPr>
        <w:t xml:space="preserve">דמתנו הלכתא </w:t>
      </w:r>
      <w:r w:rsidRPr="00FC6F06">
        <w:rPr>
          <w:rFonts w:hint="cs"/>
          <w:rtl/>
        </w:rPr>
        <w:t xml:space="preserve">כהוגן. </w:t>
      </w:r>
    </w:p>
    <w:p w:rsidR="00F146A6" w:rsidRDefault="008E7D71" w:rsidP="008E7D71">
      <w:pPr>
        <w:tabs>
          <w:tab w:val="left" w:pos="2171"/>
          <w:tab w:val="center" w:pos="3096"/>
        </w:tabs>
        <w:bidi/>
        <w:spacing w:after="100" w:line="360" w:lineRule="auto"/>
        <w:ind w:firstLine="288"/>
        <w:jc w:val="center"/>
        <w:rPr>
          <w:sz w:val="36"/>
          <w:szCs w:val="36"/>
        </w:rPr>
      </w:pPr>
      <w:r w:rsidRPr="000836F8">
        <w:rPr>
          <w:rFonts w:ascii="Nymphette" w:eastAsia="Times New Roman" w:hAnsi="Nymphette" w:cs="Nymphette"/>
          <w:sz w:val="44"/>
          <w:szCs w:val="44"/>
        </w:rPr>
        <w:t>g</w:t>
      </w:r>
      <w:r w:rsidRPr="008E7D71">
        <w:rPr>
          <w:sz w:val="36"/>
          <w:szCs w:val="36"/>
          <w:rtl/>
        </w:rPr>
        <w:t xml:space="preserve"> </w:t>
      </w:r>
    </w:p>
    <w:p w:rsidR="00F146A6" w:rsidRDefault="00F146A6" w:rsidP="00F146A6">
      <w:pPr>
        <w:pStyle w:val="a0"/>
        <w:rPr>
          <w:rtl/>
        </w:rPr>
      </w:pPr>
      <w:bookmarkStart w:id="214" w:name="_Toc43963158"/>
      <w:r>
        <w:rPr>
          <w:rFonts w:hint="cs"/>
          <w:rtl/>
        </w:rPr>
        <w:t>האחים קרעמער</w:t>
      </w:r>
      <w:bookmarkEnd w:id="214"/>
    </w:p>
    <w:p w:rsidR="00F146A6" w:rsidRDefault="00F146A6" w:rsidP="00F146A6">
      <w:pPr>
        <w:pStyle w:val="a"/>
        <w:rPr>
          <w:rtl/>
        </w:rPr>
      </w:pPr>
      <w:bookmarkStart w:id="215" w:name="_Toc43963159"/>
      <w:r>
        <w:rPr>
          <w:rtl/>
        </w:rPr>
        <w:t>הרב מרדכי גלזמן</w:t>
      </w:r>
      <w:bookmarkEnd w:id="215"/>
    </w:p>
    <w:p w:rsidR="00F146A6" w:rsidRPr="00C60FEE" w:rsidRDefault="00F146A6" w:rsidP="00F146A6">
      <w:pPr>
        <w:pStyle w:val="a1"/>
        <w:rPr>
          <w:rFonts w:hint="cs"/>
          <w:rtl/>
        </w:rPr>
      </w:pPr>
      <w:r>
        <w:rPr>
          <w:rtl/>
        </w:rPr>
        <w:t xml:space="preserve"> שליח כ"ק אדמו"ר – ריגא, לטביה</w:t>
      </w:r>
    </w:p>
    <w:p w:rsidR="00F146A6" w:rsidRPr="00F146A6" w:rsidRDefault="00F146A6" w:rsidP="00F146A6">
      <w:pPr>
        <w:pStyle w:val="a3"/>
      </w:pPr>
      <w:r w:rsidRPr="00F146A6">
        <w:rPr>
          <w:rtl/>
        </w:rPr>
        <w:t>באג"ק אדמו"ר מוהריי"צ חלק ב עמוד כה במכתב מתאריך טז שבט תרפ"ח "אל הנכבדים.. מו"ה אליעזר ומו"ר זלמן" מצויין למטה בהערה מהמפתח שערך כ"ק אדמו"ר נשי"ד למכתבים אלו</w:t>
      </w:r>
      <w:r w:rsidRPr="00F146A6">
        <w:rPr>
          <w:rFonts w:ascii="Cambria" w:hAnsi="Cambria" w:cs="Cambria" w:hint="cs"/>
          <w:rtl/>
        </w:rPr>
        <w:t> </w:t>
      </w:r>
      <w:r w:rsidRPr="00F146A6">
        <w:rPr>
          <w:b/>
          <w:bCs/>
          <w:rtl/>
        </w:rPr>
        <w:t>קרעמער האחים נויארק</w:t>
      </w:r>
      <w:r w:rsidRPr="00F146A6">
        <w:rPr>
          <w:rtl/>
        </w:rPr>
        <w:t>,</w:t>
      </w:r>
    </w:p>
    <w:p w:rsidR="00F146A6" w:rsidRPr="00F146A6" w:rsidRDefault="00F146A6" w:rsidP="00F146A6">
      <w:pPr>
        <w:pStyle w:val="a3"/>
        <w:rPr>
          <w:rtl/>
        </w:rPr>
      </w:pPr>
      <w:r w:rsidRPr="00F146A6">
        <w:rPr>
          <w:rtl/>
        </w:rPr>
        <w:t>וצ"ע בזה כי מו"ה [משה] אליעזר היה אביהם של משפחת קרעמער ולא אחיהם, ועוד והוא העיקר הרי האב נפטר בשנת תרפ"ה (לעיל ח"א עמוד תסב נדפס מכתב תנחומין</w:t>
      </w:r>
      <w:r w:rsidRPr="00F146A6">
        <w:rPr>
          <w:rFonts w:ascii="Cambria" w:hAnsi="Cambria" w:cs="Cambria" w:hint="cs"/>
          <w:rtl/>
        </w:rPr>
        <w:t> </w:t>
      </w:r>
      <w:r w:rsidRPr="00F146A6">
        <w:rPr>
          <w:rtl/>
        </w:rPr>
        <w:t xml:space="preserve"> </w:t>
      </w:r>
      <w:r w:rsidRPr="00F146A6">
        <w:rPr>
          <w:rFonts w:hint="cs"/>
          <w:rtl/>
        </w:rPr>
        <w:t>מיום</w:t>
      </w:r>
      <w:r w:rsidRPr="00F146A6">
        <w:rPr>
          <w:rtl/>
        </w:rPr>
        <w:t xml:space="preserve"> </w:t>
      </w:r>
      <w:r w:rsidRPr="00F146A6">
        <w:rPr>
          <w:rFonts w:hint="cs"/>
          <w:rtl/>
        </w:rPr>
        <w:t>ח</w:t>
      </w:r>
      <w:r w:rsidRPr="00F146A6">
        <w:rPr>
          <w:rtl/>
        </w:rPr>
        <w:t>"</w:t>
      </w:r>
      <w:r w:rsidRPr="00F146A6">
        <w:rPr>
          <w:rFonts w:hint="cs"/>
          <w:rtl/>
        </w:rPr>
        <w:t>י</w:t>
      </w:r>
      <w:r w:rsidRPr="00F146A6">
        <w:rPr>
          <w:rtl/>
        </w:rPr>
        <w:t xml:space="preserve"> </w:t>
      </w:r>
      <w:r w:rsidRPr="00F146A6">
        <w:rPr>
          <w:rFonts w:hint="cs"/>
          <w:rtl/>
        </w:rPr>
        <w:t>סיון</w:t>
      </w:r>
      <w:r w:rsidRPr="00F146A6">
        <w:rPr>
          <w:rtl/>
        </w:rPr>
        <w:t xml:space="preserve"> </w:t>
      </w:r>
      <w:r w:rsidRPr="00F146A6">
        <w:rPr>
          <w:rFonts w:hint="cs"/>
          <w:rtl/>
        </w:rPr>
        <w:t>תרפ</w:t>
      </w:r>
      <w:r w:rsidRPr="00F146A6">
        <w:rPr>
          <w:rtl/>
        </w:rPr>
        <w:t>"</w:t>
      </w:r>
      <w:r w:rsidRPr="00F146A6">
        <w:rPr>
          <w:rFonts w:hint="cs"/>
          <w:rtl/>
        </w:rPr>
        <w:t>ה</w:t>
      </w:r>
      <w:r w:rsidRPr="00F146A6">
        <w:rPr>
          <w:rtl/>
        </w:rPr>
        <w:t xml:space="preserve"> </w:t>
      </w:r>
      <w:r w:rsidRPr="00F146A6">
        <w:rPr>
          <w:rFonts w:hint="cs"/>
          <w:rtl/>
        </w:rPr>
        <w:t>מאדמו</w:t>
      </w:r>
      <w:r w:rsidRPr="00F146A6">
        <w:rPr>
          <w:rtl/>
        </w:rPr>
        <w:t>"</w:t>
      </w:r>
      <w:r w:rsidRPr="00F146A6">
        <w:rPr>
          <w:rFonts w:hint="cs"/>
          <w:rtl/>
        </w:rPr>
        <w:t>ר</w:t>
      </w:r>
      <w:r w:rsidRPr="00F146A6">
        <w:rPr>
          <w:rtl/>
        </w:rPr>
        <w:t xml:space="preserve"> </w:t>
      </w:r>
      <w:r w:rsidRPr="00F146A6">
        <w:rPr>
          <w:rFonts w:hint="cs"/>
          <w:rtl/>
        </w:rPr>
        <w:t>מוהריי</w:t>
      </w:r>
      <w:r w:rsidRPr="00F146A6">
        <w:rPr>
          <w:rtl/>
        </w:rPr>
        <w:t>"</w:t>
      </w:r>
      <w:r w:rsidRPr="00F146A6">
        <w:rPr>
          <w:rFonts w:hint="cs"/>
          <w:rtl/>
        </w:rPr>
        <w:t>צ</w:t>
      </w:r>
      <w:r w:rsidRPr="00F146A6">
        <w:rPr>
          <w:rtl/>
        </w:rPr>
        <w:t xml:space="preserve"> </w:t>
      </w:r>
      <w:r w:rsidRPr="00F146A6">
        <w:rPr>
          <w:rFonts w:hint="cs"/>
          <w:rtl/>
        </w:rPr>
        <w:t>למשפחתו</w:t>
      </w:r>
      <w:r w:rsidRPr="00F146A6">
        <w:rPr>
          <w:rtl/>
        </w:rPr>
        <w:t xml:space="preserve"> </w:t>
      </w:r>
      <w:r w:rsidRPr="00F146A6">
        <w:rPr>
          <w:rFonts w:hint="cs"/>
          <w:rtl/>
        </w:rPr>
        <w:t>על</w:t>
      </w:r>
      <w:r w:rsidRPr="00F146A6">
        <w:rPr>
          <w:rtl/>
        </w:rPr>
        <w:t xml:space="preserve"> </w:t>
      </w:r>
      <w:r w:rsidRPr="00F146A6">
        <w:rPr>
          <w:rFonts w:hint="cs"/>
          <w:rtl/>
        </w:rPr>
        <w:t>פטירתו</w:t>
      </w:r>
      <w:r w:rsidRPr="00F146A6">
        <w:rPr>
          <w:rtl/>
        </w:rPr>
        <w:t>),</w:t>
      </w:r>
    </w:p>
    <w:p w:rsidR="00F146A6" w:rsidRPr="00F146A6" w:rsidRDefault="00F146A6" w:rsidP="00F146A6">
      <w:pPr>
        <w:pStyle w:val="a3"/>
        <w:rPr>
          <w:rtl/>
        </w:rPr>
      </w:pPr>
      <w:r w:rsidRPr="00F146A6">
        <w:rPr>
          <w:rtl/>
        </w:rPr>
        <w:t>וגם בכל אגרות הרבי מוהריי"צ כותב הרבי את שמו המלא של האח</w:t>
      </w:r>
      <w:r w:rsidRPr="00F146A6">
        <w:rPr>
          <w:rFonts w:ascii="Cambria" w:hAnsi="Cambria" w:cs="Cambria" w:hint="cs"/>
          <w:rtl/>
        </w:rPr>
        <w:t> </w:t>
      </w:r>
      <w:r w:rsidRPr="00F146A6">
        <w:rPr>
          <w:b/>
          <w:bCs/>
          <w:rtl/>
        </w:rPr>
        <w:t>חיים שניאור זלמן</w:t>
      </w:r>
      <w:r w:rsidRPr="00F146A6">
        <w:rPr>
          <w:rFonts w:ascii="Cambria" w:hAnsi="Cambria" w:cs="Cambria" w:hint="cs"/>
          <w:rtl/>
        </w:rPr>
        <w:t> </w:t>
      </w:r>
      <w:r w:rsidRPr="00F146A6">
        <w:rPr>
          <w:rFonts w:hint="cs"/>
          <w:rtl/>
        </w:rPr>
        <w:t>או</w:t>
      </w:r>
      <w:r w:rsidRPr="00F146A6">
        <w:rPr>
          <w:rtl/>
        </w:rPr>
        <w:t xml:space="preserve"> </w:t>
      </w:r>
      <w:r w:rsidRPr="00F146A6">
        <w:rPr>
          <w:rFonts w:hint="cs"/>
          <w:rtl/>
        </w:rPr>
        <w:t>חז</w:t>
      </w:r>
      <w:r w:rsidRPr="00F146A6">
        <w:rPr>
          <w:rtl/>
        </w:rPr>
        <w:t>"</w:t>
      </w:r>
      <w:r w:rsidRPr="00F146A6">
        <w:rPr>
          <w:rFonts w:hint="cs"/>
          <w:rtl/>
        </w:rPr>
        <w:t>ק</w:t>
      </w:r>
      <w:r w:rsidRPr="00F146A6">
        <w:rPr>
          <w:rtl/>
        </w:rPr>
        <w:t xml:space="preserve"> </w:t>
      </w:r>
      <w:r w:rsidRPr="00F146A6">
        <w:rPr>
          <w:rFonts w:hint="cs"/>
          <w:rtl/>
        </w:rPr>
        <w:t>ולא</w:t>
      </w:r>
      <w:r w:rsidRPr="00F146A6">
        <w:rPr>
          <w:rtl/>
        </w:rPr>
        <w:t xml:space="preserve"> </w:t>
      </w:r>
      <w:r w:rsidRPr="00F146A6">
        <w:rPr>
          <w:rFonts w:hint="cs"/>
          <w:rtl/>
        </w:rPr>
        <w:t>רק</w:t>
      </w:r>
      <w:r w:rsidRPr="00F146A6">
        <w:rPr>
          <w:rtl/>
        </w:rPr>
        <w:t xml:space="preserve"> </w:t>
      </w:r>
      <w:r w:rsidRPr="00F146A6">
        <w:rPr>
          <w:rFonts w:hint="cs"/>
          <w:rtl/>
        </w:rPr>
        <w:t>זלמן</w:t>
      </w:r>
      <w:r w:rsidRPr="00F146A6">
        <w:rPr>
          <w:rtl/>
        </w:rPr>
        <w:t>.</w:t>
      </w:r>
    </w:p>
    <w:p w:rsidR="00F146A6" w:rsidRDefault="00F146A6" w:rsidP="00F146A6">
      <w:pPr>
        <w:tabs>
          <w:tab w:val="left" w:pos="2171"/>
          <w:tab w:val="center" w:pos="3096"/>
        </w:tabs>
        <w:bidi/>
        <w:spacing w:after="100" w:line="360" w:lineRule="auto"/>
        <w:ind w:firstLine="288"/>
        <w:jc w:val="center"/>
        <w:rPr>
          <w:sz w:val="36"/>
          <w:szCs w:val="36"/>
        </w:rPr>
      </w:pPr>
      <w:r w:rsidRPr="000836F8">
        <w:rPr>
          <w:rFonts w:ascii="Nymphette" w:eastAsia="Times New Roman" w:hAnsi="Nymphette" w:cs="Nymphette"/>
          <w:sz w:val="44"/>
          <w:szCs w:val="44"/>
        </w:rPr>
        <w:t>g</w:t>
      </w:r>
      <w:r w:rsidRPr="008E7D71">
        <w:rPr>
          <w:sz w:val="36"/>
          <w:szCs w:val="36"/>
          <w:rtl/>
        </w:rPr>
        <w:t xml:space="preserve"> </w:t>
      </w:r>
    </w:p>
    <w:p w:rsidR="00F146A6" w:rsidRDefault="00F146A6" w:rsidP="00F146A6">
      <w:pPr>
        <w:pStyle w:val="a0"/>
        <w:rPr>
          <w:rtl/>
        </w:rPr>
      </w:pPr>
      <w:bookmarkStart w:id="216" w:name="_Toc43963160"/>
      <w:r>
        <w:rPr>
          <w:rFonts w:hint="cs"/>
          <w:rtl/>
        </w:rPr>
        <w:t>בקשת מחילה</w:t>
      </w:r>
      <w:bookmarkEnd w:id="216"/>
    </w:p>
    <w:p w:rsidR="00F146A6" w:rsidRPr="00F146A6" w:rsidRDefault="00F146A6" w:rsidP="00F146A6">
      <w:pPr>
        <w:pStyle w:val="a"/>
        <w:rPr>
          <w:rtl/>
        </w:rPr>
      </w:pPr>
      <w:bookmarkStart w:id="217" w:name="_Toc43963161"/>
      <w:r>
        <w:rPr>
          <w:rFonts w:hint="cs"/>
          <w:rtl/>
        </w:rPr>
        <w:t>הנ"ל</w:t>
      </w:r>
      <w:bookmarkEnd w:id="217"/>
    </w:p>
    <w:p w:rsidR="00F146A6" w:rsidRPr="00F146A6" w:rsidRDefault="00F146A6" w:rsidP="00F146A6">
      <w:pPr>
        <w:pStyle w:val="a3"/>
        <w:rPr>
          <w:rtl/>
        </w:rPr>
      </w:pPr>
      <w:r w:rsidRPr="00F146A6">
        <w:rPr>
          <w:rtl/>
        </w:rPr>
        <w:t>בסה"ש תרפ"ז עמוד 175 מספר אדמו"ר מוהריי"צ שבעת השידוך שלו היו ג' הצעות ואמו זקנתו הרבנית רבקה החזיקה שיש לקחת הצעת השידוך עם הגביר ובנה אדמו"ר מוהרש"ב</w:t>
      </w:r>
      <w:r w:rsidRPr="00F146A6">
        <w:rPr>
          <w:rFonts w:ascii="Cambria" w:hAnsi="Cambria" w:cs="Cambria" w:hint="cs"/>
          <w:rtl/>
        </w:rPr>
        <w:t> </w:t>
      </w:r>
      <w:r w:rsidRPr="00F146A6">
        <w:rPr>
          <w:rtl/>
        </w:rPr>
        <w:t xml:space="preserve"> </w:t>
      </w:r>
      <w:r w:rsidRPr="00F146A6">
        <w:rPr>
          <w:rFonts w:hint="cs"/>
          <w:rtl/>
        </w:rPr>
        <w:t>רצה</w:t>
      </w:r>
      <w:r w:rsidRPr="00F146A6">
        <w:rPr>
          <w:rtl/>
        </w:rPr>
        <w:t xml:space="preserve"> </w:t>
      </w:r>
      <w:r w:rsidRPr="00F146A6">
        <w:rPr>
          <w:rFonts w:hint="cs"/>
          <w:rtl/>
        </w:rPr>
        <w:t>השידוך</w:t>
      </w:r>
      <w:r w:rsidRPr="00F146A6">
        <w:rPr>
          <w:rtl/>
        </w:rPr>
        <w:t xml:space="preserve"> </w:t>
      </w:r>
      <w:r w:rsidRPr="00F146A6">
        <w:rPr>
          <w:rFonts w:hint="cs"/>
          <w:rtl/>
        </w:rPr>
        <w:t>עם</w:t>
      </w:r>
      <w:r w:rsidRPr="00F146A6">
        <w:rPr>
          <w:rtl/>
        </w:rPr>
        <w:t xml:space="preserve"> </w:t>
      </w:r>
      <w:r w:rsidRPr="00F146A6">
        <w:rPr>
          <w:rFonts w:hint="cs"/>
          <w:rtl/>
        </w:rPr>
        <w:t>המשפחה</w:t>
      </w:r>
      <w:r w:rsidRPr="00F146A6">
        <w:rPr>
          <w:rtl/>
        </w:rPr>
        <w:t xml:space="preserve"> </w:t>
      </w:r>
      <w:r w:rsidRPr="00F146A6">
        <w:rPr>
          <w:rFonts w:hint="cs"/>
          <w:rtl/>
        </w:rPr>
        <w:t>על</w:t>
      </w:r>
      <w:r w:rsidRPr="00F146A6">
        <w:rPr>
          <w:rtl/>
        </w:rPr>
        <w:t xml:space="preserve"> </w:t>
      </w:r>
      <w:r w:rsidRPr="00F146A6">
        <w:rPr>
          <w:rFonts w:hint="cs"/>
          <w:rtl/>
        </w:rPr>
        <w:t>אף</w:t>
      </w:r>
      <w:r w:rsidRPr="00F146A6">
        <w:rPr>
          <w:rtl/>
        </w:rPr>
        <w:t xml:space="preserve"> </w:t>
      </w:r>
      <w:r w:rsidRPr="00F146A6">
        <w:rPr>
          <w:rFonts w:hint="cs"/>
          <w:rtl/>
        </w:rPr>
        <w:t>שהיה</w:t>
      </w:r>
      <w:r w:rsidRPr="00F146A6">
        <w:rPr>
          <w:rtl/>
        </w:rPr>
        <w:t xml:space="preserve"> </w:t>
      </w:r>
      <w:r w:rsidRPr="00F146A6">
        <w:rPr>
          <w:rFonts w:hint="cs"/>
          <w:rtl/>
        </w:rPr>
        <w:t>זה</w:t>
      </w:r>
      <w:r w:rsidRPr="00F146A6">
        <w:rPr>
          <w:rtl/>
        </w:rPr>
        <w:t xml:space="preserve"> </w:t>
      </w:r>
      <w:r w:rsidRPr="00F146A6">
        <w:rPr>
          <w:rFonts w:hint="cs"/>
          <w:rtl/>
        </w:rPr>
        <w:t>שידוך</w:t>
      </w:r>
      <w:r w:rsidRPr="00F146A6">
        <w:rPr>
          <w:rtl/>
        </w:rPr>
        <w:t xml:space="preserve"> </w:t>
      </w:r>
      <w:r w:rsidRPr="00F146A6">
        <w:rPr>
          <w:rFonts w:hint="cs"/>
          <w:rtl/>
        </w:rPr>
        <w:t>עני</w:t>
      </w:r>
      <w:r w:rsidRPr="00F146A6">
        <w:rPr>
          <w:rtl/>
        </w:rPr>
        <w:t xml:space="preserve"> "</w:t>
      </w:r>
      <w:r w:rsidRPr="00F146A6">
        <w:rPr>
          <w:rFonts w:hint="cs"/>
          <w:rtl/>
        </w:rPr>
        <w:t>ואח</w:t>
      </w:r>
      <w:r w:rsidRPr="00F146A6">
        <w:rPr>
          <w:rtl/>
        </w:rPr>
        <w:t>"</w:t>
      </w:r>
      <w:r w:rsidRPr="00F146A6">
        <w:rPr>
          <w:rFonts w:hint="cs"/>
          <w:rtl/>
        </w:rPr>
        <w:t>כ</w:t>
      </w:r>
      <w:r w:rsidRPr="00F146A6">
        <w:rPr>
          <w:rtl/>
        </w:rPr>
        <w:t xml:space="preserve"> </w:t>
      </w:r>
      <w:r w:rsidRPr="00F146A6">
        <w:rPr>
          <w:rFonts w:hint="cs"/>
          <w:rtl/>
        </w:rPr>
        <w:t>בעריוה</w:t>
      </w:r>
      <w:r w:rsidRPr="00F146A6">
        <w:rPr>
          <w:rtl/>
        </w:rPr>
        <w:t>"</w:t>
      </w:r>
      <w:r w:rsidRPr="00F146A6">
        <w:rPr>
          <w:rFonts w:hint="cs"/>
          <w:rtl/>
        </w:rPr>
        <w:t>כ</w:t>
      </w:r>
      <w:r w:rsidRPr="00F146A6">
        <w:rPr>
          <w:rFonts w:ascii="Cambria" w:hAnsi="Cambria" w:cs="Cambria" w:hint="cs"/>
          <w:rtl/>
        </w:rPr>
        <w:t> </w:t>
      </w:r>
      <w:r w:rsidRPr="00F146A6">
        <w:rPr>
          <w:rtl/>
        </w:rPr>
        <w:t xml:space="preserve"> </w:t>
      </w:r>
      <w:r w:rsidRPr="00F146A6">
        <w:rPr>
          <w:rFonts w:hint="cs"/>
          <w:rtl/>
        </w:rPr>
        <w:t>נכנסתי</w:t>
      </w:r>
      <w:r w:rsidRPr="00F146A6">
        <w:rPr>
          <w:rFonts w:ascii="Cambria" w:hAnsi="Cambria" w:cs="Cambria" w:hint="cs"/>
          <w:b/>
          <w:bCs/>
          <w:rtl/>
        </w:rPr>
        <w:t> </w:t>
      </w:r>
      <w:r w:rsidRPr="00F146A6">
        <w:rPr>
          <w:rFonts w:hint="cs"/>
          <w:b/>
          <w:bCs/>
          <w:rtl/>
        </w:rPr>
        <w:t>לאמי</w:t>
      </w:r>
      <w:r w:rsidRPr="00F146A6">
        <w:rPr>
          <w:rFonts w:ascii="Cambria" w:hAnsi="Cambria" w:cs="Cambria" w:hint="cs"/>
          <w:b/>
          <w:bCs/>
          <w:rtl/>
        </w:rPr>
        <w:t> </w:t>
      </w:r>
      <w:r w:rsidRPr="00F146A6">
        <w:rPr>
          <w:rFonts w:hint="cs"/>
          <w:b/>
          <w:bCs/>
          <w:rtl/>
        </w:rPr>
        <w:t>זקנתי</w:t>
      </w:r>
      <w:r w:rsidRPr="00F146A6">
        <w:rPr>
          <w:rFonts w:ascii="Cambria" w:hAnsi="Cambria" w:cs="Cambria" w:hint="cs"/>
          <w:b/>
          <w:bCs/>
          <w:rtl/>
        </w:rPr>
        <w:t> </w:t>
      </w:r>
      <w:r w:rsidRPr="00F146A6">
        <w:rPr>
          <w:rtl/>
        </w:rPr>
        <w:t>הרבנית רבקה ע"ה לבקש מחילה עבור זה"</w:t>
      </w:r>
    </w:p>
    <w:p w:rsidR="00F146A6" w:rsidRPr="00F146A6" w:rsidRDefault="00F146A6" w:rsidP="00F146A6">
      <w:pPr>
        <w:pStyle w:val="a3"/>
        <w:rPr>
          <w:rtl/>
        </w:rPr>
      </w:pPr>
      <w:r w:rsidRPr="00F146A6">
        <w:rPr>
          <w:rtl/>
        </w:rPr>
        <w:t>וצ"ע</w:t>
      </w:r>
      <w:r w:rsidRPr="00F146A6">
        <w:rPr>
          <w:rFonts w:ascii="Cambria" w:hAnsi="Cambria" w:cs="Cambria" w:hint="cs"/>
          <w:b/>
          <w:bCs/>
          <w:rtl/>
        </w:rPr>
        <w:t> </w:t>
      </w:r>
      <w:r w:rsidRPr="00F146A6">
        <w:rPr>
          <w:rtl/>
        </w:rPr>
        <w:t>מדוע היה צריך</w:t>
      </w:r>
      <w:r w:rsidRPr="00F146A6">
        <w:rPr>
          <w:rFonts w:ascii="Cambria" w:hAnsi="Cambria" w:cs="Cambria" w:hint="cs"/>
          <w:rtl/>
        </w:rPr>
        <w:t> </w:t>
      </w:r>
      <w:r w:rsidRPr="00F146A6">
        <w:rPr>
          <w:b/>
          <w:bCs/>
          <w:rtl/>
        </w:rPr>
        <w:t>הרבי מוהריי"צ</w:t>
      </w:r>
      <w:r w:rsidRPr="00F146A6">
        <w:rPr>
          <w:rFonts w:ascii="Cambria" w:hAnsi="Cambria" w:cs="Cambria" w:hint="cs"/>
          <w:rtl/>
        </w:rPr>
        <w:t> </w:t>
      </w:r>
      <w:r w:rsidRPr="00F146A6">
        <w:rPr>
          <w:rFonts w:hint="cs"/>
          <w:rtl/>
        </w:rPr>
        <w:t>לבקש</w:t>
      </w:r>
      <w:r w:rsidRPr="00F146A6">
        <w:rPr>
          <w:rtl/>
        </w:rPr>
        <w:t xml:space="preserve"> </w:t>
      </w:r>
      <w:r w:rsidRPr="00F146A6">
        <w:rPr>
          <w:rFonts w:hint="cs"/>
          <w:rtl/>
        </w:rPr>
        <w:t>מחילה</w:t>
      </w:r>
      <w:r w:rsidRPr="00F146A6">
        <w:rPr>
          <w:rtl/>
        </w:rPr>
        <w:t xml:space="preserve"> </w:t>
      </w:r>
      <w:r w:rsidRPr="00F146A6">
        <w:rPr>
          <w:rFonts w:hint="cs"/>
          <w:rtl/>
        </w:rPr>
        <w:t>ממנה</w:t>
      </w:r>
      <w:r w:rsidRPr="00F146A6">
        <w:rPr>
          <w:rtl/>
        </w:rPr>
        <w:t xml:space="preserve"> </w:t>
      </w:r>
      <w:r w:rsidRPr="00F146A6">
        <w:rPr>
          <w:rFonts w:hint="cs"/>
          <w:rtl/>
        </w:rPr>
        <w:t>הרי</w:t>
      </w:r>
      <w:r w:rsidRPr="00F146A6">
        <w:rPr>
          <w:rtl/>
        </w:rPr>
        <w:t xml:space="preserve"> </w:t>
      </w:r>
      <w:r w:rsidRPr="00F146A6">
        <w:rPr>
          <w:rFonts w:hint="cs"/>
          <w:rtl/>
        </w:rPr>
        <w:t>ההחלטה</w:t>
      </w:r>
      <w:r w:rsidRPr="00F146A6">
        <w:rPr>
          <w:rtl/>
        </w:rPr>
        <w:t xml:space="preserve"> </w:t>
      </w:r>
      <w:r w:rsidRPr="00F146A6">
        <w:rPr>
          <w:rFonts w:hint="cs"/>
          <w:rtl/>
        </w:rPr>
        <w:t>היתה</w:t>
      </w:r>
      <w:r w:rsidRPr="00F146A6">
        <w:rPr>
          <w:rtl/>
        </w:rPr>
        <w:t xml:space="preserve"> </w:t>
      </w:r>
      <w:r w:rsidRPr="00F146A6">
        <w:rPr>
          <w:rFonts w:hint="cs"/>
          <w:rtl/>
        </w:rPr>
        <w:t>של</w:t>
      </w:r>
      <w:r w:rsidRPr="00F146A6">
        <w:rPr>
          <w:rtl/>
        </w:rPr>
        <w:t xml:space="preserve"> </w:t>
      </w:r>
      <w:r w:rsidRPr="00F146A6">
        <w:rPr>
          <w:rFonts w:hint="cs"/>
          <w:rtl/>
        </w:rPr>
        <w:t>אביו</w:t>
      </w:r>
      <w:r w:rsidRPr="00F146A6">
        <w:rPr>
          <w:rtl/>
        </w:rPr>
        <w:t xml:space="preserve"> </w:t>
      </w:r>
      <w:r w:rsidRPr="00F146A6">
        <w:rPr>
          <w:rFonts w:hint="cs"/>
          <w:rtl/>
        </w:rPr>
        <w:t>אדנ</w:t>
      </w:r>
      <w:r w:rsidRPr="00F146A6">
        <w:rPr>
          <w:rtl/>
        </w:rPr>
        <w:t>"</w:t>
      </w:r>
      <w:r w:rsidRPr="00F146A6">
        <w:rPr>
          <w:rFonts w:hint="cs"/>
          <w:rtl/>
        </w:rPr>
        <w:t>ע</w:t>
      </w:r>
      <w:r w:rsidRPr="00F146A6">
        <w:rPr>
          <w:rtl/>
        </w:rPr>
        <w:t xml:space="preserve"> ?</w:t>
      </w:r>
    </w:p>
    <w:p w:rsidR="00F146A6" w:rsidRDefault="00F146A6" w:rsidP="00F146A6">
      <w:pPr>
        <w:pStyle w:val="a3"/>
        <w:rPr>
          <w:rtl/>
        </w:rPr>
      </w:pPr>
      <w:r w:rsidRPr="00F146A6">
        <w:rPr>
          <w:rtl/>
        </w:rPr>
        <w:t>ואכן בשמועות וסיפורים חלק א עמ' 79 ואילך (הוצאת תש"נ) מובא סיפור זה באריכות ושם אכן כתוב</w:t>
      </w:r>
      <w:r w:rsidRPr="00F146A6">
        <w:rPr>
          <w:rFonts w:ascii="Cambria" w:hAnsi="Cambria" w:cs="Cambria" w:hint="cs"/>
          <w:rtl/>
        </w:rPr>
        <w:t> </w:t>
      </w:r>
      <w:r w:rsidRPr="00F146A6">
        <w:rPr>
          <w:b/>
          <w:bCs/>
          <w:rtl/>
        </w:rPr>
        <w:t>שאדמו"ר מוהרש"ב</w:t>
      </w:r>
      <w:r w:rsidRPr="00F146A6">
        <w:rPr>
          <w:rFonts w:ascii="Cambria" w:hAnsi="Cambria" w:cs="Cambria" w:hint="cs"/>
          <w:b/>
          <w:bCs/>
          <w:rtl/>
        </w:rPr>
        <w:t> </w:t>
      </w:r>
      <w:r w:rsidRPr="00F146A6">
        <w:rPr>
          <w:rtl/>
        </w:rPr>
        <w:t>ביקש מחילה מאמו על שלא שמע לדעתה בזה. (וראה שם כמה פרטים שונים בסיפור זה מהמובא בסה"ש).</w:t>
      </w:r>
    </w:p>
    <w:p w:rsidR="008E7D71" w:rsidRDefault="008E7D71" w:rsidP="008E7D71">
      <w:pPr>
        <w:pStyle w:val="a0"/>
        <w:bidi w:val="0"/>
        <w:rPr>
          <w:rtl/>
        </w:rPr>
      </w:pPr>
      <w:bookmarkStart w:id="218" w:name="_Toc43963162"/>
      <w:r>
        <w:rPr>
          <w:rFonts w:hint="cs"/>
          <w:rtl/>
        </w:rPr>
        <w:lastRenderedPageBreak/>
        <w:t>ה</w:t>
      </w:r>
      <w:r w:rsidRPr="00366594">
        <w:rPr>
          <w:rFonts w:hint="cs"/>
          <w:rtl/>
        </w:rPr>
        <w:t xml:space="preserve">סיום </w:t>
      </w:r>
      <w:r>
        <w:rPr>
          <w:rtl/>
        </w:rPr>
        <w:t>–</w:t>
      </w:r>
      <w:r>
        <w:rPr>
          <w:rFonts w:hint="cs"/>
          <w:rtl/>
        </w:rPr>
        <w:t xml:space="preserve"> ב'</w:t>
      </w:r>
      <w:r w:rsidRPr="00366594">
        <w:rPr>
          <w:rFonts w:hint="cs"/>
          <w:rtl/>
        </w:rPr>
        <w:t>רבש"ע</w:t>
      </w:r>
      <w:r>
        <w:rPr>
          <w:rFonts w:hint="cs"/>
          <w:rtl/>
        </w:rPr>
        <w:t>'</w:t>
      </w:r>
      <w:r w:rsidRPr="00366594">
        <w:rPr>
          <w:rFonts w:hint="cs"/>
          <w:rtl/>
        </w:rPr>
        <w:t xml:space="preserve"> דק"ש ו</w:t>
      </w:r>
      <w:r>
        <w:rPr>
          <w:rFonts w:hint="cs"/>
          <w:rtl/>
        </w:rPr>
        <w:t>ב'אלקי, עד שלא נוצרתי' ד</w:t>
      </w:r>
      <w:r w:rsidRPr="00366594">
        <w:rPr>
          <w:rFonts w:hint="cs"/>
          <w:rtl/>
        </w:rPr>
        <w:t>'על חטא'</w:t>
      </w:r>
      <w:bookmarkEnd w:id="218"/>
    </w:p>
    <w:p w:rsidR="008E7D71" w:rsidRPr="00290655" w:rsidRDefault="008E7D71" w:rsidP="00F146A6">
      <w:pPr>
        <w:pStyle w:val="a"/>
        <w:rPr>
          <w:rtl/>
        </w:rPr>
      </w:pPr>
      <w:bookmarkStart w:id="219" w:name="_Toc43963163"/>
      <w:r w:rsidRPr="00290655">
        <w:rPr>
          <w:rFonts w:hint="cs"/>
          <w:rtl/>
        </w:rPr>
        <w:t>הרב יוסף שמחה גינזבורג</w:t>
      </w:r>
      <w:bookmarkEnd w:id="219"/>
    </w:p>
    <w:p w:rsidR="008E7D71" w:rsidRDefault="008E7D71" w:rsidP="008E7D71">
      <w:pPr>
        <w:pStyle w:val="a1"/>
      </w:pPr>
      <w:r w:rsidRPr="00C60FEE">
        <w:rPr>
          <w:rFonts w:hint="cs"/>
          <w:rtl/>
        </w:rPr>
        <w:t xml:space="preserve">רב אזורי </w:t>
      </w:r>
      <w:r w:rsidRPr="00C60FEE">
        <w:rPr>
          <w:rtl/>
        </w:rPr>
        <w:t>–</w:t>
      </w:r>
      <w:r w:rsidRPr="00C60FEE">
        <w:rPr>
          <w:rFonts w:hint="cs"/>
          <w:rtl/>
        </w:rPr>
        <w:t xml:space="preserve"> עומר, אה"ק</w:t>
      </w:r>
    </w:p>
    <w:p w:rsidR="008E7D71" w:rsidRDefault="008E7D71" w:rsidP="00F146A6">
      <w:pPr>
        <w:pStyle w:val="a3"/>
        <w:rPr>
          <w:rtl/>
        </w:rPr>
      </w:pPr>
      <w:r>
        <w:rPr>
          <w:rFonts w:hint="cs"/>
          <w:rtl/>
        </w:rPr>
        <w:t>צריך להבין טעם השינויים שבין סיום נוסח שתי התפילות, הדומות זו לזו, בסידור אדמו"ר הזקן:</w:t>
      </w:r>
    </w:p>
    <w:p w:rsidR="008E7D71" w:rsidRDefault="008E7D71" w:rsidP="00F146A6">
      <w:pPr>
        <w:pStyle w:val="a3"/>
      </w:pPr>
      <w:r>
        <w:rPr>
          <w:rFonts w:hint="cs"/>
          <w:rtl/>
        </w:rPr>
        <w:t xml:space="preserve">ב'על חטא': "שלא אחטא עוד, ומה שחטאתי לפניך - מחוק ברחמיך הרבים..."                  </w:t>
      </w:r>
    </w:p>
    <w:p w:rsidR="008E7D71" w:rsidRPr="00366594" w:rsidRDefault="008E7D71" w:rsidP="00F146A6">
      <w:pPr>
        <w:pStyle w:val="a3"/>
        <w:rPr>
          <w:rtl/>
        </w:rPr>
      </w:pPr>
      <w:r>
        <w:rPr>
          <w:rFonts w:hint="cs"/>
          <w:rtl/>
        </w:rPr>
        <w:t xml:space="preserve">            ב'רבש"ע': "שלא אחטא עוד, </w:t>
      </w:r>
      <w:r w:rsidRPr="00366594">
        <w:rPr>
          <w:rFonts w:hint="cs"/>
          <w:rtl/>
        </w:rPr>
        <w:t>ולא אחזור בהם, ולא אשוב עוד להכעיסך, ולא  אעשה הרע</w:t>
      </w:r>
      <w:r>
        <w:rPr>
          <w:rFonts w:hint="cs"/>
          <w:rtl/>
        </w:rPr>
        <w:t xml:space="preserve"> </w:t>
      </w:r>
      <w:r w:rsidRPr="00366594">
        <w:rPr>
          <w:rFonts w:hint="cs"/>
          <w:rtl/>
        </w:rPr>
        <w:t>בעיניך</w:t>
      </w:r>
      <w:r>
        <w:rPr>
          <w:rFonts w:hint="cs"/>
          <w:rtl/>
        </w:rPr>
        <w:t xml:space="preserve">. </w:t>
      </w:r>
      <w:r w:rsidRPr="00DE0190">
        <w:rPr>
          <w:rFonts w:hint="cs"/>
          <w:rtl/>
        </w:rPr>
        <w:t>ומה שחטאתי לפניך.</w:t>
      </w:r>
      <w:r>
        <w:rPr>
          <w:rFonts w:hint="cs"/>
          <w:rtl/>
        </w:rPr>
        <w:t>.."</w:t>
      </w:r>
      <w:r w:rsidRPr="00366594">
        <w:rPr>
          <w:rFonts w:hint="cs"/>
          <w:rtl/>
        </w:rPr>
        <w:t xml:space="preserve">.               </w:t>
      </w:r>
    </w:p>
    <w:p w:rsidR="008E7D71" w:rsidRDefault="008E7D71" w:rsidP="00F146A6">
      <w:pPr>
        <w:pStyle w:val="a3"/>
      </w:pPr>
      <w:r>
        <w:rPr>
          <w:rFonts w:hint="cs"/>
          <w:rtl/>
        </w:rPr>
        <w:t xml:space="preserve">ב'על חטא': "ומה שחטאתי </w:t>
      </w:r>
      <w:r w:rsidRPr="00366594">
        <w:rPr>
          <w:rFonts w:hint="cs"/>
          <w:b/>
          <w:bCs/>
          <w:rtl/>
        </w:rPr>
        <w:t>לפניך</w:t>
      </w:r>
      <w:r>
        <w:rPr>
          <w:rFonts w:hint="cs"/>
          <w:rtl/>
        </w:rPr>
        <w:t xml:space="preserve">, מחוק ברחמיך הרבים, </w:t>
      </w:r>
      <w:r w:rsidRPr="00366594">
        <w:rPr>
          <w:rFonts w:hint="cs"/>
          <w:b/>
          <w:bCs/>
          <w:rtl/>
        </w:rPr>
        <w:t>אבל לא</w:t>
      </w:r>
      <w:r>
        <w:rPr>
          <w:rFonts w:hint="cs"/>
          <w:rtl/>
        </w:rPr>
        <w:t xml:space="preserve"> על ידי יסורים וחליים רעים".</w:t>
      </w:r>
    </w:p>
    <w:p w:rsidR="008E7D71" w:rsidRDefault="008E7D71" w:rsidP="00F146A6">
      <w:pPr>
        <w:pStyle w:val="a3"/>
      </w:pPr>
      <w:r>
        <w:rPr>
          <w:rFonts w:hint="cs"/>
          <w:rtl/>
        </w:rPr>
        <w:t xml:space="preserve">ב'רבש"ע': "ומה שחטאתי, מחוק ברחמיך הרבים, </w:t>
      </w:r>
      <w:r w:rsidRPr="00366594">
        <w:rPr>
          <w:rFonts w:hint="cs"/>
          <w:b/>
          <w:bCs/>
          <w:rtl/>
        </w:rPr>
        <w:t>ולא</w:t>
      </w:r>
      <w:r>
        <w:rPr>
          <w:rFonts w:hint="cs"/>
          <w:rtl/>
        </w:rPr>
        <w:t xml:space="preserve"> על ידי יסורים וחליים רעים".</w:t>
      </w:r>
    </w:p>
    <w:p w:rsidR="00364372" w:rsidRDefault="00364372" w:rsidP="0036437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710C70" w:rsidRDefault="00710C70" w:rsidP="00710C70">
      <w:pPr>
        <w:pStyle w:val="a0"/>
        <w:bidi w:val="0"/>
        <w:rPr>
          <w:rtl/>
        </w:rPr>
      </w:pPr>
      <w:bookmarkStart w:id="220" w:name="_Toc43963164"/>
      <w:r w:rsidRPr="009C3DF0">
        <w:rPr>
          <w:rFonts w:hint="cs"/>
          <w:rtl/>
        </w:rPr>
        <w:t>כמה הערות ב'סדר תרי"ג מצוות' שבתיקון ליל שבועות</w:t>
      </w:r>
      <w:bookmarkEnd w:id="220"/>
    </w:p>
    <w:p w:rsidR="00710C70" w:rsidRPr="00710C70" w:rsidRDefault="00710C70" w:rsidP="00F146A6">
      <w:pPr>
        <w:pStyle w:val="a"/>
        <w:rPr>
          <w:rtl/>
        </w:rPr>
      </w:pPr>
      <w:bookmarkStart w:id="221" w:name="_Toc43963165"/>
      <w:r>
        <w:rPr>
          <w:rtl/>
        </w:rPr>
        <w:t>הנ</w:t>
      </w:r>
      <w:r>
        <w:rPr>
          <w:rFonts w:hint="cs"/>
          <w:rtl/>
        </w:rPr>
        <w:t>"ל</w:t>
      </w:r>
      <w:bookmarkEnd w:id="221"/>
    </w:p>
    <w:p w:rsidR="00710C70" w:rsidRDefault="00710C70" w:rsidP="00F146A6">
      <w:pPr>
        <w:pStyle w:val="a3"/>
        <w:rPr>
          <w:rtl/>
        </w:rPr>
      </w:pPr>
      <w:r>
        <w:rPr>
          <w:rFonts w:hint="cs"/>
          <w:rtl/>
        </w:rPr>
        <w:t>סדר זה מופיע בכל נוסחאות ה'תיקון' שראיתי, האשכנזים והספרדים, ורשמתי ההערות על התיקון 'קריאי מועד המדוייק' הנדפס בסדרת 'איש מצליח' עם הערות ותיקוני הגר"מ מאזוז שליט"א (מהדורת תשס"ז).</w:t>
      </w:r>
    </w:p>
    <w:p w:rsidR="00710C70" w:rsidRDefault="00710C70" w:rsidP="00F146A6">
      <w:pPr>
        <w:pStyle w:val="a3"/>
        <w:rPr>
          <w:rtl/>
        </w:rPr>
      </w:pPr>
      <w:r>
        <w:rPr>
          <w:rFonts w:hint="cs"/>
          <w:rtl/>
        </w:rPr>
        <w:t>הרב מאזוז כתב (שם עמ' 135), שהמצוות שם מסודרות ע"פ דעת ס' החינוך שהוא בדרך-כלל כשיטת הרמב"ם.</w:t>
      </w:r>
    </w:p>
    <w:p w:rsidR="00710C70" w:rsidRDefault="00710C70" w:rsidP="00F146A6">
      <w:pPr>
        <w:pStyle w:val="a3"/>
        <w:rPr>
          <w:rtl/>
        </w:rPr>
      </w:pPr>
      <w:r>
        <w:rPr>
          <w:rFonts w:hint="cs"/>
          <w:rtl/>
        </w:rPr>
        <w:t>ואכתוב לפי מספרי המצוות שם:</w:t>
      </w:r>
    </w:p>
    <w:p w:rsidR="00710C70" w:rsidRDefault="00710C70" w:rsidP="00F146A6">
      <w:pPr>
        <w:pStyle w:val="a3"/>
        <w:rPr>
          <w:rtl/>
        </w:rPr>
      </w:pPr>
      <w:r w:rsidRPr="009C3DF0">
        <w:rPr>
          <w:rFonts w:hint="cs"/>
          <w:b/>
          <w:bCs/>
          <w:rtl/>
        </w:rPr>
        <w:t>ט</w:t>
      </w:r>
      <w:r>
        <w:rPr>
          <w:rFonts w:hint="cs"/>
          <w:rtl/>
        </w:rPr>
        <w:t xml:space="preserve">. "קידוש בכורות בארץ ישראל" ע"פ המבואר בכסף משנה, הל' בכורות פ"א ה"ה, לפי הנוסח הנכון בדברי הרמב"ם, הכוונה רק שאין </w:t>
      </w:r>
      <w:r>
        <w:rPr>
          <w:rFonts w:hint="cs"/>
          <w:u w:val="single"/>
          <w:rtl/>
        </w:rPr>
        <w:t>מ</w:t>
      </w:r>
      <w:r w:rsidRPr="009C3DF0">
        <w:rPr>
          <w:rFonts w:hint="cs"/>
          <w:u w:val="single"/>
          <w:rtl/>
        </w:rPr>
        <w:t>קר</w:t>
      </w:r>
      <w:r>
        <w:rPr>
          <w:rFonts w:hint="cs"/>
          <w:u w:val="single"/>
          <w:rtl/>
        </w:rPr>
        <w:t>י</w:t>
      </w:r>
      <w:r w:rsidRPr="009C3DF0">
        <w:rPr>
          <w:rFonts w:hint="cs"/>
          <w:u w:val="single"/>
          <w:rtl/>
        </w:rPr>
        <w:t>בים</w:t>
      </w:r>
      <w:r>
        <w:rPr>
          <w:rFonts w:hint="cs"/>
          <w:rtl/>
        </w:rPr>
        <w:t xml:space="preserve"> בכורות מחו"ל, אבל </w:t>
      </w:r>
      <w:r w:rsidRPr="009C3DF0">
        <w:rPr>
          <w:rFonts w:hint="cs"/>
          <w:u w:val="single"/>
          <w:rtl/>
        </w:rPr>
        <w:t xml:space="preserve">קדושת </w:t>
      </w:r>
      <w:r>
        <w:rPr>
          <w:rFonts w:hint="cs"/>
          <w:rtl/>
        </w:rPr>
        <w:t>בכור יש בהם.</w:t>
      </w:r>
    </w:p>
    <w:p w:rsidR="00710C70" w:rsidRDefault="00710C70" w:rsidP="00F146A6">
      <w:pPr>
        <w:pStyle w:val="a3"/>
        <w:rPr>
          <w:rtl/>
        </w:rPr>
      </w:pPr>
      <w:r w:rsidRPr="003F17F3">
        <w:rPr>
          <w:rFonts w:hint="cs"/>
          <w:b/>
          <w:bCs/>
          <w:rtl/>
        </w:rPr>
        <w:t>מא</w:t>
      </w:r>
      <w:r>
        <w:rPr>
          <w:rFonts w:hint="cs"/>
          <w:rtl/>
        </w:rPr>
        <w:t>. "שלא לפסוע על המזבח". הכוונה לפסיעה גסה, כמ"ש "אשר לא תגלה ערוותך עליו" (רמב"ם עשה פ. חינוך, מצוה מא).</w:t>
      </w:r>
    </w:p>
    <w:p w:rsidR="00710C70" w:rsidRDefault="00710C70" w:rsidP="00F146A6">
      <w:pPr>
        <w:pStyle w:val="a3"/>
        <w:rPr>
          <w:rtl/>
        </w:rPr>
      </w:pPr>
      <w:r w:rsidRPr="003F17F3">
        <w:rPr>
          <w:rFonts w:hint="cs"/>
          <w:b/>
          <w:bCs/>
          <w:rtl/>
        </w:rPr>
        <w:lastRenderedPageBreak/>
        <w:t>עח</w:t>
      </w:r>
      <w:r>
        <w:rPr>
          <w:rFonts w:hint="cs"/>
          <w:rtl/>
        </w:rPr>
        <w:t>. "שלא להקדים חוקי התבואות". הכוונה להפריש תרומות ומעשרות לפי סדר, ולא להקדים מעשר ראשון לתרומה גדולה וכדומה. (חינוך, מצוה עד).</w:t>
      </w:r>
    </w:p>
    <w:p w:rsidR="00710C70" w:rsidRDefault="00710C70" w:rsidP="00F146A6">
      <w:pPr>
        <w:pStyle w:val="a3"/>
        <w:rPr>
          <w:rtl/>
        </w:rPr>
      </w:pPr>
      <w:r w:rsidRPr="000436F7">
        <w:rPr>
          <w:rFonts w:hint="cs"/>
          <w:b/>
          <w:bCs/>
          <w:rtl/>
        </w:rPr>
        <w:t>רד</w:t>
      </w:r>
      <w:r>
        <w:rPr>
          <w:rFonts w:hint="cs"/>
          <w:rtl/>
        </w:rPr>
        <w:t xml:space="preserve">. "שלא </w:t>
      </w:r>
      <w:r w:rsidRPr="000436F7">
        <w:rPr>
          <w:rFonts w:hint="cs"/>
          <w:u w:val="single"/>
          <w:rtl/>
        </w:rPr>
        <w:t>לבוא</w:t>
      </w:r>
      <w:r>
        <w:rPr>
          <w:rFonts w:hint="cs"/>
          <w:rtl/>
        </w:rPr>
        <w:t xml:space="preserve"> על אשה ובתה". הכוונה שאם </w:t>
      </w:r>
      <w:r w:rsidRPr="000436F7">
        <w:rPr>
          <w:rFonts w:hint="cs"/>
          <w:u w:val="single"/>
          <w:rtl/>
        </w:rPr>
        <w:t>נשא</w:t>
      </w:r>
      <w:r>
        <w:rPr>
          <w:rFonts w:hint="cs"/>
          <w:rtl/>
        </w:rPr>
        <w:t xml:space="preserve"> אשה, אסור </w:t>
      </w:r>
      <w:r w:rsidRPr="000436F7">
        <w:rPr>
          <w:rFonts w:hint="cs"/>
          <w:u w:val="single"/>
          <w:rtl/>
        </w:rPr>
        <w:t xml:space="preserve">לבוא </w:t>
      </w:r>
      <w:r>
        <w:rPr>
          <w:rFonts w:hint="cs"/>
          <w:rtl/>
        </w:rPr>
        <w:t>על בתה, וכמו במצוה רז.</w:t>
      </w:r>
    </w:p>
    <w:p w:rsidR="00710C70" w:rsidRDefault="00710C70" w:rsidP="00F146A6">
      <w:pPr>
        <w:pStyle w:val="a3"/>
        <w:rPr>
          <w:rtl/>
        </w:rPr>
      </w:pPr>
      <w:r w:rsidRPr="009C3DF0">
        <w:rPr>
          <w:rFonts w:hint="cs"/>
          <w:b/>
          <w:bCs/>
          <w:rtl/>
        </w:rPr>
        <w:t>רז.</w:t>
      </w:r>
      <w:r>
        <w:rPr>
          <w:rFonts w:hint="cs"/>
          <w:rtl/>
        </w:rPr>
        <w:t xml:space="preserve"> "שלא </w:t>
      </w:r>
      <w:r w:rsidRPr="003F17F3">
        <w:rPr>
          <w:rFonts w:hint="cs"/>
          <w:u w:val="single"/>
          <w:rtl/>
        </w:rPr>
        <w:t>לבוא</w:t>
      </w:r>
      <w:r>
        <w:rPr>
          <w:rFonts w:hint="cs"/>
          <w:rtl/>
        </w:rPr>
        <w:t xml:space="preserve"> על שתי אחיות". אין נעשות ערווה זו לזו אלא בנישואין, לא בזנות - רמב"ם הל' איסורי ביאה פ"ב הי"ג. דהיינו שאם </w:t>
      </w:r>
      <w:r w:rsidRPr="003F17F3">
        <w:rPr>
          <w:rFonts w:hint="cs"/>
          <w:u w:val="single"/>
          <w:rtl/>
        </w:rPr>
        <w:t>נשא</w:t>
      </w:r>
      <w:r>
        <w:rPr>
          <w:rFonts w:hint="cs"/>
          <w:rtl/>
        </w:rPr>
        <w:t xml:space="preserve"> אחת מהן אז אסורה אחותה עליו (אפילו בלא נישואין, שהרי אין תופסין בה קידושין), אבל אם </w:t>
      </w:r>
      <w:r w:rsidRPr="003F17F3">
        <w:rPr>
          <w:rFonts w:hint="cs"/>
          <w:u w:val="single"/>
          <w:rtl/>
        </w:rPr>
        <w:t>בא</w:t>
      </w:r>
      <w:r w:rsidRPr="003F17F3">
        <w:rPr>
          <w:rFonts w:hint="cs"/>
          <w:rtl/>
        </w:rPr>
        <w:t xml:space="preserve"> </w:t>
      </w:r>
      <w:r>
        <w:rPr>
          <w:rFonts w:hint="cs"/>
          <w:rtl/>
        </w:rPr>
        <w:t>על אשה בזנות - לא נאסרה אחותה עליו.</w:t>
      </w:r>
    </w:p>
    <w:p w:rsidR="00710C70" w:rsidRDefault="00710C70" w:rsidP="00F146A6">
      <w:pPr>
        <w:pStyle w:val="a3"/>
        <w:rPr>
          <w:rtl/>
        </w:rPr>
      </w:pPr>
      <w:r w:rsidRPr="000436F7">
        <w:rPr>
          <w:rFonts w:hint="cs"/>
          <w:b/>
          <w:bCs/>
          <w:rtl/>
        </w:rPr>
        <w:t>רלה</w:t>
      </w:r>
      <w:r>
        <w:rPr>
          <w:rFonts w:hint="cs"/>
          <w:rtl/>
        </w:rPr>
        <w:t xml:space="preserve">. "שלא </w:t>
      </w:r>
      <w:r w:rsidRPr="000436F7">
        <w:rPr>
          <w:rFonts w:hint="cs"/>
          <w:u w:val="single"/>
          <w:rtl/>
        </w:rPr>
        <w:t>לישבע</w:t>
      </w:r>
      <w:r>
        <w:rPr>
          <w:rFonts w:hint="cs"/>
          <w:rtl/>
        </w:rPr>
        <w:t xml:space="preserve"> על כפירת ממון". </w:t>
      </w:r>
      <w:r w:rsidRPr="000436F7">
        <w:rPr>
          <w:rFonts w:hint="cs"/>
          <w:u w:val="single"/>
          <w:rtl/>
        </w:rPr>
        <w:t>בהכחשת</w:t>
      </w:r>
      <w:r>
        <w:rPr>
          <w:rFonts w:hint="cs"/>
          <w:rtl/>
        </w:rPr>
        <w:t xml:space="preserve"> ממון, גם בלא </w:t>
      </w:r>
      <w:r w:rsidRPr="000436F7">
        <w:rPr>
          <w:rFonts w:hint="cs"/>
          <w:u w:val="single"/>
          <w:rtl/>
        </w:rPr>
        <w:t>שבועה</w:t>
      </w:r>
      <w:r>
        <w:rPr>
          <w:rFonts w:hint="cs"/>
          <w:rtl/>
        </w:rPr>
        <w:t xml:space="preserve">, נפסל אדם לעדות (רמב"ם ל"ת רמח. חינוך, מצוה רכה). וא"כ צ"ל: "שלא </w:t>
      </w:r>
      <w:r w:rsidRPr="000436F7">
        <w:rPr>
          <w:rFonts w:hint="cs"/>
          <w:u w:val="single"/>
          <w:rtl/>
        </w:rPr>
        <w:t>לכפור</w:t>
      </w:r>
      <w:r>
        <w:rPr>
          <w:rFonts w:hint="cs"/>
          <w:rtl/>
        </w:rPr>
        <w:t xml:space="preserve"> ממון".</w:t>
      </w:r>
    </w:p>
    <w:p w:rsidR="00710C70" w:rsidRDefault="00710C70" w:rsidP="00F146A6">
      <w:pPr>
        <w:pStyle w:val="a3"/>
        <w:rPr>
          <w:rtl/>
        </w:rPr>
      </w:pPr>
      <w:r w:rsidRPr="000436F7">
        <w:rPr>
          <w:rFonts w:hint="cs"/>
          <w:b/>
          <w:bCs/>
          <w:rtl/>
        </w:rPr>
        <w:t>שנד</w:t>
      </w:r>
      <w:r>
        <w:rPr>
          <w:rFonts w:hint="cs"/>
          <w:rtl/>
        </w:rPr>
        <w:t xml:space="preserve">. "מצות מעריך בתים, שיתן הערך שיעריכנו הכהן בתוספת חומש". הכוונה למי </w:t>
      </w:r>
      <w:r w:rsidRPr="0059741B">
        <w:rPr>
          <w:rFonts w:hint="cs"/>
          <w:u w:val="single"/>
          <w:rtl/>
        </w:rPr>
        <w:t>שהקדיש</w:t>
      </w:r>
      <w:r>
        <w:rPr>
          <w:rFonts w:hint="cs"/>
          <w:rtl/>
        </w:rPr>
        <w:t xml:space="preserve"> את ביתו, שחייב </w:t>
      </w:r>
      <w:r w:rsidRPr="0059741B">
        <w:rPr>
          <w:rFonts w:hint="cs"/>
          <w:u w:val="single"/>
          <w:rtl/>
        </w:rPr>
        <w:t>לפדותו</w:t>
      </w:r>
      <w:r>
        <w:rPr>
          <w:rFonts w:hint="cs"/>
          <w:rtl/>
        </w:rPr>
        <w:t xml:space="preserve"> לפי הערכת הכהן בתוספת חומש (חינוך, מצוה שנד).</w:t>
      </w:r>
    </w:p>
    <w:p w:rsidR="00710C70" w:rsidRDefault="00710C70" w:rsidP="00F146A6">
      <w:pPr>
        <w:pStyle w:val="a3"/>
        <w:rPr>
          <w:rtl/>
        </w:rPr>
      </w:pPr>
      <w:r w:rsidRPr="0051593B">
        <w:rPr>
          <w:rFonts w:hint="cs"/>
          <w:b/>
          <w:bCs/>
          <w:rtl/>
        </w:rPr>
        <w:t>תכה.</w:t>
      </w:r>
      <w:r>
        <w:rPr>
          <w:rFonts w:hint="cs"/>
          <w:rtl/>
        </w:rPr>
        <w:t xml:space="preserve"> "שלא להתאוות". 'לא תחמוד' הוא כשעושה </w:t>
      </w:r>
      <w:r w:rsidRPr="0059741B">
        <w:rPr>
          <w:rFonts w:hint="cs"/>
          <w:u w:val="single"/>
          <w:rtl/>
        </w:rPr>
        <w:t>מעשה</w:t>
      </w:r>
      <w:r w:rsidRPr="0059741B">
        <w:rPr>
          <w:rFonts w:hint="cs"/>
          <w:rtl/>
        </w:rPr>
        <w:t xml:space="preserve"> </w:t>
      </w:r>
      <w:r>
        <w:rPr>
          <w:rFonts w:hint="cs"/>
          <w:rtl/>
        </w:rPr>
        <w:t xml:space="preserve">להשיג את החפץ שחומד, ואילו 'לא תתאווה' הוא </w:t>
      </w:r>
      <w:r w:rsidRPr="0059741B">
        <w:rPr>
          <w:rFonts w:hint="cs"/>
          <w:u w:val="single"/>
          <w:rtl/>
        </w:rPr>
        <w:t>כשחושב</w:t>
      </w:r>
      <w:r>
        <w:rPr>
          <w:rFonts w:hint="cs"/>
          <w:rtl/>
        </w:rPr>
        <w:t xml:space="preserve"> על התאווה ואיך להשיגה (חינוך, מצוות: לח, תטז).</w:t>
      </w:r>
    </w:p>
    <w:p w:rsidR="00710C70" w:rsidRDefault="00710C70" w:rsidP="00F146A6">
      <w:pPr>
        <w:pStyle w:val="a3"/>
        <w:rPr>
          <w:rtl/>
        </w:rPr>
      </w:pPr>
      <w:r w:rsidRPr="0051593B">
        <w:rPr>
          <w:rFonts w:hint="cs"/>
          <w:b/>
          <w:bCs/>
          <w:rtl/>
        </w:rPr>
        <w:t>תקל</w:t>
      </w:r>
      <w:r>
        <w:rPr>
          <w:rFonts w:hint="cs"/>
          <w:rtl/>
        </w:rPr>
        <w:t>. "וכן כל השחתה בכלל הלאו". בחינוך, מצוה תקכט בסופה, ש'השחתת אילן' היא דאורייתא, ואילו 'כל השחתה' היא דרבנן, וענשו מכת מרדות, וכן מפורש ברמב"ם הל' מלכים פ"ו ה"י. וכבר הקשו מסהמ"צ שלו, ל"ת נז, שכתב "לוקה" (סתם).</w:t>
      </w:r>
    </w:p>
    <w:p w:rsidR="00710C70" w:rsidRDefault="00710C70" w:rsidP="00F146A6">
      <w:pPr>
        <w:pStyle w:val="a3"/>
        <w:rPr>
          <w:rtl/>
        </w:rPr>
      </w:pPr>
      <w:r w:rsidRPr="0059741B">
        <w:rPr>
          <w:rFonts w:hint="cs"/>
          <w:b/>
          <w:bCs/>
          <w:rtl/>
        </w:rPr>
        <w:t>תקע</w:t>
      </w:r>
      <w:r>
        <w:rPr>
          <w:rFonts w:hint="cs"/>
          <w:rtl/>
        </w:rPr>
        <w:t>. "בשני מיני בהמה" הכוונה טהורה וטמאה יחד (חינוך, מצוה תק"נ).</w:t>
      </w:r>
    </w:p>
    <w:p w:rsidR="00710C70" w:rsidRDefault="00710C70" w:rsidP="00F146A6">
      <w:pPr>
        <w:pStyle w:val="a3"/>
      </w:pPr>
      <w:r w:rsidRPr="0059741B">
        <w:rPr>
          <w:rFonts w:hint="cs"/>
          <w:b/>
          <w:bCs/>
          <w:rtl/>
        </w:rPr>
        <w:t>תקפט</w:t>
      </w:r>
      <w:r>
        <w:rPr>
          <w:rFonts w:hint="cs"/>
          <w:rtl/>
        </w:rPr>
        <w:t>. "שלא יאכל השכיר בשעת מלאכה". הכוונה שלא יאכל "יתר על אכילתו" שהותרה (וחוייב בה המעביד) בפסוק (חינוך, מצוה תקע"ז).</w:t>
      </w:r>
    </w:p>
    <w:p w:rsidR="00521750" w:rsidRDefault="00364372" w:rsidP="00364372">
      <w:pPr>
        <w:tabs>
          <w:tab w:val="left" w:pos="2171"/>
          <w:tab w:val="center" w:pos="3096"/>
        </w:tabs>
        <w:bidi/>
        <w:spacing w:after="100" w:line="360" w:lineRule="auto"/>
        <w:ind w:firstLine="288"/>
        <w:jc w:val="center"/>
        <w:rPr>
          <w:rFonts w:ascii="Nymphette" w:eastAsia="Times New Roman" w:hAnsi="Nymphette" w:cs="Nymphette"/>
          <w:sz w:val="44"/>
          <w:szCs w:val="44"/>
        </w:rPr>
      </w:pPr>
      <w:r w:rsidRPr="000836F8">
        <w:rPr>
          <w:rFonts w:ascii="Nymphette" w:eastAsia="Times New Roman" w:hAnsi="Nymphette" w:cs="Nymphette"/>
          <w:sz w:val="44"/>
          <w:szCs w:val="44"/>
        </w:rPr>
        <w:t>g</w:t>
      </w:r>
    </w:p>
    <w:p w:rsidR="00521750" w:rsidRDefault="00521750">
      <w:pPr>
        <w:rPr>
          <w:rFonts w:ascii="Nymphette" w:eastAsia="Times New Roman" w:hAnsi="Nymphette" w:cs="Nymphette"/>
          <w:sz w:val="44"/>
          <w:szCs w:val="44"/>
        </w:rPr>
      </w:pPr>
    </w:p>
    <w:p w:rsidR="00710C70" w:rsidRPr="00285F4F" w:rsidRDefault="00710C70" w:rsidP="00710C70">
      <w:pPr>
        <w:pStyle w:val="a0"/>
        <w:bidi w:val="0"/>
        <w:rPr>
          <w:rtl/>
        </w:rPr>
      </w:pPr>
      <w:bookmarkStart w:id="222" w:name="_Toc43963166"/>
      <w:r w:rsidRPr="002A21F5">
        <w:rPr>
          <w:rStyle w:val="FootnoteReference"/>
          <w:b/>
          <w:rtl/>
        </w:rPr>
        <w:lastRenderedPageBreak/>
        <w:footnoteReference w:customMarkFollows="1" w:id="251"/>
        <w:sym w:font="Symbol" w:char="F02A"/>
      </w:r>
      <w:r w:rsidR="00F146A6" w:rsidRPr="00F146A6">
        <w:rPr>
          <w:rFonts w:hint="cs"/>
          <w:rtl/>
        </w:rPr>
        <w:t xml:space="preserve"> </w:t>
      </w:r>
      <w:r w:rsidR="00F146A6" w:rsidRPr="00285F4F">
        <w:rPr>
          <w:rFonts w:hint="cs"/>
          <w:rtl/>
        </w:rPr>
        <w:t>בעניין מחבר קונטרס 'רמ"ח אותיות'</w:t>
      </w:r>
      <w:bookmarkEnd w:id="222"/>
    </w:p>
    <w:p w:rsidR="00710C70" w:rsidRDefault="00710C70" w:rsidP="00F146A6">
      <w:pPr>
        <w:pStyle w:val="a"/>
        <w:rPr>
          <w:rtl/>
        </w:rPr>
      </w:pPr>
      <w:bookmarkStart w:id="223" w:name="_Toc43963167"/>
      <w:r>
        <w:rPr>
          <w:rFonts w:hint="cs"/>
          <w:rtl/>
        </w:rPr>
        <w:t>אשר זך</w:t>
      </w:r>
      <w:bookmarkEnd w:id="223"/>
    </w:p>
    <w:p w:rsidR="00710C70" w:rsidRDefault="00710C70" w:rsidP="00710C70">
      <w:pPr>
        <w:pStyle w:val="a1"/>
        <w:rPr>
          <w:rtl/>
        </w:rPr>
      </w:pPr>
      <w:r>
        <w:rPr>
          <w:rFonts w:hint="cs"/>
          <w:rtl/>
        </w:rPr>
        <w:t>תל אביב</w:t>
      </w:r>
    </w:p>
    <w:p w:rsidR="00710C70" w:rsidRDefault="00710C70" w:rsidP="00F146A6">
      <w:pPr>
        <w:pStyle w:val="a3"/>
        <w:rPr>
          <w:rtl/>
        </w:rPr>
      </w:pPr>
      <w:r>
        <w:rPr>
          <w:rFonts w:hint="cs"/>
          <w:rtl/>
        </w:rPr>
        <w:t>הקונטרס המפורסם בשם 'רמ"ח אותיות' זכה לשבחים מכמה כותבים, אלו שיבחו את האותנטיות שלו והעמידוהו בראש הקבלות החסידיות המהימנות.</w:t>
      </w:r>
      <w:r>
        <w:rPr>
          <w:rStyle w:val="FootnoteReference"/>
          <w:rtl/>
        </w:rPr>
        <w:footnoteReference w:id="252"/>
      </w:r>
      <w:r>
        <w:rPr>
          <w:rFonts w:hint="cs"/>
          <w:rtl/>
        </w:rPr>
        <w:t xml:space="preserve"> קונטרס זה הודפס מספר רב של פעמים, כמעט כולן בשכפול ובצמצום. בספר '</w:t>
      </w:r>
      <w:r>
        <w:rPr>
          <w:rtl/>
        </w:rPr>
        <w:t>ממעיני החסידות – שמות</w:t>
      </w:r>
      <w:r>
        <w:rPr>
          <w:rFonts w:hint="cs"/>
          <w:rtl/>
        </w:rPr>
        <w:t>', כפר חב"ד</w:t>
      </w:r>
      <w:r>
        <w:rPr>
          <w:rtl/>
        </w:rPr>
        <w:t xml:space="preserve"> תשמ"ב</w:t>
      </w:r>
      <w:r>
        <w:rPr>
          <w:rFonts w:hint="cs"/>
          <w:rtl/>
        </w:rPr>
        <w:t>, עמ' רח, ניתן תיאור לקונטרס זה, ונרשם בו "</w:t>
      </w:r>
      <w:r>
        <w:rPr>
          <w:rtl/>
        </w:rPr>
        <w:t>החוברת יצאה בשכפול (קאפיר) מספר פעמים, בארצות שונות, ע"י תלמידי ישיבות תומכי תמימים</w:t>
      </w:r>
      <w:r>
        <w:rPr>
          <w:rFonts w:hint="cs"/>
          <w:rtl/>
        </w:rPr>
        <w:t>", ואכן הוצאות רבות היו לו ולמנותם צריך</w:t>
      </w:r>
      <w:r>
        <w:rPr>
          <w:rtl/>
        </w:rPr>
        <w:t>.</w:t>
      </w:r>
    </w:p>
    <w:p w:rsidR="00710C70" w:rsidRDefault="00710C70" w:rsidP="00F146A6">
      <w:pPr>
        <w:pStyle w:val="a3"/>
        <w:rPr>
          <w:rtl/>
        </w:rPr>
      </w:pPr>
      <w:r>
        <w:rPr>
          <w:rFonts w:hint="cs"/>
          <w:rtl/>
        </w:rPr>
        <w:t xml:space="preserve">בקטלוג הממוחשב של ספריית אגו"ח נמצאות שלוש מהדורות של קונטרס זה. (א) </w:t>
      </w:r>
      <w:r w:rsidRPr="00E17645">
        <w:rPr>
          <w:rtl/>
        </w:rPr>
        <w:t>רמ</w:t>
      </w:r>
      <w:r>
        <w:rPr>
          <w:rFonts w:hint="cs"/>
          <w:rtl/>
        </w:rPr>
        <w:t>"</w:t>
      </w:r>
      <w:r w:rsidRPr="00E17645">
        <w:rPr>
          <w:rtl/>
        </w:rPr>
        <w:t>ח אותיות</w:t>
      </w:r>
      <w:r>
        <w:rPr>
          <w:rFonts w:hint="cs"/>
          <w:rtl/>
        </w:rPr>
        <w:t xml:space="preserve">, </w:t>
      </w:r>
      <w:r w:rsidRPr="00E17645">
        <w:rPr>
          <w:rtl/>
        </w:rPr>
        <w:t>חמ"ד חש"ד.</w:t>
      </w:r>
      <w:r>
        <w:rPr>
          <w:rStyle w:val="FootnoteReference"/>
          <w:rtl/>
        </w:rPr>
        <w:footnoteReference w:id="253"/>
      </w:r>
      <w:r>
        <w:rPr>
          <w:rFonts w:hint="cs"/>
          <w:rtl/>
        </w:rPr>
        <w:t xml:space="preserve"> (ב) </w:t>
      </w:r>
      <w:r w:rsidRPr="00E17645">
        <w:rPr>
          <w:rtl/>
        </w:rPr>
        <w:t>רמ</w:t>
      </w:r>
      <w:r>
        <w:rPr>
          <w:rFonts w:hint="cs"/>
          <w:rtl/>
        </w:rPr>
        <w:t>"</w:t>
      </w:r>
      <w:r w:rsidRPr="00E17645">
        <w:rPr>
          <w:rtl/>
        </w:rPr>
        <w:t>ח אותיות</w:t>
      </w:r>
      <w:r>
        <w:rPr>
          <w:rFonts w:hint="cs"/>
          <w:rtl/>
        </w:rPr>
        <w:t xml:space="preserve">, </w:t>
      </w:r>
      <w:r w:rsidRPr="00E17645">
        <w:rPr>
          <w:rtl/>
        </w:rPr>
        <w:t>ני</w:t>
      </w:r>
      <w:r>
        <w:rPr>
          <w:rFonts w:hint="cs"/>
          <w:rtl/>
        </w:rPr>
        <w:t>ו יורק</w:t>
      </w:r>
      <w:r w:rsidRPr="00E17645">
        <w:rPr>
          <w:rtl/>
        </w:rPr>
        <w:t xml:space="preserve"> תש</w:t>
      </w:r>
      <w:r>
        <w:rPr>
          <w:rFonts w:hint="cs"/>
          <w:rtl/>
        </w:rPr>
        <w:t>"</w:t>
      </w:r>
      <w:r w:rsidRPr="00E17645">
        <w:rPr>
          <w:rtl/>
        </w:rPr>
        <w:t>מ</w:t>
      </w:r>
      <w:r>
        <w:rPr>
          <w:rFonts w:hint="cs"/>
          <w:rtl/>
        </w:rPr>
        <w:t xml:space="preserve">. כנראה שכפול של מהדורת תשל"ג. (ג) </w:t>
      </w:r>
      <w:r w:rsidRPr="00E17645">
        <w:rPr>
          <w:rtl/>
        </w:rPr>
        <w:t>רמ"ח אותיות</w:t>
      </w:r>
      <w:r>
        <w:rPr>
          <w:rFonts w:hint="cs"/>
          <w:rtl/>
        </w:rPr>
        <w:t>, ניו יורק</w:t>
      </w:r>
      <w:r w:rsidRPr="00E17645">
        <w:rPr>
          <w:rtl/>
        </w:rPr>
        <w:t xml:space="preserve"> תשנ</w:t>
      </w:r>
      <w:r>
        <w:rPr>
          <w:rFonts w:hint="cs"/>
          <w:rtl/>
        </w:rPr>
        <w:t>"</w:t>
      </w:r>
      <w:r w:rsidRPr="00E17645">
        <w:rPr>
          <w:rtl/>
        </w:rPr>
        <w:t>א.</w:t>
      </w:r>
      <w:r>
        <w:rPr>
          <w:rFonts w:hint="cs"/>
          <w:rtl/>
        </w:rPr>
        <w:t xml:space="preserve"> אף הוא בתבנית מהדורת תשל"ג.</w:t>
      </w:r>
    </w:p>
    <w:p w:rsidR="00710C70" w:rsidRPr="00E17645" w:rsidRDefault="00710C70" w:rsidP="00F146A6">
      <w:pPr>
        <w:pStyle w:val="a3"/>
        <w:rPr>
          <w:rtl/>
        </w:rPr>
      </w:pPr>
      <w:r>
        <w:rPr>
          <w:rFonts w:hint="cs"/>
          <w:rtl/>
        </w:rPr>
        <w:t xml:space="preserve">בקטלוג הספרייה הלאומית נמצאות (א) </w:t>
      </w:r>
      <w:r w:rsidRPr="00E17645">
        <w:rPr>
          <w:rtl/>
        </w:rPr>
        <w:t>רשימות</w:t>
      </w:r>
      <w:r>
        <w:rPr>
          <w:rFonts w:hint="cs"/>
          <w:rtl/>
        </w:rPr>
        <w:t>,</w:t>
      </w:r>
      <w:r w:rsidRPr="00E17645">
        <w:rPr>
          <w:rtl/>
        </w:rPr>
        <w:t xml:space="preserve"> חוברת ה, </w:t>
      </w:r>
      <w:r>
        <w:rPr>
          <w:rFonts w:hint="cs"/>
          <w:rtl/>
        </w:rPr>
        <w:t>בני ברק</w:t>
      </w:r>
      <w:r w:rsidRPr="00E17645">
        <w:rPr>
          <w:rtl/>
        </w:rPr>
        <w:t xml:space="preserve"> תשל"ג</w:t>
      </w:r>
      <w:r>
        <w:rPr>
          <w:rFonts w:hint="cs"/>
          <w:rtl/>
        </w:rPr>
        <w:t xml:space="preserve"> (צילום מהדורה זו מופיע במאגר התורני הממוחשב 'אוצר החכמה'). (ב) רמ"ח אותיות, </w:t>
      </w:r>
      <w:r w:rsidRPr="00E326FC">
        <w:rPr>
          <w:rtl/>
        </w:rPr>
        <w:t>ניו יורק</w:t>
      </w:r>
      <w:r w:rsidRPr="00E326FC">
        <w:rPr>
          <w:rFonts w:hint="cs"/>
          <w:rtl/>
        </w:rPr>
        <w:t>,</w:t>
      </w:r>
      <w:r w:rsidRPr="00E326FC">
        <w:rPr>
          <w:rtl/>
        </w:rPr>
        <w:t xml:space="preserve"> </w:t>
      </w:r>
      <w:r w:rsidRPr="00E326FC">
        <w:rPr>
          <w:rFonts w:hint="cs"/>
          <w:rtl/>
        </w:rPr>
        <w:t xml:space="preserve">הוצאת </w:t>
      </w:r>
      <w:r w:rsidRPr="00E326FC">
        <w:rPr>
          <w:rtl/>
        </w:rPr>
        <w:t xml:space="preserve">מכון </w:t>
      </w:r>
      <w:r w:rsidRPr="00E326FC">
        <w:rPr>
          <w:rFonts w:hint="cs"/>
          <w:rtl/>
        </w:rPr>
        <w:t>'</w:t>
      </w:r>
      <w:r w:rsidRPr="00E326FC">
        <w:rPr>
          <w:rtl/>
        </w:rPr>
        <w:t>תורת חי</w:t>
      </w:r>
      <w:r w:rsidRPr="00E326FC">
        <w:rPr>
          <w:rFonts w:hint="cs"/>
          <w:rtl/>
        </w:rPr>
        <w:t>ים' בראשית שנות תש"ע</w:t>
      </w:r>
      <w:r w:rsidRPr="00E326FC">
        <w:rPr>
          <w:rtl/>
        </w:rPr>
        <w:t>.</w:t>
      </w:r>
      <w:r>
        <w:rPr>
          <w:rFonts w:hint="cs"/>
          <w:rtl/>
        </w:rPr>
        <w:t xml:space="preserve"> (ג) תשורה </w:t>
      </w:r>
      <w:r w:rsidRPr="00E17645">
        <w:rPr>
          <w:rtl/>
        </w:rPr>
        <w:t>רבינוביץ'</w:t>
      </w:r>
      <w:r>
        <w:rPr>
          <w:rFonts w:hint="cs"/>
          <w:rtl/>
        </w:rPr>
        <w:t>-וולף, ה' כסלו תשע"ב. כמה מהשינויים שבמהדורה זו הם על פי השינויים בתשורה וולף־גרינברג. במהדורה זו הושמטה מהפתיח התוספת על ר' הלל. בהתקנת מהדורה זו סייע ר' יהושע מונדשיין.</w:t>
      </w:r>
      <w:r w:rsidRPr="003C37C8">
        <w:rPr>
          <w:rFonts w:hint="cs"/>
          <w:rtl/>
        </w:rPr>
        <w:t xml:space="preserve"> </w:t>
      </w:r>
      <w:r>
        <w:rPr>
          <w:rFonts w:hint="cs"/>
          <w:rtl/>
        </w:rPr>
        <w:t>(ד) כתבי</w:t>
      </w:r>
      <w:r>
        <w:rPr>
          <w:rtl/>
        </w:rPr>
        <w:t xml:space="preserve"> הרש"ג על התניא</w:t>
      </w:r>
      <w:r>
        <w:rPr>
          <w:rFonts w:hint="cs"/>
          <w:rtl/>
        </w:rPr>
        <w:t>, תשע"ו.</w:t>
      </w:r>
      <w:r>
        <w:rPr>
          <w:rStyle w:val="FootnoteReference"/>
          <w:rtl/>
        </w:rPr>
        <w:footnoteReference w:id="254"/>
      </w:r>
    </w:p>
    <w:p w:rsidR="00710C70" w:rsidRPr="00E17645" w:rsidRDefault="00710C70" w:rsidP="00F146A6">
      <w:pPr>
        <w:pStyle w:val="a3"/>
        <w:rPr>
          <w:rtl/>
        </w:rPr>
      </w:pPr>
      <w:r>
        <w:rPr>
          <w:rFonts w:hint="cs"/>
          <w:rtl/>
        </w:rPr>
        <w:t xml:space="preserve">בנוסף קיימת מהדורה נוספת שאינה נמצאת בשתי הספריות האמורות. </w:t>
      </w:r>
      <w:r w:rsidRPr="00E17645">
        <w:rPr>
          <w:rtl/>
        </w:rPr>
        <w:t>רמ"ח אותיות</w:t>
      </w:r>
      <w:r>
        <w:rPr>
          <w:rFonts w:hint="cs"/>
          <w:rtl/>
        </w:rPr>
        <w:t xml:space="preserve">, בתוך: תשורה </w:t>
      </w:r>
      <w:r w:rsidRPr="00E17645">
        <w:rPr>
          <w:rtl/>
        </w:rPr>
        <w:t>וולף</w:t>
      </w:r>
      <w:r>
        <w:rPr>
          <w:rFonts w:hint="cs"/>
          <w:rtl/>
        </w:rPr>
        <w:t>־גרינברג</w:t>
      </w:r>
      <w:r w:rsidRPr="00E17645">
        <w:rPr>
          <w:rtl/>
        </w:rPr>
        <w:t xml:space="preserve">, </w:t>
      </w:r>
      <w:r>
        <w:rPr>
          <w:rFonts w:hint="cs"/>
          <w:rtl/>
        </w:rPr>
        <w:t>א'</w:t>
      </w:r>
      <w:r w:rsidRPr="00E17645">
        <w:rPr>
          <w:rtl/>
        </w:rPr>
        <w:t xml:space="preserve"> ניסן תש"ס, עמ' 13</w:t>
      </w:r>
      <w:r>
        <w:rPr>
          <w:rFonts w:hint="cs"/>
          <w:rtl/>
        </w:rPr>
        <w:t>־</w:t>
      </w:r>
      <w:r w:rsidRPr="00E17645">
        <w:rPr>
          <w:rtl/>
        </w:rPr>
        <w:t>44</w:t>
      </w:r>
      <w:r>
        <w:rPr>
          <w:rFonts w:hint="cs"/>
          <w:rtl/>
        </w:rPr>
        <w:t xml:space="preserve">. במהדורה זו נעשה </w:t>
      </w:r>
      <w:r>
        <w:rPr>
          <w:rFonts w:hint="cs"/>
          <w:rtl/>
        </w:rPr>
        <w:lastRenderedPageBreak/>
        <w:t>שינוי בסדר הסיפורים. כאן נשמרה התוספת על ר' הלל.</w:t>
      </w:r>
    </w:p>
    <w:p w:rsidR="00710C70" w:rsidRDefault="00710C70" w:rsidP="00F146A6">
      <w:pPr>
        <w:pStyle w:val="a3"/>
        <w:rPr>
          <w:rtl/>
        </w:rPr>
      </w:pPr>
      <w:r>
        <w:rPr>
          <w:rFonts w:hint="cs"/>
          <w:rtl/>
        </w:rPr>
        <w:t xml:space="preserve">יש גם את </w:t>
      </w:r>
      <w:r w:rsidRPr="00E17645">
        <w:rPr>
          <w:rtl/>
        </w:rPr>
        <w:t>קובץ</w:t>
      </w:r>
      <w:r>
        <w:rPr>
          <w:rFonts w:ascii="Times New Roman" w:hAnsi="Times New Roman" w:cs="Times New Roman" w:hint="cs"/>
          <w:rtl/>
        </w:rPr>
        <w:t>‏‏</w:t>
      </w:r>
      <w:r>
        <w:rPr>
          <w:rFonts w:hint="cs"/>
          <w:rtl/>
        </w:rPr>
        <w:t xml:space="preserve"> </w:t>
      </w:r>
      <w:r w:rsidRPr="00E17645">
        <w:rPr>
          <w:rtl/>
        </w:rPr>
        <w:t>מרחפ"ת</w:t>
      </w:r>
      <w:r>
        <w:rPr>
          <w:rFonts w:hint="cs"/>
          <w:rtl/>
        </w:rPr>
        <w:t>. נזכר בכמה מקומות כי הוא מכיל בתוכו את קונטרס רמ"ח אותיות.</w:t>
      </w:r>
      <w:r w:rsidRPr="0068338C">
        <w:rPr>
          <w:rFonts w:hint="cs"/>
          <w:rtl/>
        </w:rPr>
        <w:t xml:space="preserve"> </w:t>
      </w:r>
      <w:r>
        <w:rPr>
          <w:rFonts w:hint="cs"/>
          <w:rtl/>
        </w:rPr>
        <w:t>קונטרס זה לא ראיתיו. לא מצאתי פרטים שיאששו את קיומה של מהדורה זו.</w:t>
      </w:r>
    </w:p>
    <w:p w:rsidR="00710C70" w:rsidRDefault="00710C70" w:rsidP="00F146A6">
      <w:pPr>
        <w:pStyle w:val="a3"/>
        <w:rPr>
          <w:rtl/>
        </w:rPr>
      </w:pPr>
      <w:r>
        <w:rPr>
          <w:rFonts w:hint="cs"/>
          <w:rtl/>
        </w:rPr>
        <w:t>כמדומה שבכולם ייחסו את הסיפורים והפתגמים לר' שמואל גרונם אסתרמן, אך זה שגוי, כפי שמוכח מהרשימות עצמן.</w:t>
      </w:r>
    </w:p>
    <w:p w:rsidR="00710C70" w:rsidRPr="006357E7" w:rsidRDefault="00710C70" w:rsidP="00F146A6">
      <w:pPr>
        <w:pStyle w:val="a3"/>
        <w:rPr>
          <w:rtl/>
        </w:rPr>
      </w:pPr>
      <w:r w:rsidRPr="006357E7">
        <w:rPr>
          <w:rFonts w:hint="cs"/>
          <w:rtl/>
        </w:rPr>
        <w:t>הסיפורים ו</w:t>
      </w:r>
      <w:r>
        <w:rPr>
          <w:rFonts w:hint="cs"/>
          <w:rtl/>
        </w:rPr>
        <w:t>ה</w:t>
      </w:r>
      <w:r w:rsidRPr="006357E7">
        <w:rPr>
          <w:rFonts w:hint="cs"/>
          <w:rtl/>
        </w:rPr>
        <w:t>פתגמים שבקונטרס זה</w:t>
      </w:r>
      <w:r>
        <w:rPr>
          <w:rFonts w:hint="cs"/>
          <w:rtl/>
        </w:rPr>
        <w:t xml:space="preserve"> </w:t>
      </w:r>
      <w:r w:rsidRPr="006357E7">
        <w:rPr>
          <w:rFonts w:hint="cs"/>
          <w:rtl/>
        </w:rPr>
        <w:t>נרשמו ע</w:t>
      </w:r>
      <w:r>
        <w:rPr>
          <w:rFonts w:hint="cs"/>
          <w:rtl/>
        </w:rPr>
        <w:t>ל ידי</w:t>
      </w:r>
      <w:r w:rsidRPr="006357E7">
        <w:rPr>
          <w:rFonts w:hint="cs"/>
          <w:rtl/>
        </w:rPr>
        <w:t xml:space="preserve"> אחד מתלמידי </w:t>
      </w:r>
      <w:r>
        <w:rPr>
          <w:rFonts w:hint="cs"/>
          <w:rtl/>
        </w:rPr>
        <w:t>ישיבת</w:t>
      </w:r>
      <w:r w:rsidRPr="006357E7">
        <w:rPr>
          <w:rFonts w:hint="cs"/>
          <w:rtl/>
        </w:rPr>
        <w:t xml:space="preserve"> תומכי תמימים ליובאוויטש.</w:t>
      </w:r>
      <w:r>
        <w:rPr>
          <w:rFonts w:hint="cs"/>
          <w:rtl/>
        </w:rPr>
        <w:t xml:space="preserve"> </w:t>
      </w:r>
      <w:r w:rsidRPr="006357E7">
        <w:rPr>
          <w:rFonts w:hint="cs"/>
          <w:rtl/>
        </w:rPr>
        <w:t xml:space="preserve">זהות התלמיד כותב הסיפורים לא נודעה בבירור, </w:t>
      </w:r>
      <w:r>
        <w:rPr>
          <w:rFonts w:hint="cs"/>
          <w:rtl/>
        </w:rPr>
        <w:t>ויש הסבורים כי אין</w:t>
      </w:r>
      <w:r w:rsidRPr="006357E7">
        <w:rPr>
          <w:rFonts w:hint="cs"/>
          <w:rtl/>
        </w:rPr>
        <w:t xml:space="preserve"> בעובדה זו למעט בערכן של השמועות והאמרות המופיעות בקובץ זה, מפני </w:t>
      </w:r>
      <w:r>
        <w:rPr>
          <w:rFonts w:hint="cs"/>
          <w:rtl/>
        </w:rPr>
        <w:t>ה</w:t>
      </w:r>
      <w:r w:rsidRPr="006357E7">
        <w:rPr>
          <w:rFonts w:hint="cs"/>
          <w:rtl/>
        </w:rPr>
        <w:t>או</w:t>
      </w:r>
      <w:r>
        <w:rPr>
          <w:rFonts w:hint="cs"/>
          <w:rtl/>
        </w:rPr>
        <w:t>ת</w:t>
      </w:r>
      <w:r w:rsidRPr="006357E7">
        <w:rPr>
          <w:rFonts w:hint="cs"/>
          <w:rtl/>
        </w:rPr>
        <w:t>נ</w:t>
      </w:r>
      <w:r>
        <w:rPr>
          <w:rFonts w:hint="cs"/>
          <w:rtl/>
        </w:rPr>
        <w:t>ט</w:t>
      </w:r>
      <w:r w:rsidRPr="006357E7">
        <w:rPr>
          <w:rFonts w:hint="cs"/>
          <w:rtl/>
        </w:rPr>
        <w:t>יות</w:t>
      </w:r>
      <w:r>
        <w:rPr>
          <w:rFonts w:hint="cs"/>
          <w:rtl/>
        </w:rPr>
        <w:t xml:space="preserve"> הטבועה בסיפורים, </w:t>
      </w:r>
      <w:r w:rsidRPr="006357E7">
        <w:rPr>
          <w:rFonts w:hint="cs"/>
          <w:rtl/>
        </w:rPr>
        <w:t xml:space="preserve">שנרשמו בעת יצאו הדברים מפי אומרם, או </w:t>
      </w:r>
      <w:r>
        <w:rPr>
          <w:rFonts w:hint="cs"/>
          <w:rtl/>
        </w:rPr>
        <w:t xml:space="preserve">גם </w:t>
      </w:r>
      <w:r w:rsidRPr="006357E7">
        <w:rPr>
          <w:rFonts w:hint="cs"/>
          <w:rtl/>
        </w:rPr>
        <w:t xml:space="preserve">התרחשויות </w:t>
      </w:r>
      <w:r>
        <w:rPr>
          <w:rFonts w:hint="cs"/>
          <w:rtl/>
        </w:rPr>
        <w:t>ש</w:t>
      </w:r>
      <w:r w:rsidRPr="006357E7">
        <w:rPr>
          <w:rFonts w:hint="cs"/>
          <w:rtl/>
        </w:rPr>
        <w:t xml:space="preserve">הכותב </w:t>
      </w:r>
      <w:r>
        <w:rPr>
          <w:rFonts w:hint="cs"/>
          <w:rtl/>
        </w:rPr>
        <w:t xml:space="preserve">היה </w:t>
      </w:r>
      <w:r w:rsidRPr="006357E7">
        <w:rPr>
          <w:rFonts w:hint="cs"/>
          <w:rtl/>
        </w:rPr>
        <w:t xml:space="preserve">עד להם </w:t>
      </w:r>
      <w:r>
        <w:rPr>
          <w:rFonts w:hint="cs"/>
          <w:rtl/>
        </w:rPr>
        <w:t>וכתבם</w:t>
      </w:r>
      <w:r w:rsidRPr="006357E7">
        <w:rPr>
          <w:rFonts w:hint="cs"/>
          <w:rtl/>
        </w:rPr>
        <w:t xml:space="preserve"> לז</w:t>
      </w:r>
      <w:r>
        <w:rPr>
          <w:rFonts w:hint="cs"/>
          <w:rtl/>
        </w:rPr>
        <w:t>י</w:t>
      </w:r>
      <w:r w:rsidRPr="006357E7">
        <w:rPr>
          <w:rFonts w:hint="cs"/>
          <w:rtl/>
        </w:rPr>
        <w:t>כרון.</w:t>
      </w:r>
    </w:p>
    <w:p w:rsidR="00710C70" w:rsidRPr="00842F48" w:rsidRDefault="00710C70" w:rsidP="00F146A6">
      <w:pPr>
        <w:pStyle w:val="a3"/>
        <w:rPr>
          <w:rtl/>
        </w:rPr>
      </w:pPr>
      <w:r w:rsidRPr="00842F48">
        <w:rPr>
          <w:rFonts w:hint="cs"/>
          <w:rtl/>
        </w:rPr>
        <w:t>ר' יהושע מונדשיין כתב</w:t>
      </w:r>
      <w:r>
        <w:rPr>
          <w:rFonts w:hint="cs"/>
          <w:rtl/>
        </w:rPr>
        <w:t xml:space="preserve"> לזהות את הכותב עם הרב שאול דובער זיסלין (קריסלבה</w:t>
      </w:r>
      <w:r w:rsidRPr="003F68E5">
        <w:rPr>
          <w:rFonts w:hint="cs"/>
          <w:rtl/>
        </w:rPr>
        <w:t>, ח</w:t>
      </w:r>
      <w:r>
        <w:rPr>
          <w:rtl/>
        </w:rPr>
        <w:t>'</w:t>
      </w:r>
      <w:r w:rsidRPr="003F68E5">
        <w:rPr>
          <w:rFonts w:hint="cs"/>
          <w:rtl/>
        </w:rPr>
        <w:t xml:space="preserve"> מר־חשון תרמ</w:t>
      </w:r>
      <w:r>
        <w:rPr>
          <w:rtl/>
        </w:rPr>
        <w:t>"</w:t>
      </w:r>
      <w:r w:rsidRPr="003F68E5">
        <w:rPr>
          <w:rFonts w:hint="cs"/>
          <w:rtl/>
        </w:rPr>
        <w:t xml:space="preserve">ב </w:t>
      </w:r>
      <w:r>
        <w:rPr>
          <w:rtl/>
        </w:rPr>
        <w:t>–</w:t>
      </w:r>
      <w:r w:rsidRPr="003F68E5">
        <w:rPr>
          <w:rFonts w:hint="cs"/>
          <w:rtl/>
        </w:rPr>
        <w:t xml:space="preserve"> </w:t>
      </w:r>
      <w:r>
        <w:rPr>
          <w:rFonts w:hint="cs"/>
          <w:rtl/>
        </w:rPr>
        <w:t>תל</w:t>
      </w:r>
      <w:r>
        <w:rPr>
          <w:rFonts w:ascii="Times New Roman" w:hAnsi="Times New Roman" w:cs="Times New Roman" w:hint="cs"/>
          <w:rtl/>
        </w:rPr>
        <w:t>‏</w:t>
      </w:r>
      <w:r>
        <w:rPr>
          <w:rFonts w:hint="cs"/>
          <w:rtl/>
        </w:rPr>
        <w:t>־אביב</w:t>
      </w:r>
      <w:r w:rsidRPr="003F68E5">
        <w:rPr>
          <w:rFonts w:hint="cs"/>
          <w:rtl/>
        </w:rPr>
        <w:t xml:space="preserve">, </w:t>
      </w:r>
      <w:r>
        <w:rPr>
          <w:rFonts w:hint="cs"/>
          <w:rtl/>
        </w:rPr>
        <w:t>י</w:t>
      </w:r>
      <w:r>
        <w:rPr>
          <w:rtl/>
        </w:rPr>
        <w:t>"</w:t>
      </w:r>
      <w:r>
        <w:rPr>
          <w:rFonts w:hint="cs"/>
          <w:rtl/>
        </w:rPr>
        <w:t xml:space="preserve">ב סיון </w:t>
      </w:r>
      <w:r w:rsidRPr="003F68E5">
        <w:rPr>
          <w:rFonts w:hint="cs"/>
          <w:rtl/>
        </w:rPr>
        <w:t>תשכ</w:t>
      </w:r>
      <w:r>
        <w:rPr>
          <w:rtl/>
        </w:rPr>
        <w:t>"</w:t>
      </w:r>
      <w:r w:rsidRPr="003F68E5">
        <w:rPr>
          <w:rFonts w:hint="cs"/>
          <w:rtl/>
        </w:rPr>
        <w:t>ג</w:t>
      </w:r>
      <w:r>
        <w:rPr>
          <w:rFonts w:hint="cs"/>
          <w:rtl/>
        </w:rPr>
        <w:t>),</w:t>
      </w:r>
      <w:r w:rsidRPr="00842F48">
        <w:rPr>
          <w:vertAlign w:val="superscript"/>
          <w:rtl/>
        </w:rPr>
        <w:footnoteReference w:id="255"/>
      </w:r>
      <w:r>
        <w:rPr>
          <w:rFonts w:hint="cs"/>
          <w:rtl/>
        </w:rPr>
        <w:t xml:space="preserve"> שלמד בתומכי תמימים עד חורף תרס"ח.</w:t>
      </w:r>
      <w:r>
        <w:rPr>
          <w:rStyle w:val="FootnoteReference"/>
          <w:rtl/>
        </w:rPr>
        <w:footnoteReference w:id="256"/>
      </w:r>
      <w:r>
        <w:rPr>
          <w:rFonts w:hint="cs"/>
          <w:rtl/>
        </w:rPr>
        <w:t xml:space="preserve"> בהמשך שימש כמשפיע בתומכי תמימים בסניף בשצ'דרין. בהמשך עזב תפקיד זה לטובת רבנות בכמה עיירות ברוסיה, ובערוב ימיו שימש כרב שכונת 'מאה שערים' בתל־אביב</w:t>
      </w:r>
      <w:r w:rsidRPr="00842F48">
        <w:rPr>
          <w:rFonts w:hint="cs"/>
          <w:rtl/>
        </w:rPr>
        <w:t>.</w:t>
      </w:r>
    </w:p>
    <w:p w:rsidR="00710C70" w:rsidRPr="00710C70" w:rsidRDefault="00710C70" w:rsidP="00F146A6">
      <w:pPr>
        <w:pStyle w:val="a3"/>
      </w:pPr>
      <w:r w:rsidRPr="00710C70">
        <w:rPr>
          <w:rFonts w:hint="cs"/>
          <w:rtl/>
        </w:rPr>
        <w:t xml:space="preserve">הביסוס להשערתו זו של ר' יהושע מונדשיין </w:t>
      </w:r>
      <w:r w:rsidRPr="00710C70">
        <w:rPr>
          <w:rtl/>
        </w:rPr>
        <w:t>נִפְרַט</w:t>
      </w:r>
      <w:r w:rsidRPr="00710C70">
        <w:rPr>
          <w:rFonts w:hint="cs"/>
          <w:rtl/>
        </w:rPr>
        <w:t xml:space="preserve"> במקום אחר: "יש לשער שקונטרס 'רמ"ח אותיות' ['פתגמין קדישין מק"ק רבותינו הק' וזקני חסידי חב"ד', 'נרשמו מפי המשפיע הרה"ח ר' גרונם נ"ע'] הוא מפרי עטו של הרב זיסלין מאשר שמע מפי ר' גרונם. השערה זו מתבססת על-סמך אחד ממכתביו של הרב זיסלין אל אדמו"ר מוהריי"צ שבתגובה לבקשתו להעלות על הכתב את הסיפורים שבזכרונו,</w:t>
      </w:r>
      <w:r w:rsidRPr="00710C70">
        <w:rPr>
          <w:rStyle w:val="FootnoteReference"/>
          <w:vertAlign w:val="baseline"/>
          <w:rtl/>
        </w:rPr>
        <w:footnoteReference w:id="257"/>
      </w:r>
      <w:r w:rsidRPr="00710C70">
        <w:rPr>
          <w:rFonts w:hint="cs"/>
          <w:rtl/>
        </w:rPr>
        <w:t xml:space="preserve"> השיב כי את הסיפורים כבר העלה על הכתב בעבר וההעתקות נפוצו למכביר בין אנ"ש. ומאחר ולא מצינו רשימות אחרות שנפוצו בין אנ"ש, יש לשער שהוא הוא בעל </w:t>
      </w:r>
      <w:r w:rsidRPr="00710C70">
        <w:rPr>
          <w:rFonts w:hint="cs"/>
          <w:rtl/>
        </w:rPr>
        <w:lastRenderedPageBreak/>
        <w:t>ה'רמ"ח אותיות'".</w:t>
      </w:r>
      <w:r w:rsidRPr="00710C70">
        <w:rPr>
          <w:rStyle w:val="FootnoteReference"/>
          <w:vertAlign w:val="baseline"/>
          <w:rtl/>
        </w:rPr>
        <w:footnoteReference w:id="258"/>
      </w:r>
    </w:p>
    <w:p w:rsidR="00710C70" w:rsidRPr="006357E7" w:rsidRDefault="00710C70" w:rsidP="00F146A6">
      <w:pPr>
        <w:pStyle w:val="a3"/>
        <w:rPr>
          <w:rtl/>
        </w:rPr>
      </w:pPr>
      <w:r w:rsidRPr="006357E7">
        <w:rPr>
          <w:rFonts w:hint="cs"/>
          <w:rtl/>
        </w:rPr>
        <w:t>ניכר מתוך הרשימות עצמן באיזהו מקומן שיש לייחסן אל הרב ר' שאול דובער זיסלין, מתאים עם השערתו זו. ואפרט</w:t>
      </w:r>
      <w:r>
        <w:rPr>
          <w:rFonts w:hint="cs"/>
          <w:rtl/>
        </w:rPr>
        <w:t xml:space="preserve"> שתי דוגמאות</w:t>
      </w:r>
      <w:r w:rsidRPr="006357E7">
        <w:rPr>
          <w:rFonts w:hint="cs"/>
          <w:rtl/>
        </w:rPr>
        <w:t>:</w:t>
      </w:r>
    </w:p>
    <w:p w:rsidR="00710C70" w:rsidRPr="00710C70" w:rsidRDefault="00710C70" w:rsidP="00F146A6">
      <w:pPr>
        <w:pStyle w:val="a3"/>
        <w:rPr>
          <w:rtl/>
        </w:rPr>
      </w:pPr>
      <w:r w:rsidRPr="006357E7">
        <w:rPr>
          <w:rFonts w:hint="cs"/>
          <w:rtl/>
        </w:rPr>
        <w:t>ברמ"ח אותיות (אות קפד) מסופ</w:t>
      </w:r>
      <w:r w:rsidRPr="00710C70">
        <w:rPr>
          <w:rFonts w:hint="cs"/>
          <w:rtl/>
        </w:rPr>
        <w:t>ר: "</w:t>
      </w:r>
      <w:r w:rsidRPr="00710C70">
        <w:rPr>
          <w:rtl/>
        </w:rPr>
        <w:t>אד"ש אמר ליצחק מוורשא שחטף שיריים, מי מאכט הייליג די בלאטע און מ'קריכט אין איהר; ס'ווילט זיך קריכען אין בלאטע נאר עס פסאט ניט, מאכט מען איהר הייליג און מען קריכט אין איהר.</w:t>
      </w:r>
      <w:r w:rsidRPr="00710C70">
        <w:rPr>
          <w:rFonts w:hint="cs"/>
          <w:rtl/>
        </w:rPr>
        <w:t xml:space="preserve"> [=מקדשים את הבִּיצה ומתפלשים בה; רוצים להתפלש בביצה אך זה לא מתאים, אזי מקדשים אותה ומתפלשים בה]".</w:t>
      </w:r>
    </w:p>
    <w:p w:rsidR="00710C70" w:rsidRPr="006357E7" w:rsidRDefault="00710C70" w:rsidP="00F146A6">
      <w:pPr>
        <w:pStyle w:val="a3"/>
        <w:rPr>
          <w:rtl/>
        </w:rPr>
      </w:pPr>
      <w:r>
        <w:rPr>
          <w:rFonts w:hint="cs"/>
          <w:rtl/>
        </w:rPr>
        <w:t xml:space="preserve">תוכן </w:t>
      </w:r>
      <w:r w:rsidRPr="006357E7">
        <w:rPr>
          <w:rFonts w:hint="cs"/>
          <w:rtl/>
        </w:rPr>
        <w:t>סיפור זה נרשם גם ע</w:t>
      </w:r>
      <w:r>
        <w:rPr>
          <w:rFonts w:hint="cs"/>
          <w:rtl/>
        </w:rPr>
        <w:t xml:space="preserve">ל </w:t>
      </w:r>
      <w:r w:rsidRPr="006357E7">
        <w:rPr>
          <w:rFonts w:hint="cs"/>
          <w:rtl/>
        </w:rPr>
        <w:t>י</w:t>
      </w:r>
      <w:r>
        <w:rPr>
          <w:rFonts w:hint="cs"/>
          <w:rtl/>
        </w:rPr>
        <w:t>די</w:t>
      </w:r>
      <w:r w:rsidRPr="006357E7">
        <w:rPr>
          <w:rFonts w:hint="cs"/>
          <w:rtl/>
        </w:rPr>
        <w:t xml:space="preserve"> </w:t>
      </w:r>
      <w:r>
        <w:rPr>
          <w:rFonts w:hint="cs"/>
          <w:rtl/>
        </w:rPr>
        <w:t>הרב</w:t>
      </w:r>
      <w:r w:rsidRPr="006357E7">
        <w:rPr>
          <w:rFonts w:hint="cs"/>
          <w:rtl/>
        </w:rPr>
        <w:t xml:space="preserve"> אלכסנדר סנדר יוד</w:t>
      </w:r>
      <w:r>
        <w:rPr>
          <w:rFonts w:hint="cs"/>
          <w:rtl/>
        </w:rPr>
        <w:t>א</w:t>
      </w:r>
      <w:r w:rsidRPr="006357E7">
        <w:rPr>
          <w:rFonts w:hint="cs"/>
          <w:rtl/>
        </w:rPr>
        <w:t>סין ששמעו "מהרה"ח המפורסם מהו"ר שאול דוב זיסלין נ"ע", ומתאר המעשה בפירוט התאריך ובעילום שם בעל המעשה, וכך מספר:</w:t>
      </w:r>
      <w:r>
        <w:rPr>
          <w:rFonts w:hint="cs"/>
          <w:rtl/>
        </w:rPr>
        <w:t xml:space="preserve"> "</w:t>
      </w:r>
      <w:r w:rsidRPr="006357E7">
        <w:rPr>
          <w:rFonts w:hint="cs"/>
          <w:rtl/>
        </w:rPr>
        <w:t>לערך בשנת תרס"ב בשמחת תורה, בעת התועדות כ"ק אדמו"ר הרש"ב נבג"מ היו הרבה מאנ"ש והי' צפוף מאד, החסיד המפורסם ר' פלוני נ"ע מורשא הי' שטוח על השולחן מרוב הצפיפות, כשהגישו מה שהגישו אל השולחן לפני כ"ק (ממאכלי השו"ב ר' שלמה חיים ע"ה) חטף ר' פלוני מהשיריים של כ"ק, ואמר אז כ"ק פלוני פלוני, שעם זיך אד"א ווייס אס עס איז ניט שיין קריכון אין בלאטע, זאגט ער אז די בלאטע איז הייליג, בלייבט ער אין בלאטע</w:t>
      </w:r>
      <w:r>
        <w:rPr>
          <w:rFonts w:hint="cs"/>
          <w:rtl/>
        </w:rPr>
        <w:t>"</w:t>
      </w:r>
      <w:r w:rsidRPr="006357E7">
        <w:rPr>
          <w:rFonts w:hint="cs"/>
          <w:rtl/>
        </w:rPr>
        <w:t>.</w:t>
      </w:r>
      <w:r>
        <w:rPr>
          <w:rStyle w:val="FootnoteReference"/>
          <w:rtl/>
        </w:rPr>
        <w:footnoteReference w:id="259"/>
      </w:r>
    </w:p>
    <w:p w:rsidR="00710C70" w:rsidRPr="006357E7" w:rsidRDefault="00710C70" w:rsidP="00F146A6">
      <w:pPr>
        <w:pStyle w:val="a3"/>
        <w:rPr>
          <w:rtl/>
        </w:rPr>
      </w:pPr>
      <w:r w:rsidRPr="006357E7">
        <w:rPr>
          <w:rFonts w:hint="cs"/>
          <w:rtl/>
        </w:rPr>
        <w:t xml:space="preserve">מזה יש מקום </w:t>
      </w:r>
      <w:r>
        <w:rPr>
          <w:rFonts w:hint="cs"/>
          <w:rtl/>
        </w:rPr>
        <w:t>להשערה הנ"ל</w:t>
      </w:r>
      <w:r w:rsidRPr="006357E7">
        <w:rPr>
          <w:rFonts w:hint="cs"/>
          <w:rtl/>
        </w:rPr>
        <w:t xml:space="preserve">, שהרב שאול דובער זיסלין </w:t>
      </w:r>
      <w:r w:rsidRPr="006357E7">
        <w:rPr>
          <w:rtl/>
        </w:rPr>
        <w:t>–</w:t>
      </w:r>
      <w:r w:rsidRPr="006357E7">
        <w:rPr>
          <w:rFonts w:hint="cs"/>
          <w:rtl/>
        </w:rPr>
        <w:t xml:space="preserve"> אשר היה נוכח בעת התוועדות כ"ק אדמו"ר מהורש"ב ביום שמחת תורה תרס"ב </w:t>
      </w:r>
      <w:r w:rsidRPr="006357E7">
        <w:rPr>
          <w:rtl/>
        </w:rPr>
        <w:t>–</w:t>
      </w:r>
      <w:r w:rsidRPr="006357E7">
        <w:rPr>
          <w:rFonts w:hint="cs"/>
          <w:rtl/>
        </w:rPr>
        <w:t xml:space="preserve"> העלה על הכתב את הדברים כפי שנדפסו בקובץ רמ"ח אותיות, ולימים סיפר זאת אף </w:t>
      </w:r>
      <w:r>
        <w:rPr>
          <w:rFonts w:hint="cs"/>
          <w:rtl/>
        </w:rPr>
        <w:t>לרב אלכסנדר סנדר</w:t>
      </w:r>
      <w:r w:rsidRPr="006357E7">
        <w:rPr>
          <w:rFonts w:hint="cs"/>
          <w:rtl/>
        </w:rPr>
        <w:t xml:space="preserve"> יודאסין.</w:t>
      </w:r>
      <w:r>
        <w:rPr>
          <w:rFonts w:hint="cs"/>
          <w:rtl/>
        </w:rPr>
        <w:t xml:space="preserve"> העובדה שברשימת רמ"ח אותיות לא הופיע התאריך ייתכן שיש בה כדי להעיד על סמיכות הכתיבה לזמן התרחשות הדברים.</w:t>
      </w:r>
    </w:p>
    <w:p w:rsidR="00710C70" w:rsidRDefault="00710C70" w:rsidP="00F146A6">
      <w:pPr>
        <w:pStyle w:val="a3"/>
        <w:rPr>
          <w:rtl/>
        </w:rPr>
      </w:pPr>
      <w:r>
        <w:rPr>
          <w:rFonts w:hint="cs"/>
          <w:rtl/>
        </w:rPr>
        <w:t>פתגם נוסף המובא</w:t>
      </w:r>
      <w:r w:rsidRPr="006357E7">
        <w:rPr>
          <w:rFonts w:hint="cs"/>
          <w:rtl/>
        </w:rPr>
        <w:t xml:space="preserve"> ברמ"ח אותיות (אות קסא):</w:t>
      </w:r>
      <w:r w:rsidRPr="00E326FC">
        <w:rPr>
          <w:rFonts w:hint="cs"/>
          <w:rtl/>
        </w:rPr>
        <w:t xml:space="preserve"> </w:t>
      </w:r>
      <w:r w:rsidRPr="00E326FC">
        <w:rPr>
          <w:rtl/>
        </w:rPr>
        <w:t>"וקם שבט מישראל ומחץ פאתי מואב ע"פ [הידוע] קאי על משיח. וי"ל שקאי על הבעש"ט, שבט מורה על המשכה היינו המשכה מישראל הוא הבעש"ט והתפעלות תורתו, ועי"ז ומחץ פאתי מואב הוא חו"ב דקלי' והוא מחץ אותם".</w:t>
      </w:r>
    </w:p>
    <w:p w:rsidR="00710C70" w:rsidRPr="006357E7" w:rsidRDefault="00710C70" w:rsidP="00F146A6">
      <w:pPr>
        <w:pStyle w:val="a3"/>
        <w:rPr>
          <w:rtl/>
        </w:rPr>
      </w:pPr>
      <w:r>
        <w:rPr>
          <w:rFonts w:hint="cs"/>
          <w:rtl/>
        </w:rPr>
        <w:t>פתגם</w:t>
      </w:r>
      <w:r w:rsidRPr="006357E7">
        <w:rPr>
          <w:rFonts w:hint="cs"/>
          <w:rtl/>
        </w:rPr>
        <w:t xml:space="preserve"> זה </w:t>
      </w:r>
      <w:r>
        <w:rPr>
          <w:rFonts w:hint="cs"/>
          <w:rtl/>
        </w:rPr>
        <w:t xml:space="preserve">אף הוא </w:t>
      </w:r>
      <w:r w:rsidRPr="006357E7">
        <w:rPr>
          <w:rFonts w:hint="cs"/>
          <w:rtl/>
        </w:rPr>
        <w:t xml:space="preserve">נמצא משמו של </w:t>
      </w:r>
      <w:r>
        <w:rPr>
          <w:rFonts w:hint="cs"/>
          <w:rtl/>
        </w:rPr>
        <w:t>הרב</w:t>
      </w:r>
      <w:r w:rsidRPr="006357E7">
        <w:rPr>
          <w:rFonts w:hint="cs"/>
          <w:rtl/>
        </w:rPr>
        <w:t xml:space="preserve"> שאול בער זיסלין, בתיאור נרחב יותר של פרטי ההזדמנות בה נאמרה, שר' גרונם אמר פתגם זה לר' שאול בער באופן פרטי, כפי שתואר </w:t>
      </w:r>
      <w:r>
        <w:rPr>
          <w:rFonts w:hint="cs"/>
          <w:rtl/>
        </w:rPr>
        <w:t>באריכות ברשימת ר' טוביה בלוי:</w:t>
      </w:r>
      <w:r w:rsidRPr="006357E7">
        <w:rPr>
          <w:rFonts w:hint="cs"/>
          <w:rtl/>
        </w:rPr>
        <w:t xml:space="preserve">  "בין</w:t>
      </w:r>
      <w:r w:rsidRPr="006357E7">
        <w:rPr>
          <w:rtl/>
        </w:rPr>
        <w:t xml:space="preserve"> </w:t>
      </w:r>
      <w:r w:rsidRPr="006357E7">
        <w:rPr>
          <w:rFonts w:hint="cs"/>
          <w:rtl/>
        </w:rPr>
        <w:t>השאר</w:t>
      </w:r>
      <w:r w:rsidRPr="006357E7">
        <w:rPr>
          <w:rtl/>
        </w:rPr>
        <w:t xml:space="preserve"> </w:t>
      </w:r>
      <w:r w:rsidRPr="006357E7">
        <w:rPr>
          <w:rFonts w:hint="cs"/>
          <w:rtl/>
        </w:rPr>
        <w:t>סיפר</w:t>
      </w:r>
      <w:r w:rsidRPr="006357E7">
        <w:rPr>
          <w:rtl/>
        </w:rPr>
        <w:t xml:space="preserve"> </w:t>
      </w:r>
      <w:r w:rsidRPr="006357E7">
        <w:rPr>
          <w:rFonts w:hint="cs"/>
          <w:rtl/>
        </w:rPr>
        <w:t>כי</w:t>
      </w:r>
      <w:r w:rsidRPr="006357E7">
        <w:rPr>
          <w:rtl/>
        </w:rPr>
        <w:t xml:space="preserve"> </w:t>
      </w:r>
      <w:r w:rsidRPr="006357E7">
        <w:rPr>
          <w:rFonts w:hint="cs"/>
          <w:rtl/>
        </w:rPr>
        <w:t>בהיותו</w:t>
      </w:r>
      <w:r w:rsidRPr="006357E7">
        <w:rPr>
          <w:rtl/>
        </w:rPr>
        <w:t xml:space="preserve"> </w:t>
      </w:r>
      <w:r w:rsidRPr="006357E7">
        <w:rPr>
          <w:rFonts w:hint="cs"/>
          <w:rtl/>
        </w:rPr>
        <w:t>בשבת</w:t>
      </w:r>
      <w:r w:rsidRPr="006357E7">
        <w:rPr>
          <w:rtl/>
        </w:rPr>
        <w:t xml:space="preserve"> </w:t>
      </w:r>
      <w:r w:rsidRPr="006357E7">
        <w:rPr>
          <w:rFonts w:hint="cs"/>
          <w:rtl/>
        </w:rPr>
        <w:t>תחכמוני</w:t>
      </w:r>
      <w:r w:rsidRPr="006357E7">
        <w:rPr>
          <w:rtl/>
        </w:rPr>
        <w:t xml:space="preserve"> </w:t>
      </w:r>
      <w:r w:rsidRPr="006357E7">
        <w:rPr>
          <w:rFonts w:hint="cs"/>
          <w:rtl/>
        </w:rPr>
        <w:t>בישיבת</w:t>
      </w:r>
      <w:r w:rsidRPr="006357E7">
        <w:rPr>
          <w:rtl/>
        </w:rPr>
        <w:t xml:space="preserve"> "</w:t>
      </w:r>
      <w:r w:rsidRPr="006357E7">
        <w:rPr>
          <w:rFonts w:hint="cs"/>
          <w:rtl/>
        </w:rPr>
        <w:t>תומכי</w:t>
      </w:r>
      <w:r w:rsidRPr="006357E7">
        <w:rPr>
          <w:rtl/>
        </w:rPr>
        <w:t xml:space="preserve"> </w:t>
      </w:r>
      <w:r w:rsidRPr="006357E7">
        <w:rPr>
          <w:rFonts w:hint="cs"/>
          <w:rtl/>
        </w:rPr>
        <w:t>תמימים</w:t>
      </w:r>
      <w:r w:rsidRPr="006357E7">
        <w:rPr>
          <w:rtl/>
        </w:rPr>
        <w:t xml:space="preserve">" </w:t>
      </w:r>
      <w:r w:rsidRPr="006357E7">
        <w:rPr>
          <w:rFonts w:hint="cs"/>
          <w:rtl/>
        </w:rPr>
        <w:t>המפוארת</w:t>
      </w:r>
      <w:r w:rsidRPr="006357E7">
        <w:rPr>
          <w:rtl/>
        </w:rPr>
        <w:t xml:space="preserve"> </w:t>
      </w:r>
      <w:r w:rsidRPr="006357E7">
        <w:rPr>
          <w:rFonts w:hint="cs"/>
          <w:rtl/>
        </w:rPr>
        <w:t>בליובאוויטש</w:t>
      </w:r>
      <w:r w:rsidRPr="006357E7">
        <w:rPr>
          <w:rtl/>
        </w:rPr>
        <w:t xml:space="preserve"> </w:t>
      </w:r>
      <w:r w:rsidRPr="006357E7">
        <w:rPr>
          <w:rFonts w:hint="cs"/>
          <w:rtl/>
        </w:rPr>
        <w:t>שבליובאוויטש</w:t>
      </w:r>
      <w:r w:rsidRPr="006357E7">
        <w:rPr>
          <w:rtl/>
        </w:rPr>
        <w:t xml:space="preserve"> </w:t>
      </w:r>
      <w:r w:rsidRPr="006357E7">
        <w:rPr>
          <w:rFonts w:hint="cs"/>
          <w:rtl/>
        </w:rPr>
        <w:t>היה</w:t>
      </w:r>
      <w:r w:rsidRPr="006357E7">
        <w:rPr>
          <w:rtl/>
        </w:rPr>
        <w:t xml:space="preserve"> </w:t>
      </w:r>
      <w:r w:rsidRPr="006357E7">
        <w:rPr>
          <w:rFonts w:hint="cs"/>
          <w:rtl/>
        </w:rPr>
        <w:t>כרוך</w:t>
      </w:r>
      <w:r w:rsidRPr="006357E7">
        <w:rPr>
          <w:rtl/>
        </w:rPr>
        <w:t xml:space="preserve"> </w:t>
      </w:r>
      <w:r w:rsidRPr="006357E7">
        <w:rPr>
          <w:rFonts w:hint="cs"/>
          <w:rtl/>
        </w:rPr>
        <w:t>מאד</w:t>
      </w:r>
      <w:r w:rsidRPr="006357E7">
        <w:rPr>
          <w:rtl/>
        </w:rPr>
        <w:t xml:space="preserve"> </w:t>
      </w:r>
      <w:r w:rsidRPr="006357E7">
        <w:rPr>
          <w:rFonts w:hint="cs"/>
          <w:rtl/>
        </w:rPr>
        <w:t>אחרי</w:t>
      </w:r>
      <w:r w:rsidRPr="006357E7">
        <w:rPr>
          <w:rtl/>
        </w:rPr>
        <w:t xml:space="preserve"> </w:t>
      </w:r>
      <w:r w:rsidRPr="006357E7">
        <w:rPr>
          <w:rFonts w:hint="cs"/>
          <w:rtl/>
        </w:rPr>
        <w:t>המשפיע</w:t>
      </w:r>
      <w:r w:rsidRPr="006357E7">
        <w:rPr>
          <w:rtl/>
        </w:rPr>
        <w:t xml:space="preserve"> </w:t>
      </w:r>
      <w:r w:rsidRPr="006357E7">
        <w:rPr>
          <w:rFonts w:hint="cs"/>
          <w:rtl/>
        </w:rPr>
        <w:t>דשם</w:t>
      </w:r>
      <w:r w:rsidRPr="006357E7">
        <w:rPr>
          <w:rtl/>
        </w:rPr>
        <w:t xml:space="preserve"> </w:t>
      </w:r>
      <w:r w:rsidRPr="006357E7">
        <w:rPr>
          <w:rFonts w:hint="cs"/>
          <w:rtl/>
        </w:rPr>
        <w:t>רבי</w:t>
      </w:r>
      <w:r w:rsidRPr="006357E7">
        <w:rPr>
          <w:rtl/>
        </w:rPr>
        <w:t xml:space="preserve"> </w:t>
      </w:r>
      <w:r w:rsidRPr="006357E7">
        <w:rPr>
          <w:rFonts w:hint="cs"/>
          <w:rtl/>
        </w:rPr>
        <w:t>גרונם</w:t>
      </w:r>
      <w:r w:rsidRPr="006357E7">
        <w:rPr>
          <w:rtl/>
        </w:rPr>
        <w:t xml:space="preserve"> (</w:t>
      </w:r>
      <w:r w:rsidRPr="006357E7">
        <w:rPr>
          <w:rFonts w:hint="cs"/>
          <w:rtl/>
        </w:rPr>
        <w:t>הרה</w:t>
      </w:r>
      <w:r w:rsidRPr="006357E7">
        <w:rPr>
          <w:rtl/>
        </w:rPr>
        <w:t>"</w:t>
      </w:r>
      <w:r w:rsidRPr="006357E7">
        <w:rPr>
          <w:rFonts w:hint="cs"/>
          <w:rtl/>
        </w:rPr>
        <w:t>ח</w:t>
      </w:r>
      <w:r w:rsidRPr="006357E7">
        <w:rPr>
          <w:rtl/>
        </w:rPr>
        <w:t xml:space="preserve"> </w:t>
      </w:r>
      <w:r w:rsidRPr="006357E7">
        <w:rPr>
          <w:rFonts w:hint="cs"/>
          <w:rtl/>
        </w:rPr>
        <w:t>רבי</w:t>
      </w:r>
      <w:r w:rsidRPr="006357E7">
        <w:rPr>
          <w:rtl/>
        </w:rPr>
        <w:t xml:space="preserve"> </w:t>
      </w:r>
      <w:r w:rsidRPr="006357E7">
        <w:rPr>
          <w:rFonts w:hint="cs"/>
          <w:rtl/>
        </w:rPr>
        <w:t>שמואל</w:t>
      </w:r>
      <w:r w:rsidRPr="006357E7">
        <w:rPr>
          <w:rtl/>
        </w:rPr>
        <w:t xml:space="preserve"> </w:t>
      </w:r>
      <w:r w:rsidRPr="006357E7">
        <w:rPr>
          <w:rFonts w:hint="cs"/>
          <w:rtl/>
        </w:rPr>
        <w:t>גרונם</w:t>
      </w:r>
      <w:r w:rsidRPr="006357E7">
        <w:rPr>
          <w:rtl/>
        </w:rPr>
        <w:t xml:space="preserve"> </w:t>
      </w:r>
      <w:r w:rsidRPr="006357E7">
        <w:rPr>
          <w:rFonts w:hint="cs"/>
          <w:rtl/>
        </w:rPr>
        <w:t>אסתרמן</w:t>
      </w:r>
      <w:r w:rsidRPr="006357E7">
        <w:rPr>
          <w:rtl/>
        </w:rPr>
        <w:t xml:space="preserve"> </w:t>
      </w:r>
      <w:r w:rsidRPr="006357E7">
        <w:rPr>
          <w:rFonts w:hint="cs"/>
          <w:rtl/>
        </w:rPr>
        <w:t>זצ</w:t>
      </w:r>
      <w:r w:rsidRPr="006357E7">
        <w:rPr>
          <w:rtl/>
        </w:rPr>
        <w:t>"</w:t>
      </w:r>
      <w:r w:rsidRPr="006357E7">
        <w:rPr>
          <w:rFonts w:hint="cs"/>
          <w:rtl/>
        </w:rPr>
        <w:t>ל</w:t>
      </w:r>
      <w:r w:rsidRPr="006357E7">
        <w:rPr>
          <w:rtl/>
        </w:rPr>
        <w:t xml:space="preserve">) </w:t>
      </w:r>
      <w:r w:rsidRPr="006357E7">
        <w:rPr>
          <w:rFonts w:hint="cs"/>
          <w:rtl/>
        </w:rPr>
        <w:t>שהיה</w:t>
      </w:r>
      <w:r w:rsidRPr="006357E7">
        <w:rPr>
          <w:rtl/>
        </w:rPr>
        <w:t xml:space="preserve"> </w:t>
      </w:r>
      <w:r w:rsidRPr="006357E7">
        <w:rPr>
          <w:rFonts w:hint="cs"/>
          <w:rtl/>
        </w:rPr>
        <w:lastRenderedPageBreak/>
        <w:t>מחסידי</w:t>
      </w:r>
      <w:r w:rsidRPr="006357E7">
        <w:rPr>
          <w:rtl/>
        </w:rPr>
        <w:t xml:space="preserve"> </w:t>
      </w:r>
      <w:r w:rsidRPr="006357E7">
        <w:rPr>
          <w:rFonts w:hint="cs"/>
          <w:rtl/>
        </w:rPr>
        <w:t>כ</w:t>
      </w:r>
      <w:r w:rsidRPr="006357E7">
        <w:rPr>
          <w:rtl/>
        </w:rPr>
        <w:t>"</w:t>
      </w:r>
      <w:r w:rsidRPr="006357E7">
        <w:rPr>
          <w:rFonts w:hint="cs"/>
          <w:rtl/>
        </w:rPr>
        <w:t>ק</w:t>
      </w:r>
      <w:r w:rsidRPr="006357E7">
        <w:rPr>
          <w:rtl/>
        </w:rPr>
        <w:t xml:space="preserve"> </w:t>
      </w:r>
      <w:r w:rsidRPr="006357E7">
        <w:rPr>
          <w:rFonts w:hint="cs"/>
          <w:rtl/>
        </w:rPr>
        <w:t>אדמו</w:t>
      </w:r>
      <w:r w:rsidRPr="006357E7">
        <w:rPr>
          <w:rtl/>
        </w:rPr>
        <w:t>"</w:t>
      </w:r>
      <w:r w:rsidRPr="006357E7">
        <w:rPr>
          <w:rFonts w:hint="cs"/>
          <w:rtl/>
        </w:rPr>
        <w:t>ר</w:t>
      </w:r>
      <w:r w:rsidRPr="006357E7">
        <w:rPr>
          <w:rtl/>
        </w:rPr>
        <w:t xml:space="preserve"> </w:t>
      </w:r>
      <w:r w:rsidRPr="006357E7">
        <w:rPr>
          <w:rFonts w:hint="cs"/>
          <w:rtl/>
        </w:rPr>
        <w:t>מוהר</w:t>
      </w:r>
      <w:r w:rsidRPr="006357E7">
        <w:rPr>
          <w:rtl/>
        </w:rPr>
        <w:t>"</w:t>
      </w:r>
      <w:r w:rsidRPr="006357E7">
        <w:rPr>
          <w:rFonts w:hint="cs"/>
          <w:rtl/>
        </w:rPr>
        <w:t>ש</w:t>
      </w:r>
      <w:r w:rsidRPr="006357E7">
        <w:rPr>
          <w:rtl/>
        </w:rPr>
        <w:t xml:space="preserve"> </w:t>
      </w:r>
      <w:r w:rsidRPr="006357E7">
        <w:rPr>
          <w:rFonts w:hint="cs"/>
          <w:rtl/>
        </w:rPr>
        <w:t>נ</w:t>
      </w:r>
      <w:r w:rsidRPr="006357E7">
        <w:rPr>
          <w:rtl/>
        </w:rPr>
        <w:t>"</w:t>
      </w:r>
      <w:r w:rsidRPr="006357E7">
        <w:rPr>
          <w:rFonts w:hint="cs"/>
          <w:rtl/>
        </w:rPr>
        <w:t>ע</w:t>
      </w:r>
      <w:r w:rsidRPr="006357E7">
        <w:rPr>
          <w:rtl/>
        </w:rPr>
        <w:t xml:space="preserve"> </w:t>
      </w:r>
      <w:r w:rsidRPr="006357E7">
        <w:rPr>
          <w:rFonts w:hint="cs"/>
          <w:rtl/>
        </w:rPr>
        <w:t>ומונה</w:t>
      </w:r>
      <w:r w:rsidRPr="006357E7">
        <w:rPr>
          <w:rtl/>
        </w:rPr>
        <w:t xml:space="preserve"> </w:t>
      </w:r>
      <w:r w:rsidRPr="006357E7">
        <w:rPr>
          <w:rFonts w:hint="cs"/>
          <w:rtl/>
        </w:rPr>
        <w:t>ע</w:t>
      </w:r>
      <w:r w:rsidRPr="006357E7">
        <w:rPr>
          <w:rtl/>
        </w:rPr>
        <w:t>"</w:t>
      </w:r>
      <w:r w:rsidRPr="006357E7">
        <w:rPr>
          <w:rFonts w:hint="cs"/>
          <w:rtl/>
        </w:rPr>
        <w:t>י</w:t>
      </w:r>
      <w:r w:rsidRPr="006357E7">
        <w:rPr>
          <w:rtl/>
        </w:rPr>
        <w:t xml:space="preserve"> </w:t>
      </w:r>
      <w:r w:rsidRPr="006357E7">
        <w:rPr>
          <w:rFonts w:hint="cs"/>
          <w:rtl/>
        </w:rPr>
        <w:t>כ</w:t>
      </w:r>
      <w:r w:rsidRPr="006357E7">
        <w:rPr>
          <w:rtl/>
        </w:rPr>
        <w:t>"</w:t>
      </w:r>
      <w:r w:rsidRPr="006357E7">
        <w:rPr>
          <w:rFonts w:hint="cs"/>
          <w:rtl/>
        </w:rPr>
        <w:t>ק</w:t>
      </w:r>
      <w:r w:rsidRPr="006357E7">
        <w:rPr>
          <w:rtl/>
        </w:rPr>
        <w:t xml:space="preserve"> </w:t>
      </w:r>
      <w:r w:rsidRPr="006357E7">
        <w:rPr>
          <w:rFonts w:hint="cs"/>
          <w:rtl/>
        </w:rPr>
        <w:t>אדמו</w:t>
      </w:r>
      <w:r w:rsidRPr="006357E7">
        <w:rPr>
          <w:rtl/>
        </w:rPr>
        <w:t>"</w:t>
      </w:r>
      <w:r w:rsidRPr="006357E7">
        <w:rPr>
          <w:rFonts w:hint="cs"/>
          <w:rtl/>
        </w:rPr>
        <w:t>ר</w:t>
      </w:r>
      <w:r w:rsidRPr="006357E7">
        <w:rPr>
          <w:rtl/>
        </w:rPr>
        <w:t xml:space="preserve"> </w:t>
      </w:r>
      <w:r w:rsidRPr="006357E7">
        <w:rPr>
          <w:rFonts w:hint="cs"/>
          <w:rtl/>
        </w:rPr>
        <w:t>מהורש</w:t>
      </w:r>
      <w:r w:rsidRPr="006357E7">
        <w:rPr>
          <w:rtl/>
        </w:rPr>
        <w:t>"</w:t>
      </w:r>
      <w:r w:rsidRPr="006357E7">
        <w:rPr>
          <w:rFonts w:hint="cs"/>
          <w:rtl/>
        </w:rPr>
        <w:t>ב</w:t>
      </w:r>
      <w:r w:rsidRPr="006357E7">
        <w:rPr>
          <w:rtl/>
        </w:rPr>
        <w:t xml:space="preserve"> </w:t>
      </w:r>
      <w:r w:rsidRPr="006357E7">
        <w:rPr>
          <w:rFonts w:hint="cs"/>
          <w:rtl/>
        </w:rPr>
        <w:t>נ</w:t>
      </w:r>
      <w:r w:rsidRPr="006357E7">
        <w:rPr>
          <w:rtl/>
        </w:rPr>
        <w:t>"</w:t>
      </w:r>
      <w:r w:rsidRPr="006357E7">
        <w:rPr>
          <w:rFonts w:hint="cs"/>
          <w:rtl/>
        </w:rPr>
        <w:t>ע</w:t>
      </w:r>
      <w:r w:rsidRPr="006357E7">
        <w:rPr>
          <w:rtl/>
        </w:rPr>
        <w:t xml:space="preserve"> </w:t>
      </w:r>
      <w:r w:rsidRPr="006357E7">
        <w:rPr>
          <w:rFonts w:hint="cs"/>
          <w:rtl/>
        </w:rPr>
        <w:t>למשפיע</w:t>
      </w:r>
      <w:r w:rsidRPr="006357E7">
        <w:rPr>
          <w:rtl/>
        </w:rPr>
        <w:t xml:space="preserve"> </w:t>
      </w:r>
      <w:r w:rsidRPr="006357E7">
        <w:rPr>
          <w:rFonts w:hint="cs"/>
          <w:rtl/>
        </w:rPr>
        <w:t>בליובאוויטש</w:t>
      </w:r>
      <w:r w:rsidRPr="006357E7">
        <w:rPr>
          <w:rtl/>
        </w:rPr>
        <w:t xml:space="preserve">. </w:t>
      </w:r>
      <w:r w:rsidRPr="006357E7">
        <w:rPr>
          <w:rFonts w:hint="cs"/>
          <w:rtl/>
        </w:rPr>
        <w:t>בין</w:t>
      </w:r>
      <w:r w:rsidRPr="006357E7">
        <w:rPr>
          <w:rtl/>
        </w:rPr>
        <w:t xml:space="preserve"> </w:t>
      </w:r>
      <w:r w:rsidRPr="006357E7">
        <w:rPr>
          <w:rFonts w:hint="cs"/>
          <w:rtl/>
        </w:rPr>
        <w:t>השאר</w:t>
      </w:r>
      <w:r w:rsidRPr="006357E7">
        <w:rPr>
          <w:rtl/>
        </w:rPr>
        <w:t xml:space="preserve"> </w:t>
      </w:r>
      <w:r w:rsidRPr="006357E7">
        <w:rPr>
          <w:rFonts w:hint="cs"/>
          <w:rtl/>
        </w:rPr>
        <w:t>נהג</w:t>
      </w:r>
      <w:r w:rsidRPr="006357E7">
        <w:rPr>
          <w:rtl/>
        </w:rPr>
        <w:t xml:space="preserve"> </w:t>
      </w:r>
      <w:r w:rsidRPr="006357E7">
        <w:rPr>
          <w:rFonts w:hint="cs"/>
          <w:rtl/>
        </w:rPr>
        <w:t>לעמוד</w:t>
      </w:r>
      <w:r w:rsidRPr="006357E7">
        <w:rPr>
          <w:rtl/>
        </w:rPr>
        <w:t xml:space="preserve"> </w:t>
      </w:r>
      <w:r w:rsidRPr="006357E7">
        <w:rPr>
          <w:rFonts w:hint="cs"/>
          <w:rtl/>
        </w:rPr>
        <w:t>בשעת</w:t>
      </w:r>
      <w:r w:rsidRPr="006357E7">
        <w:rPr>
          <w:rtl/>
        </w:rPr>
        <w:t xml:space="preserve"> </w:t>
      </w:r>
      <w:r w:rsidRPr="006357E7">
        <w:rPr>
          <w:rFonts w:hint="cs"/>
          <w:rtl/>
        </w:rPr>
        <w:t>קריאת</w:t>
      </w:r>
      <w:r w:rsidRPr="006357E7">
        <w:rPr>
          <w:rtl/>
        </w:rPr>
        <w:t xml:space="preserve"> </w:t>
      </w:r>
      <w:r w:rsidRPr="006357E7">
        <w:rPr>
          <w:rFonts w:hint="cs"/>
          <w:rtl/>
        </w:rPr>
        <w:t>התורה</w:t>
      </w:r>
      <w:r w:rsidRPr="006357E7">
        <w:rPr>
          <w:rtl/>
        </w:rPr>
        <w:t xml:space="preserve"> </w:t>
      </w:r>
      <w:r w:rsidRPr="006357E7">
        <w:rPr>
          <w:rFonts w:hint="cs"/>
          <w:rtl/>
        </w:rPr>
        <w:t>בש</w:t>
      </w:r>
      <w:r w:rsidRPr="006357E7">
        <w:rPr>
          <w:rtl/>
        </w:rPr>
        <w:t>"</w:t>
      </w:r>
      <w:r w:rsidRPr="006357E7">
        <w:rPr>
          <w:rFonts w:hint="cs"/>
          <w:rtl/>
        </w:rPr>
        <w:t>ק</w:t>
      </w:r>
      <w:r w:rsidRPr="006357E7">
        <w:rPr>
          <w:rtl/>
        </w:rPr>
        <w:t xml:space="preserve"> </w:t>
      </w:r>
      <w:r w:rsidRPr="006357E7">
        <w:rPr>
          <w:rFonts w:hint="cs"/>
          <w:rtl/>
        </w:rPr>
        <w:t>בסמיכות</w:t>
      </w:r>
      <w:r w:rsidRPr="006357E7">
        <w:rPr>
          <w:rtl/>
        </w:rPr>
        <w:t xml:space="preserve"> </w:t>
      </w:r>
      <w:r w:rsidRPr="006357E7">
        <w:rPr>
          <w:rFonts w:hint="cs"/>
          <w:rtl/>
        </w:rPr>
        <w:t>מקום</w:t>
      </w:r>
      <w:r w:rsidRPr="006357E7">
        <w:rPr>
          <w:rtl/>
        </w:rPr>
        <w:t xml:space="preserve"> </w:t>
      </w:r>
      <w:r w:rsidRPr="006357E7">
        <w:rPr>
          <w:rFonts w:hint="cs"/>
          <w:rtl/>
        </w:rPr>
        <w:t>לרבי</w:t>
      </w:r>
      <w:r w:rsidRPr="006357E7">
        <w:rPr>
          <w:rtl/>
        </w:rPr>
        <w:t xml:space="preserve"> </w:t>
      </w:r>
      <w:r w:rsidRPr="006357E7">
        <w:rPr>
          <w:rFonts w:hint="cs"/>
          <w:rtl/>
        </w:rPr>
        <w:t>גרונם</w:t>
      </w:r>
      <w:r w:rsidRPr="006357E7">
        <w:rPr>
          <w:rtl/>
        </w:rPr>
        <w:t xml:space="preserve">, </w:t>
      </w:r>
      <w:r w:rsidRPr="006357E7">
        <w:rPr>
          <w:rFonts w:hint="cs"/>
          <w:rtl/>
        </w:rPr>
        <w:t>שמקומו</w:t>
      </w:r>
      <w:r w:rsidRPr="006357E7">
        <w:rPr>
          <w:rtl/>
        </w:rPr>
        <w:t xml:space="preserve"> </w:t>
      </w:r>
      <w:r w:rsidRPr="006357E7">
        <w:rPr>
          <w:rFonts w:hint="cs"/>
          <w:rtl/>
        </w:rPr>
        <w:t>הקבוע</w:t>
      </w:r>
      <w:r w:rsidRPr="006357E7">
        <w:rPr>
          <w:rtl/>
        </w:rPr>
        <w:t xml:space="preserve"> </w:t>
      </w:r>
      <w:r w:rsidRPr="006357E7">
        <w:rPr>
          <w:rFonts w:hint="cs"/>
          <w:rtl/>
        </w:rPr>
        <w:t>היה</w:t>
      </w:r>
      <w:r w:rsidRPr="006357E7">
        <w:rPr>
          <w:rtl/>
        </w:rPr>
        <w:t xml:space="preserve"> </w:t>
      </w:r>
      <w:r w:rsidRPr="006357E7">
        <w:rPr>
          <w:rFonts w:hint="cs"/>
          <w:rtl/>
        </w:rPr>
        <w:t>לא</w:t>
      </w:r>
      <w:r w:rsidRPr="006357E7">
        <w:rPr>
          <w:rtl/>
        </w:rPr>
        <w:t xml:space="preserve"> </w:t>
      </w:r>
      <w:r w:rsidRPr="006357E7">
        <w:rPr>
          <w:rFonts w:hint="cs"/>
          <w:rtl/>
        </w:rPr>
        <w:t>הרחק</w:t>
      </w:r>
      <w:r w:rsidRPr="006357E7">
        <w:rPr>
          <w:rtl/>
        </w:rPr>
        <w:t xml:space="preserve"> </w:t>
      </w:r>
      <w:r w:rsidRPr="006357E7">
        <w:rPr>
          <w:rFonts w:hint="cs"/>
          <w:rtl/>
        </w:rPr>
        <w:t>משולחן</w:t>
      </w:r>
      <w:r w:rsidRPr="006357E7">
        <w:rPr>
          <w:rtl/>
        </w:rPr>
        <w:t xml:space="preserve"> </w:t>
      </w:r>
      <w:r w:rsidRPr="006357E7">
        <w:rPr>
          <w:rFonts w:hint="cs"/>
          <w:rtl/>
        </w:rPr>
        <w:t>הקריאה</w:t>
      </w:r>
      <w:r w:rsidRPr="006357E7">
        <w:rPr>
          <w:rtl/>
        </w:rPr>
        <w:t>.</w:t>
      </w:r>
      <w:r>
        <w:rPr>
          <w:rFonts w:hint="cs"/>
          <w:rtl/>
        </w:rPr>
        <w:t xml:space="preserve"> </w:t>
      </w:r>
      <w:r w:rsidRPr="006357E7">
        <w:rPr>
          <w:rFonts w:hint="cs"/>
          <w:rtl/>
        </w:rPr>
        <w:t>באחת</w:t>
      </w:r>
      <w:r w:rsidRPr="006357E7">
        <w:rPr>
          <w:rtl/>
        </w:rPr>
        <w:t xml:space="preserve"> </w:t>
      </w:r>
      <w:r w:rsidRPr="006357E7">
        <w:rPr>
          <w:rFonts w:hint="cs"/>
          <w:rtl/>
        </w:rPr>
        <w:t>הפעמים</w:t>
      </w:r>
      <w:r w:rsidRPr="006357E7">
        <w:rPr>
          <w:rtl/>
        </w:rPr>
        <w:t xml:space="preserve"> </w:t>
      </w:r>
      <w:r w:rsidRPr="006357E7">
        <w:rPr>
          <w:rFonts w:hint="cs"/>
          <w:rtl/>
        </w:rPr>
        <w:t>של</w:t>
      </w:r>
      <w:r w:rsidRPr="006357E7">
        <w:rPr>
          <w:rtl/>
        </w:rPr>
        <w:t xml:space="preserve"> </w:t>
      </w:r>
      <w:r w:rsidRPr="006357E7">
        <w:rPr>
          <w:rFonts w:hint="cs"/>
          <w:rtl/>
        </w:rPr>
        <w:t>קריאת</w:t>
      </w:r>
      <w:r w:rsidRPr="006357E7">
        <w:rPr>
          <w:rtl/>
        </w:rPr>
        <w:t xml:space="preserve"> </w:t>
      </w:r>
      <w:r w:rsidRPr="006357E7">
        <w:rPr>
          <w:rFonts w:hint="cs"/>
          <w:rtl/>
        </w:rPr>
        <w:t>פרשת</w:t>
      </w:r>
      <w:r w:rsidRPr="006357E7">
        <w:rPr>
          <w:rtl/>
        </w:rPr>
        <w:t xml:space="preserve"> </w:t>
      </w:r>
      <w:r w:rsidRPr="006357E7">
        <w:rPr>
          <w:rFonts w:hint="cs"/>
          <w:rtl/>
        </w:rPr>
        <w:t>בלק</w:t>
      </w:r>
      <w:r w:rsidRPr="006357E7">
        <w:rPr>
          <w:rtl/>
        </w:rPr>
        <w:t xml:space="preserve"> - </w:t>
      </w:r>
      <w:r w:rsidRPr="006357E7">
        <w:rPr>
          <w:rFonts w:hint="cs"/>
          <w:rtl/>
        </w:rPr>
        <w:t>כאשר</w:t>
      </w:r>
      <w:r w:rsidRPr="006357E7">
        <w:rPr>
          <w:rtl/>
        </w:rPr>
        <w:t xml:space="preserve"> </w:t>
      </w:r>
      <w:r w:rsidRPr="006357E7">
        <w:rPr>
          <w:rFonts w:hint="cs"/>
          <w:rtl/>
        </w:rPr>
        <w:t>קרא</w:t>
      </w:r>
      <w:r w:rsidRPr="006357E7">
        <w:rPr>
          <w:rtl/>
        </w:rPr>
        <w:t xml:space="preserve"> </w:t>
      </w:r>
      <w:r w:rsidRPr="006357E7">
        <w:rPr>
          <w:rFonts w:hint="cs"/>
          <w:rtl/>
        </w:rPr>
        <w:t>הקורא</w:t>
      </w:r>
      <w:r w:rsidRPr="006357E7">
        <w:rPr>
          <w:rtl/>
        </w:rPr>
        <w:t xml:space="preserve"> "</w:t>
      </w:r>
      <w:r w:rsidRPr="006357E7">
        <w:rPr>
          <w:rFonts w:hint="cs"/>
          <w:rtl/>
        </w:rPr>
        <w:t>וקם</w:t>
      </w:r>
      <w:r w:rsidRPr="006357E7">
        <w:rPr>
          <w:rtl/>
        </w:rPr>
        <w:t xml:space="preserve"> </w:t>
      </w:r>
      <w:r w:rsidRPr="006357E7">
        <w:rPr>
          <w:rFonts w:hint="cs"/>
          <w:rtl/>
        </w:rPr>
        <w:t>שבט</w:t>
      </w:r>
      <w:r w:rsidRPr="006357E7">
        <w:rPr>
          <w:rtl/>
        </w:rPr>
        <w:t xml:space="preserve"> </w:t>
      </w:r>
      <w:r w:rsidRPr="006357E7">
        <w:rPr>
          <w:rFonts w:hint="cs"/>
          <w:rtl/>
        </w:rPr>
        <w:t>מישראל</w:t>
      </w:r>
      <w:r w:rsidRPr="006357E7">
        <w:rPr>
          <w:rtl/>
        </w:rPr>
        <w:t xml:space="preserve"> </w:t>
      </w:r>
      <w:r w:rsidRPr="006357E7">
        <w:rPr>
          <w:rFonts w:hint="cs"/>
          <w:rtl/>
        </w:rPr>
        <w:t>ומחץ</w:t>
      </w:r>
      <w:r w:rsidRPr="006357E7">
        <w:rPr>
          <w:rtl/>
        </w:rPr>
        <w:t xml:space="preserve"> </w:t>
      </w:r>
      <w:r w:rsidRPr="006357E7">
        <w:rPr>
          <w:rFonts w:hint="cs"/>
          <w:rtl/>
        </w:rPr>
        <w:t>פאתי</w:t>
      </w:r>
      <w:r w:rsidRPr="006357E7">
        <w:rPr>
          <w:rtl/>
        </w:rPr>
        <w:t xml:space="preserve"> </w:t>
      </w:r>
      <w:r w:rsidRPr="006357E7">
        <w:rPr>
          <w:rFonts w:hint="cs"/>
          <w:rtl/>
        </w:rPr>
        <w:t>מואב</w:t>
      </w:r>
      <w:r w:rsidRPr="006357E7">
        <w:rPr>
          <w:rtl/>
        </w:rPr>
        <w:t>" (</w:t>
      </w:r>
      <w:r w:rsidRPr="006357E7">
        <w:rPr>
          <w:rFonts w:hint="cs"/>
          <w:rtl/>
        </w:rPr>
        <w:t>מנבואת</w:t>
      </w:r>
      <w:r w:rsidRPr="006357E7">
        <w:rPr>
          <w:rtl/>
        </w:rPr>
        <w:t xml:space="preserve"> </w:t>
      </w:r>
      <w:r w:rsidRPr="006357E7">
        <w:rPr>
          <w:rFonts w:hint="cs"/>
          <w:rtl/>
        </w:rPr>
        <w:t>בלעם</w:t>
      </w:r>
      <w:r w:rsidRPr="006357E7">
        <w:rPr>
          <w:rtl/>
        </w:rPr>
        <w:t xml:space="preserve"> </w:t>
      </w:r>
      <w:r w:rsidRPr="006357E7">
        <w:rPr>
          <w:rFonts w:hint="cs"/>
          <w:rtl/>
        </w:rPr>
        <w:t>על</w:t>
      </w:r>
      <w:r w:rsidRPr="006357E7">
        <w:rPr>
          <w:rtl/>
        </w:rPr>
        <w:t xml:space="preserve"> </w:t>
      </w:r>
      <w:r w:rsidRPr="006357E7">
        <w:rPr>
          <w:rFonts w:hint="cs"/>
          <w:rtl/>
        </w:rPr>
        <w:t>אחרית</w:t>
      </w:r>
      <w:r w:rsidRPr="006357E7">
        <w:rPr>
          <w:rtl/>
        </w:rPr>
        <w:t xml:space="preserve"> </w:t>
      </w:r>
      <w:r w:rsidRPr="006357E7">
        <w:rPr>
          <w:rFonts w:hint="cs"/>
          <w:rtl/>
        </w:rPr>
        <w:t>הימים</w:t>
      </w:r>
      <w:r w:rsidRPr="006357E7">
        <w:rPr>
          <w:rtl/>
        </w:rPr>
        <w:t xml:space="preserve">) </w:t>
      </w:r>
      <w:r w:rsidRPr="006357E7">
        <w:rPr>
          <w:rFonts w:hint="cs"/>
          <w:rtl/>
        </w:rPr>
        <w:t>הפטיר</w:t>
      </w:r>
      <w:r w:rsidRPr="006357E7">
        <w:rPr>
          <w:rtl/>
        </w:rPr>
        <w:t xml:space="preserve"> </w:t>
      </w:r>
      <w:r w:rsidRPr="006357E7">
        <w:rPr>
          <w:rFonts w:hint="cs"/>
          <w:rtl/>
        </w:rPr>
        <w:t>ר</w:t>
      </w:r>
      <w:r w:rsidRPr="006357E7">
        <w:rPr>
          <w:rtl/>
        </w:rPr>
        <w:t xml:space="preserve">' </w:t>
      </w:r>
      <w:r w:rsidRPr="006357E7">
        <w:rPr>
          <w:rFonts w:hint="cs"/>
          <w:rtl/>
        </w:rPr>
        <w:t>גרונם</w:t>
      </w:r>
      <w:r w:rsidRPr="006357E7">
        <w:rPr>
          <w:rtl/>
        </w:rPr>
        <w:t xml:space="preserve"> </w:t>
      </w:r>
      <w:r w:rsidRPr="006357E7">
        <w:rPr>
          <w:rFonts w:hint="cs"/>
          <w:rtl/>
        </w:rPr>
        <w:t>לעברו</w:t>
      </w:r>
      <w:r w:rsidRPr="006357E7">
        <w:rPr>
          <w:rtl/>
        </w:rPr>
        <w:t>: "</w:t>
      </w:r>
      <w:r w:rsidRPr="006357E7">
        <w:rPr>
          <w:rFonts w:hint="cs"/>
          <w:rtl/>
        </w:rPr>
        <w:t>זה</w:t>
      </w:r>
      <w:r w:rsidRPr="006357E7">
        <w:rPr>
          <w:rtl/>
        </w:rPr>
        <w:t xml:space="preserve"> </w:t>
      </w:r>
      <w:r w:rsidRPr="006357E7">
        <w:rPr>
          <w:rFonts w:hint="cs"/>
          <w:rtl/>
        </w:rPr>
        <w:t>חב</w:t>
      </w:r>
      <w:r w:rsidRPr="006357E7">
        <w:rPr>
          <w:rtl/>
        </w:rPr>
        <w:t>"</w:t>
      </w:r>
      <w:r w:rsidRPr="006357E7">
        <w:rPr>
          <w:rFonts w:hint="cs"/>
          <w:rtl/>
        </w:rPr>
        <w:t>ד</w:t>
      </w:r>
      <w:r w:rsidRPr="006357E7">
        <w:rPr>
          <w:rtl/>
        </w:rPr>
        <w:t>".</w:t>
      </w:r>
    </w:p>
    <w:p w:rsidR="00710C70" w:rsidRPr="006357E7" w:rsidRDefault="00710C70" w:rsidP="00F146A6">
      <w:pPr>
        <w:pStyle w:val="a3"/>
        <w:rPr>
          <w:rtl/>
        </w:rPr>
      </w:pPr>
      <w:r w:rsidRPr="006357E7">
        <w:rPr>
          <w:rFonts w:hint="cs"/>
          <w:rtl/>
        </w:rPr>
        <w:t>"לאחר</w:t>
      </w:r>
      <w:r w:rsidRPr="006357E7">
        <w:rPr>
          <w:rtl/>
        </w:rPr>
        <w:t xml:space="preserve"> </w:t>
      </w:r>
      <w:r w:rsidRPr="006357E7">
        <w:rPr>
          <w:rFonts w:hint="cs"/>
          <w:rtl/>
        </w:rPr>
        <w:t>מכן</w:t>
      </w:r>
      <w:r w:rsidRPr="006357E7">
        <w:rPr>
          <w:rtl/>
        </w:rPr>
        <w:t xml:space="preserve"> </w:t>
      </w:r>
      <w:r w:rsidRPr="006357E7">
        <w:rPr>
          <w:rFonts w:hint="cs"/>
          <w:rtl/>
        </w:rPr>
        <w:t>הסביר</w:t>
      </w:r>
      <w:r w:rsidRPr="006357E7">
        <w:rPr>
          <w:rtl/>
        </w:rPr>
        <w:t xml:space="preserve"> </w:t>
      </w:r>
      <w:r w:rsidRPr="006357E7">
        <w:rPr>
          <w:rFonts w:hint="cs"/>
          <w:rtl/>
        </w:rPr>
        <w:t>לו</w:t>
      </w:r>
      <w:r w:rsidRPr="006357E7">
        <w:rPr>
          <w:rtl/>
        </w:rPr>
        <w:t xml:space="preserve"> </w:t>
      </w:r>
      <w:r w:rsidRPr="006357E7">
        <w:rPr>
          <w:rFonts w:hint="cs"/>
          <w:rtl/>
        </w:rPr>
        <w:t>רבי</w:t>
      </w:r>
      <w:r w:rsidRPr="006357E7">
        <w:rPr>
          <w:rtl/>
        </w:rPr>
        <w:t xml:space="preserve"> </w:t>
      </w:r>
      <w:r w:rsidRPr="006357E7">
        <w:rPr>
          <w:rFonts w:hint="cs"/>
          <w:rtl/>
        </w:rPr>
        <w:t>גרונם</w:t>
      </w:r>
      <w:r w:rsidRPr="006357E7">
        <w:rPr>
          <w:rtl/>
        </w:rPr>
        <w:t xml:space="preserve">: </w:t>
      </w:r>
      <w:r w:rsidRPr="006357E7">
        <w:rPr>
          <w:rFonts w:hint="cs"/>
          <w:rtl/>
        </w:rPr>
        <w:t>באחרית</w:t>
      </w:r>
      <w:r w:rsidRPr="006357E7">
        <w:rPr>
          <w:rtl/>
        </w:rPr>
        <w:t xml:space="preserve"> </w:t>
      </w:r>
      <w:r w:rsidRPr="006357E7">
        <w:rPr>
          <w:rFonts w:hint="cs"/>
          <w:rtl/>
        </w:rPr>
        <w:t>הימים</w:t>
      </w:r>
      <w:r w:rsidRPr="006357E7">
        <w:rPr>
          <w:rtl/>
        </w:rPr>
        <w:t xml:space="preserve">, </w:t>
      </w:r>
      <w:r w:rsidRPr="006357E7">
        <w:rPr>
          <w:rFonts w:hint="cs"/>
          <w:rtl/>
        </w:rPr>
        <w:t>לפני</w:t>
      </w:r>
      <w:r w:rsidRPr="006357E7">
        <w:rPr>
          <w:rtl/>
        </w:rPr>
        <w:t xml:space="preserve"> </w:t>
      </w:r>
      <w:r w:rsidRPr="006357E7">
        <w:rPr>
          <w:rFonts w:hint="cs"/>
          <w:rtl/>
        </w:rPr>
        <w:t>בוא</w:t>
      </w:r>
      <w:r w:rsidRPr="006357E7">
        <w:rPr>
          <w:rtl/>
        </w:rPr>
        <w:t xml:space="preserve"> </w:t>
      </w:r>
      <w:r w:rsidRPr="006357E7">
        <w:rPr>
          <w:rFonts w:hint="cs"/>
          <w:rtl/>
        </w:rPr>
        <w:t>המשיח</w:t>
      </w:r>
      <w:r w:rsidRPr="006357E7">
        <w:rPr>
          <w:rtl/>
        </w:rPr>
        <w:t xml:space="preserve">, </w:t>
      </w:r>
      <w:r w:rsidRPr="006357E7">
        <w:rPr>
          <w:rFonts w:hint="cs"/>
          <w:rtl/>
        </w:rPr>
        <w:t>תנצח</w:t>
      </w:r>
      <w:r w:rsidRPr="006357E7">
        <w:rPr>
          <w:rtl/>
        </w:rPr>
        <w:t xml:space="preserve"> </w:t>
      </w:r>
      <w:r w:rsidRPr="006357E7">
        <w:rPr>
          <w:rFonts w:hint="cs"/>
          <w:rtl/>
        </w:rPr>
        <w:t>הקדושה</w:t>
      </w:r>
      <w:r w:rsidRPr="006357E7">
        <w:rPr>
          <w:rtl/>
        </w:rPr>
        <w:t xml:space="preserve"> </w:t>
      </w:r>
      <w:r w:rsidRPr="006357E7">
        <w:rPr>
          <w:rFonts w:hint="cs"/>
          <w:rtl/>
        </w:rPr>
        <w:t>את</w:t>
      </w:r>
      <w:r w:rsidRPr="006357E7">
        <w:rPr>
          <w:rtl/>
        </w:rPr>
        <w:t xml:space="preserve"> </w:t>
      </w:r>
      <w:r w:rsidRPr="006357E7">
        <w:rPr>
          <w:rFonts w:hint="cs"/>
          <w:rtl/>
        </w:rPr>
        <w:t>הקליפה</w:t>
      </w:r>
      <w:r w:rsidRPr="006357E7">
        <w:rPr>
          <w:rtl/>
        </w:rPr>
        <w:t xml:space="preserve">, </w:t>
      </w:r>
      <w:r w:rsidRPr="006357E7">
        <w:rPr>
          <w:rFonts w:hint="cs"/>
          <w:rtl/>
        </w:rPr>
        <w:t>ע</w:t>
      </w:r>
      <w:r w:rsidRPr="006357E7">
        <w:rPr>
          <w:rtl/>
        </w:rPr>
        <w:t>"</w:t>
      </w:r>
      <w:r w:rsidRPr="006357E7">
        <w:rPr>
          <w:rFonts w:hint="cs"/>
          <w:rtl/>
        </w:rPr>
        <w:t>י</w:t>
      </w:r>
      <w:r w:rsidRPr="006357E7">
        <w:rPr>
          <w:rtl/>
        </w:rPr>
        <w:t xml:space="preserve"> </w:t>
      </w:r>
      <w:r w:rsidRPr="006357E7">
        <w:rPr>
          <w:rFonts w:hint="cs"/>
          <w:rtl/>
        </w:rPr>
        <w:t>החסידות</w:t>
      </w:r>
      <w:r w:rsidRPr="006357E7">
        <w:rPr>
          <w:rtl/>
        </w:rPr>
        <w:t xml:space="preserve"> </w:t>
      </w:r>
      <w:r w:rsidRPr="006357E7">
        <w:rPr>
          <w:rFonts w:hint="cs"/>
          <w:rtl/>
        </w:rPr>
        <w:t>כמובן</w:t>
      </w:r>
      <w:r w:rsidRPr="006357E7">
        <w:rPr>
          <w:rtl/>
        </w:rPr>
        <w:t xml:space="preserve">. </w:t>
      </w:r>
      <w:r w:rsidRPr="006357E7">
        <w:rPr>
          <w:rFonts w:hint="cs"/>
          <w:rtl/>
        </w:rPr>
        <w:t>אלא</w:t>
      </w:r>
      <w:r w:rsidRPr="006357E7">
        <w:rPr>
          <w:rtl/>
        </w:rPr>
        <w:t xml:space="preserve"> </w:t>
      </w:r>
      <w:r w:rsidRPr="006357E7">
        <w:rPr>
          <w:rFonts w:hint="cs"/>
          <w:rtl/>
        </w:rPr>
        <w:t>שמול</w:t>
      </w:r>
      <w:r w:rsidRPr="006357E7">
        <w:rPr>
          <w:rtl/>
        </w:rPr>
        <w:t xml:space="preserve"> </w:t>
      </w:r>
      <w:r w:rsidRPr="006357E7">
        <w:rPr>
          <w:rFonts w:hint="cs"/>
          <w:rtl/>
        </w:rPr>
        <w:t>כל</w:t>
      </w:r>
      <w:r w:rsidRPr="006357E7">
        <w:rPr>
          <w:rtl/>
        </w:rPr>
        <w:t xml:space="preserve"> </w:t>
      </w:r>
      <w:r w:rsidRPr="006357E7">
        <w:rPr>
          <w:rFonts w:hint="cs"/>
          <w:rtl/>
        </w:rPr>
        <w:t>סוג</w:t>
      </w:r>
      <w:r w:rsidRPr="006357E7">
        <w:rPr>
          <w:rtl/>
        </w:rPr>
        <w:t xml:space="preserve"> </w:t>
      </w:r>
      <w:r w:rsidRPr="006357E7">
        <w:rPr>
          <w:rFonts w:hint="cs"/>
          <w:rtl/>
        </w:rPr>
        <w:t>של</w:t>
      </w:r>
      <w:r w:rsidRPr="006357E7">
        <w:rPr>
          <w:rtl/>
        </w:rPr>
        <w:t xml:space="preserve"> </w:t>
      </w:r>
      <w:r w:rsidRPr="006357E7">
        <w:rPr>
          <w:rFonts w:hint="cs"/>
          <w:rtl/>
        </w:rPr>
        <w:t>קליפה</w:t>
      </w:r>
      <w:r w:rsidRPr="006357E7">
        <w:rPr>
          <w:rtl/>
        </w:rPr>
        <w:t xml:space="preserve"> </w:t>
      </w:r>
      <w:r w:rsidRPr="006357E7">
        <w:rPr>
          <w:rFonts w:hint="cs"/>
          <w:rtl/>
        </w:rPr>
        <w:t>מסטרא</w:t>
      </w:r>
      <w:r w:rsidRPr="006357E7">
        <w:rPr>
          <w:rtl/>
        </w:rPr>
        <w:t xml:space="preserve"> </w:t>
      </w:r>
      <w:r w:rsidRPr="006357E7">
        <w:rPr>
          <w:rFonts w:hint="cs"/>
          <w:rtl/>
        </w:rPr>
        <w:t>אתרא</w:t>
      </w:r>
      <w:r w:rsidRPr="006357E7">
        <w:rPr>
          <w:rtl/>
        </w:rPr>
        <w:t xml:space="preserve"> </w:t>
      </w:r>
      <w:r w:rsidRPr="006357E7">
        <w:rPr>
          <w:rFonts w:hint="cs"/>
          <w:rtl/>
        </w:rPr>
        <w:t>יילחם</w:t>
      </w:r>
      <w:r w:rsidRPr="006357E7">
        <w:rPr>
          <w:rtl/>
        </w:rPr>
        <w:t xml:space="preserve"> </w:t>
      </w:r>
      <w:r w:rsidRPr="006357E7">
        <w:rPr>
          <w:rFonts w:hint="cs"/>
          <w:rtl/>
        </w:rPr>
        <w:t>כוח</w:t>
      </w:r>
      <w:r w:rsidRPr="006357E7">
        <w:rPr>
          <w:rtl/>
        </w:rPr>
        <w:t xml:space="preserve"> </w:t>
      </w:r>
      <w:r w:rsidRPr="006357E7">
        <w:rPr>
          <w:rFonts w:hint="cs"/>
          <w:rtl/>
        </w:rPr>
        <w:t>מסוים</w:t>
      </w:r>
      <w:r w:rsidRPr="006357E7">
        <w:rPr>
          <w:rtl/>
        </w:rPr>
        <w:t xml:space="preserve"> </w:t>
      </w:r>
      <w:r w:rsidRPr="006357E7">
        <w:rPr>
          <w:rFonts w:hint="cs"/>
          <w:rtl/>
        </w:rPr>
        <w:t>מכוחות</w:t>
      </w:r>
      <w:r w:rsidRPr="006357E7">
        <w:rPr>
          <w:rtl/>
        </w:rPr>
        <w:t xml:space="preserve"> </w:t>
      </w:r>
      <w:r w:rsidRPr="006357E7">
        <w:rPr>
          <w:rFonts w:hint="cs"/>
          <w:rtl/>
        </w:rPr>
        <w:t>הקדושה</w:t>
      </w:r>
      <w:r w:rsidRPr="006357E7">
        <w:rPr>
          <w:rtl/>
        </w:rPr>
        <w:t xml:space="preserve"> </w:t>
      </w:r>
      <w:r w:rsidRPr="006357E7">
        <w:rPr>
          <w:rFonts w:hint="cs"/>
          <w:rtl/>
        </w:rPr>
        <w:t>המסוגל</w:t>
      </w:r>
      <w:r w:rsidRPr="006357E7">
        <w:rPr>
          <w:rtl/>
        </w:rPr>
        <w:t xml:space="preserve"> </w:t>
      </w:r>
      <w:r w:rsidRPr="006357E7">
        <w:rPr>
          <w:rFonts w:hint="cs"/>
          <w:rtl/>
        </w:rPr>
        <w:t>לנצח</w:t>
      </w:r>
      <w:r w:rsidRPr="006357E7">
        <w:rPr>
          <w:rtl/>
        </w:rPr>
        <w:t xml:space="preserve"> </w:t>
      </w:r>
      <w:r w:rsidRPr="006357E7">
        <w:rPr>
          <w:rFonts w:hint="cs"/>
          <w:rtl/>
        </w:rPr>
        <w:t>אותו</w:t>
      </w:r>
      <w:r w:rsidRPr="006357E7">
        <w:rPr>
          <w:rtl/>
        </w:rPr>
        <w:t>.</w:t>
      </w:r>
      <w:r w:rsidRPr="006357E7">
        <w:rPr>
          <w:rFonts w:hint="cs"/>
          <w:rtl/>
        </w:rPr>
        <w:t xml:space="preserve"> חסידות</w:t>
      </w:r>
      <w:r w:rsidRPr="006357E7">
        <w:rPr>
          <w:rtl/>
        </w:rPr>
        <w:t xml:space="preserve"> </w:t>
      </w:r>
      <w:r w:rsidRPr="006357E7">
        <w:rPr>
          <w:rFonts w:hint="cs"/>
          <w:rtl/>
        </w:rPr>
        <w:t>חב</w:t>
      </w:r>
      <w:r w:rsidRPr="006357E7">
        <w:rPr>
          <w:rtl/>
        </w:rPr>
        <w:t>"</w:t>
      </w:r>
      <w:r w:rsidRPr="006357E7">
        <w:rPr>
          <w:rFonts w:hint="cs"/>
          <w:rtl/>
        </w:rPr>
        <w:t>ד</w:t>
      </w:r>
      <w:r w:rsidRPr="006357E7">
        <w:rPr>
          <w:rtl/>
        </w:rPr>
        <w:t xml:space="preserve">, </w:t>
      </w:r>
      <w:r w:rsidRPr="006357E7">
        <w:rPr>
          <w:rFonts w:hint="cs"/>
          <w:rtl/>
        </w:rPr>
        <w:t>שהיא</w:t>
      </w:r>
      <w:r w:rsidRPr="006357E7">
        <w:rPr>
          <w:rtl/>
        </w:rPr>
        <w:t xml:space="preserve"> </w:t>
      </w:r>
      <w:r w:rsidRPr="006357E7">
        <w:rPr>
          <w:rFonts w:hint="cs"/>
          <w:rtl/>
        </w:rPr>
        <w:t>שבט</w:t>
      </w:r>
      <w:r w:rsidRPr="006357E7">
        <w:rPr>
          <w:rtl/>
        </w:rPr>
        <w:t xml:space="preserve"> </w:t>
      </w:r>
      <w:r w:rsidRPr="006357E7">
        <w:rPr>
          <w:rFonts w:hint="cs"/>
          <w:rtl/>
        </w:rPr>
        <w:t>משבטי</w:t>
      </w:r>
      <w:r w:rsidRPr="006357E7">
        <w:rPr>
          <w:rtl/>
        </w:rPr>
        <w:t xml:space="preserve"> </w:t>
      </w:r>
      <w:r w:rsidRPr="006357E7">
        <w:rPr>
          <w:rFonts w:hint="cs"/>
          <w:rtl/>
        </w:rPr>
        <w:t>הבעש</w:t>
      </w:r>
      <w:r w:rsidRPr="006357E7">
        <w:rPr>
          <w:rtl/>
        </w:rPr>
        <w:t>"</w:t>
      </w:r>
      <w:r w:rsidRPr="006357E7">
        <w:rPr>
          <w:rFonts w:hint="cs"/>
          <w:rtl/>
        </w:rPr>
        <w:t>ט</w:t>
      </w:r>
      <w:r w:rsidRPr="006357E7">
        <w:rPr>
          <w:rtl/>
        </w:rPr>
        <w:t xml:space="preserve"> </w:t>
      </w:r>
      <w:r w:rsidRPr="006357E7">
        <w:rPr>
          <w:rFonts w:hint="cs"/>
          <w:rtl/>
        </w:rPr>
        <w:t>הק</w:t>
      </w:r>
      <w:r w:rsidRPr="006357E7">
        <w:rPr>
          <w:rtl/>
        </w:rPr>
        <w:t xml:space="preserve">' - </w:t>
      </w:r>
      <w:r w:rsidRPr="006357E7">
        <w:rPr>
          <w:rFonts w:hint="cs"/>
          <w:rtl/>
        </w:rPr>
        <w:t>שבט</w:t>
      </w:r>
      <w:r w:rsidRPr="006357E7">
        <w:rPr>
          <w:rtl/>
        </w:rPr>
        <w:t xml:space="preserve"> </w:t>
      </w:r>
      <w:r w:rsidRPr="006357E7">
        <w:rPr>
          <w:rFonts w:hint="cs"/>
          <w:rtl/>
        </w:rPr>
        <w:t>מישראל</w:t>
      </w:r>
      <w:r w:rsidRPr="006357E7">
        <w:rPr>
          <w:rtl/>
        </w:rPr>
        <w:t xml:space="preserve"> (</w:t>
      </w:r>
      <w:r w:rsidRPr="006357E7">
        <w:rPr>
          <w:rFonts w:hint="cs"/>
          <w:rtl/>
        </w:rPr>
        <w:t>רבי</w:t>
      </w:r>
      <w:r w:rsidRPr="006357E7">
        <w:rPr>
          <w:rtl/>
        </w:rPr>
        <w:t xml:space="preserve"> </w:t>
      </w:r>
      <w:r w:rsidRPr="006357E7">
        <w:rPr>
          <w:rFonts w:hint="cs"/>
          <w:rtl/>
        </w:rPr>
        <w:t>ישראל</w:t>
      </w:r>
      <w:r w:rsidRPr="006357E7">
        <w:rPr>
          <w:rtl/>
        </w:rPr>
        <w:t xml:space="preserve"> </w:t>
      </w:r>
      <w:r w:rsidRPr="006357E7">
        <w:rPr>
          <w:rFonts w:hint="cs"/>
          <w:rtl/>
        </w:rPr>
        <w:t>בעל</w:t>
      </w:r>
      <w:r w:rsidRPr="006357E7">
        <w:rPr>
          <w:rtl/>
        </w:rPr>
        <w:t xml:space="preserve"> </w:t>
      </w:r>
      <w:r w:rsidRPr="006357E7">
        <w:rPr>
          <w:rFonts w:hint="cs"/>
          <w:rtl/>
        </w:rPr>
        <w:t>שם</w:t>
      </w:r>
      <w:r w:rsidRPr="006357E7">
        <w:rPr>
          <w:rtl/>
        </w:rPr>
        <w:t xml:space="preserve"> </w:t>
      </w:r>
      <w:r w:rsidRPr="006357E7">
        <w:rPr>
          <w:rFonts w:hint="cs"/>
          <w:rtl/>
        </w:rPr>
        <w:t>טוב</w:t>
      </w:r>
      <w:r w:rsidRPr="006357E7">
        <w:rPr>
          <w:rtl/>
        </w:rPr>
        <w:t xml:space="preserve">), </w:t>
      </w:r>
      <w:r w:rsidRPr="006357E7">
        <w:rPr>
          <w:rFonts w:hint="cs"/>
          <w:rtl/>
        </w:rPr>
        <w:t>ימחץ</w:t>
      </w:r>
      <w:r w:rsidRPr="006357E7">
        <w:rPr>
          <w:rtl/>
        </w:rPr>
        <w:t xml:space="preserve"> </w:t>
      </w:r>
      <w:r w:rsidRPr="006357E7">
        <w:rPr>
          <w:rFonts w:hint="cs"/>
          <w:rtl/>
        </w:rPr>
        <w:t>את</w:t>
      </w:r>
      <w:r w:rsidRPr="006357E7">
        <w:rPr>
          <w:rtl/>
        </w:rPr>
        <w:t xml:space="preserve"> </w:t>
      </w:r>
      <w:r w:rsidRPr="006357E7">
        <w:rPr>
          <w:rFonts w:hint="cs"/>
          <w:rtl/>
        </w:rPr>
        <w:t>ההשכלה</w:t>
      </w:r>
      <w:r w:rsidRPr="006357E7">
        <w:rPr>
          <w:rtl/>
        </w:rPr>
        <w:t xml:space="preserve"> </w:t>
      </w:r>
      <w:r w:rsidRPr="006357E7">
        <w:rPr>
          <w:rFonts w:hint="cs"/>
          <w:rtl/>
        </w:rPr>
        <w:t>וההבנה</w:t>
      </w:r>
      <w:r w:rsidRPr="006357E7">
        <w:rPr>
          <w:rtl/>
        </w:rPr>
        <w:t xml:space="preserve"> </w:t>
      </w:r>
      <w:r w:rsidRPr="006357E7">
        <w:rPr>
          <w:rFonts w:hint="cs"/>
          <w:rtl/>
        </w:rPr>
        <w:t>שבקליפה</w:t>
      </w:r>
      <w:r w:rsidRPr="006357E7">
        <w:rPr>
          <w:rtl/>
        </w:rPr>
        <w:t xml:space="preserve">, </w:t>
      </w:r>
      <w:r w:rsidRPr="006357E7">
        <w:rPr>
          <w:rFonts w:hint="cs"/>
          <w:rtl/>
        </w:rPr>
        <w:t>חב</w:t>
      </w:r>
      <w:r w:rsidRPr="006357E7">
        <w:rPr>
          <w:rtl/>
        </w:rPr>
        <w:t>"</w:t>
      </w:r>
      <w:r w:rsidRPr="006357E7">
        <w:rPr>
          <w:rFonts w:hint="cs"/>
          <w:rtl/>
        </w:rPr>
        <w:t>ד</w:t>
      </w:r>
      <w:r w:rsidRPr="006357E7">
        <w:rPr>
          <w:rtl/>
        </w:rPr>
        <w:t xml:space="preserve"> </w:t>
      </w:r>
      <w:r w:rsidRPr="006357E7">
        <w:rPr>
          <w:rFonts w:hint="cs"/>
          <w:rtl/>
        </w:rPr>
        <w:t>דקדושה</w:t>
      </w:r>
      <w:r w:rsidRPr="006357E7">
        <w:rPr>
          <w:rtl/>
        </w:rPr>
        <w:t xml:space="preserve"> </w:t>
      </w:r>
      <w:r w:rsidRPr="006357E7">
        <w:rPr>
          <w:rFonts w:hint="cs"/>
          <w:rtl/>
        </w:rPr>
        <w:t>מול</w:t>
      </w:r>
      <w:r w:rsidRPr="006357E7">
        <w:rPr>
          <w:rtl/>
        </w:rPr>
        <w:t xml:space="preserve"> </w:t>
      </w:r>
      <w:r w:rsidRPr="006357E7">
        <w:rPr>
          <w:rFonts w:hint="cs"/>
          <w:rtl/>
        </w:rPr>
        <w:t>חב</w:t>
      </w:r>
      <w:r w:rsidRPr="006357E7">
        <w:rPr>
          <w:rtl/>
        </w:rPr>
        <w:t>"</w:t>
      </w:r>
      <w:r w:rsidRPr="006357E7">
        <w:rPr>
          <w:rFonts w:hint="cs"/>
          <w:rtl/>
        </w:rPr>
        <w:t>ד</w:t>
      </w:r>
      <w:r w:rsidRPr="006357E7">
        <w:rPr>
          <w:rtl/>
        </w:rPr>
        <w:t xml:space="preserve"> </w:t>
      </w:r>
      <w:r w:rsidRPr="006357E7">
        <w:rPr>
          <w:rFonts w:hint="cs"/>
          <w:rtl/>
        </w:rPr>
        <w:t>דקליפה</w:t>
      </w:r>
      <w:r w:rsidRPr="006357E7">
        <w:rPr>
          <w:rtl/>
        </w:rPr>
        <w:t>.</w:t>
      </w:r>
      <w:r>
        <w:rPr>
          <w:rFonts w:hint="cs"/>
          <w:rtl/>
        </w:rPr>
        <w:t xml:space="preserve"> </w:t>
      </w:r>
      <w:r w:rsidRPr="006357E7">
        <w:rPr>
          <w:rFonts w:hint="cs"/>
          <w:rtl/>
        </w:rPr>
        <w:t>ידוע</w:t>
      </w:r>
      <w:r w:rsidRPr="006357E7">
        <w:rPr>
          <w:rtl/>
        </w:rPr>
        <w:t xml:space="preserve"> </w:t>
      </w:r>
      <w:r w:rsidRPr="006357E7">
        <w:rPr>
          <w:rFonts w:hint="cs"/>
          <w:rtl/>
        </w:rPr>
        <w:t>הרי</w:t>
      </w:r>
      <w:r w:rsidRPr="006357E7">
        <w:rPr>
          <w:rtl/>
        </w:rPr>
        <w:t xml:space="preserve"> </w:t>
      </w:r>
      <w:r w:rsidRPr="006357E7">
        <w:rPr>
          <w:rFonts w:hint="cs"/>
          <w:rtl/>
        </w:rPr>
        <w:t>ש</w:t>
      </w:r>
      <w:r w:rsidRPr="006357E7">
        <w:rPr>
          <w:rtl/>
        </w:rPr>
        <w:t>"</w:t>
      </w:r>
      <w:r w:rsidRPr="006357E7">
        <w:rPr>
          <w:rFonts w:hint="cs"/>
          <w:rtl/>
        </w:rPr>
        <w:t>מואב</w:t>
      </w:r>
      <w:r w:rsidRPr="006357E7">
        <w:rPr>
          <w:rtl/>
        </w:rPr>
        <w:t xml:space="preserve">" </w:t>
      </w:r>
      <w:r w:rsidRPr="006357E7">
        <w:rPr>
          <w:rFonts w:hint="cs"/>
          <w:rtl/>
        </w:rPr>
        <w:t>הוא</w:t>
      </w:r>
      <w:r w:rsidRPr="006357E7">
        <w:rPr>
          <w:rtl/>
        </w:rPr>
        <w:t xml:space="preserve"> </w:t>
      </w:r>
      <w:r w:rsidRPr="006357E7">
        <w:rPr>
          <w:rFonts w:hint="cs"/>
          <w:rtl/>
        </w:rPr>
        <w:t>כינוי</w:t>
      </w:r>
      <w:r w:rsidRPr="006357E7">
        <w:rPr>
          <w:rtl/>
        </w:rPr>
        <w:t xml:space="preserve"> </w:t>
      </w:r>
      <w:r w:rsidRPr="006357E7">
        <w:rPr>
          <w:rFonts w:hint="cs"/>
          <w:rtl/>
        </w:rPr>
        <w:t>לחכמה</w:t>
      </w:r>
      <w:r w:rsidRPr="006357E7">
        <w:rPr>
          <w:rtl/>
        </w:rPr>
        <w:t xml:space="preserve"> </w:t>
      </w:r>
      <w:r w:rsidRPr="006357E7">
        <w:rPr>
          <w:rFonts w:hint="cs"/>
          <w:rtl/>
        </w:rPr>
        <w:t>דלעומת</w:t>
      </w:r>
      <w:r w:rsidRPr="006357E7">
        <w:rPr>
          <w:rtl/>
        </w:rPr>
        <w:t xml:space="preserve"> </w:t>
      </w:r>
      <w:r w:rsidRPr="006357E7">
        <w:rPr>
          <w:rFonts w:hint="cs"/>
          <w:rtl/>
        </w:rPr>
        <w:t>זה</w:t>
      </w:r>
      <w:r w:rsidRPr="006357E7">
        <w:rPr>
          <w:rtl/>
        </w:rPr>
        <w:t xml:space="preserve">. </w:t>
      </w:r>
      <w:r w:rsidRPr="006357E7">
        <w:rPr>
          <w:rFonts w:hint="cs"/>
          <w:rtl/>
        </w:rPr>
        <w:t>זאת</w:t>
      </w:r>
      <w:r w:rsidRPr="006357E7">
        <w:rPr>
          <w:rtl/>
        </w:rPr>
        <w:t xml:space="preserve"> </w:t>
      </w:r>
      <w:r w:rsidRPr="006357E7">
        <w:rPr>
          <w:rFonts w:hint="cs"/>
          <w:rtl/>
        </w:rPr>
        <w:t>על</w:t>
      </w:r>
      <w:r w:rsidRPr="006357E7">
        <w:rPr>
          <w:rtl/>
        </w:rPr>
        <w:t xml:space="preserve"> </w:t>
      </w:r>
      <w:r w:rsidRPr="006357E7">
        <w:rPr>
          <w:rFonts w:hint="cs"/>
          <w:rtl/>
        </w:rPr>
        <w:t>פי</w:t>
      </w:r>
      <w:r w:rsidRPr="006357E7">
        <w:rPr>
          <w:rtl/>
        </w:rPr>
        <w:t xml:space="preserve"> </w:t>
      </w:r>
      <w:r w:rsidRPr="006357E7">
        <w:rPr>
          <w:rFonts w:hint="cs"/>
          <w:rtl/>
        </w:rPr>
        <w:t>הידוע</w:t>
      </w:r>
      <w:r w:rsidRPr="006357E7">
        <w:rPr>
          <w:rtl/>
        </w:rPr>
        <w:t xml:space="preserve"> </w:t>
      </w:r>
      <w:r w:rsidRPr="006357E7">
        <w:rPr>
          <w:rFonts w:hint="cs"/>
          <w:rtl/>
        </w:rPr>
        <w:t>שחכמה</w:t>
      </w:r>
      <w:r w:rsidRPr="006357E7">
        <w:rPr>
          <w:rtl/>
        </w:rPr>
        <w:t xml:space="preserve"> </w:t>
      </w:r>
      <w:r w:rsidRPr="006357E7">
        <w:rPr>
          <w:rFonts w:hint="cs"/>
          <w:rtl/>
        </w:rPr>
        <w:t>נקראת</w:t>
      </w:r>
      <w:r w:rsidRPr="006357E7">
        <w:rPr>
          <w:rtl/>
        </w:rPr>
        <w:t xml:space="preserve"> "</w:t>
      </w:r>
      <w:r w:rsidRPr="006357E7">
        <w:rPr>
          <w:rFonts w:hint="cs"/>
          <w:rtl/>
        </w:rPr>
        <w:t>אבא</w:t>
      </w:r>
      <w:r w:rsidRPr="006357E7">
        <w:rPr>
          <w:rtl/>
        </w:rPr>
        <w:t xml:space="preserve">", </w:t>
      </w:r>
      <w:r w:rsidRPr="006357E7">
        <w:rPr>
          <w:rFonts w:hint="cs"/>
          <w:rtl/>
        </w:rPr>
        <w:t>ומואב</w:t>
      </w:r>
      <w:r w:rsidRPr="006357E7">
        <w:rPr>
          <w:rtl/>
        </w:rPr>
        <w:t xml:space="preserve"> - </w:t>
      </w:r>
      <w:r w:rsidRPr="006357E7">
        <w:rPr>
          <w:rFonts w:hint="cs"/>
          <w:rtl/>
        </w:rPr>
        <w:t>הוא</w:t>
      </w:r>
      <w:r w:rsidRPr="006357E7">
        <w:rPr>
          <w:rtl/>
        </w:rPr>
        <w:t xml:space="preserve"> "</w:t>
      </w:r>
      <w:r w:rsidRPr="006357E7">
        <w:rPr>
          <w:rFonts w:hint="cs"/>
          <w:rtl/>
        </w:rPr>
        <w:t>מאב</w:t>
      </w:r>
      <w:r w:rsidRPr="006357E7">
        <w:rPr>
          <w:rtl/>
        </w:rPr>
        <w:t xml:space="preserve">", </w:t>
      </w:r>
      <w:r w:rsidRPr="006357E7">
        <w:rPr>
          <w:rFonts w:hint="cs"/>
          <w:rtl/>
        </w:rPr>
        <w:t>שהרי</w:t>
      </w:r>
      <w:r w:rsidRPr="006357E7">
        <w:rPr>
          <w:rtl/>
        </w:rPr>
        <w:t xml:space="preserve"> </w:t>
      </w:r>
      <w:r w:rsidRPr="006357E7">
        <w:rPr>
          <w:rFonts w:hint="cs"/>
          <w:rtl/>
        </w:rPr>
        <w:t>כל</w:t>
      </w:r>
      <w:r w:rsidRPr="006357E7">
        <w:rPr>
          <w:rtl/>
        </w:rPr>
        <w:t xml:space="preserve"> </w:t>
      </w:r>
      <w:r w:rsidRPr="006357E7">
        <w:rPr>
          <w:rFonts w:hint="cs"/>
          <w:rtl/>
        </w:rPr>
        <w:t>מידה</w:t>
      </w:r>
      <w:r w:rsidRPr="006357E7">
        <w:rPr>
          <w:rtl/>
        </w:rPr>
        <w:t xml:space="preserve"> </w:t>
      </w:r>
      <w:r w:rsidRPr="006357E7">
        <w:rPr>
          <w:rFonts w:hint="cs"/>
          <w:rtl/>
        </w:rPr>
        <w:t>בקליפה</w:t>
      </w:r>
      <w:r w:rsidRPr="006357E7">
        <w:rPr>
          <w:rtl/>
        </w:rPr>
        <w:t xml:space="preserve"> </w:t>
      </w:r>
      <w:r w:rsidRPr="006357E7">
        <w:rPr>
          <w:rFonts w:hint="cs"/>
          <w:rtl/>
        </w:rPr>
        <w:t>ולעומת</w:t>
      </w:r>
      <w:r w:rsidRPr="006357E7">
        <w:rPr>
          <w:rtl/>
        </w:rPr>
        <w:t xml:space="preserve"> </w:t>
      </w:r>
      <w:r w:rsidRPr="006357E7">
        <w:rPr>
          <w:rFonts w:hint="cs"/>
          <w:rtl/>
        </w:rPr>
        <w:t>זה</w:t>
      </w:r>
      <w:r w:rsidRPr="006357E7">
        <w:rPr>
          <w:rtl/>
        </w:rPr>
        <w:t xml:space="preserve"> - </w:t>
      </w:r>
      <w:r w:rsidRPr="006357E7">
        <w:rPr>
          <w:rFonts w:hint="cs"/>
          <w:rtl/>
        </w:rPr>
        <w:t>שורשה</w:t>
      </w:r>
      <w:r w:rsidRPr="006357E7">
        <w:rPr>
          <w:rtl/>
        </w:rPr>
        <w:t xml:space="preserve"> </w:t>
      </w:r>
      <w:r w:rsidRPr="006357E7">
        <w:rPr>
          <w:rFonts w:hint="cs"/>
          <w:rtl/>
        </w:rPr>
        <w:t>ממדה</w:t>
      </w:r>
      <w:r w:rsidRPr="006357E7">
        <w:rPr>
          <w:rtl/>
        </w:rPr>
        <w:t xml:space="preserve"> </w:t>
      </w:r>
      <w:r w:rsidRPr="006357E7">
        <w:rPr>
          <w:rFonts w:hint="cs"/>
          <w:rtl/>
        </w:rPr>
        <w:t>מסויימת</w:t>
      </w:r>
      <w:r w:rsidRPr="006357E7">
        <w:rPr>
          <w:rtl/>
        </w:rPr>
        <w:t xml:space="preserve"> </w:t>
      </w:r>
      <w:r w:rsidRPr="006357E7">
        <w:rPr>
          <w:rFonts w:hint="cs"/>
          <w:rtl/>
        </w:rPr>
        <w:t>בקדושה</w:t>
      </w:r>
      <w:r w:rsidRPr="006357E7">
        <w:rPr>
          <w:rtl/>
        </w:rPr>
        <w:t xml:space="preserve">. </w:t>
      </w:r>
      <w:r w:rsidRPr="006357E7">
        <w:rPr>
          <w:rFonts w:hint="cs"/>
          <w:rtl/>
        </w:rPr>
        <w:t>לדוגמא</w:t>
      </w:r>
      <w:r w:rsidRPr="006357E7">
        <w:rPr>
          <w:rtl/>
        </w:rPr>
        <w:t xml:space="preserve">: </w:t>
      </w:r>
      <w:r w:rsidRPr="006357E7">
        <w:rPr>
          <w:rFonts w:hint="cs"/>
          <w:rtl/>
        </w:rPr>
        <w:t>ישמעאל</w:t>
      </w:r>
      <w:r w:rsidRPr="006357E7">
        <w:rPr>
          <w:rtl/>
        </w:rPr>
        <w:t xml:space="preserve"> </w:t>
      </w:r>
      <w:r w:rsidRPr="006357E7">
        <w:rPr>
          <w:rFonts w:hint="cs"/>
          <w:rtl/>
        </w:rPr>
        <w:t>הוא</w:t>
      </w:r>
      <w:r w:rsidRPr="006357E7">
        <w:rPr>
          <w:rtl/>
        </w:rPr>
        <w:t xml:space="preserve"> </w:t>
      </w:r>
      <w:r w:rsidRPr="006357E7">
        <w:rPr>
          <w:rFonts w:hint="cs"/>
          <w:rtl/>
        </w:rPr>
        <w:t>חסד</w:t>
      </w:r>
      <w:r w:rsidRPr="006357E7">
        <w:rPr>
          <w:rtl/>
        </w:rPr>
        <w:t xml:space="preserve"> </w:t>
      </w:r>
      <w:r w:rsidRPr="006357E7">
        <w:rPr>
          <w:rFonts w:hint="cs"/>
          <w:rtl/>
        </w:rPr>
        <w:t>דלעומת</w:t>
      </w:r>
      <w:r w:rsidRPr="006357E7">
        <w:rPr>
          <w:rtl/>
        </w:rPr>
        <w:t xml:space="preserve"> </w:t>
      </w:r>
      <w:r w:rsidRPr="006357E7">
        <w:rPr>
          <w:rFonts w:hint="cs"/>
          <w:rtl/>
        </w:rPr>
        <w:t>זה</w:t>
      </w:r>
      <w:r w:rsidRPr="006357E7">
        <w:rPr>
          <w:rtl/>
        </w:rPr>
        <w:t xml:space="preserve">, </w:t>
      </w:r>
      <w:r w:rsidRPr="006357E7">
        <w:rPr>
          <w:rFonts w:hint="cs"/>
          <w:rtl/>
        </w:rPr>
        <w:t>ועליו</w:t>
      </w:r>
      <w:r w:rsidRPr="006357E7">
        <w:rPr>
          <w:rtl/>
        </w:rPr>
        <w:t xml:space="preserve"> </w:t>
      </w:r>
      <w:r w:rsidRPr="006357E7">
        <w:rPr>
          <w:rFonts w:hint="cs"/>
          <w:rtl/>
        </w:rPr>
        <w:t>נאמר</w:t>
      </w:r>
      <w:r w:rsidRPr="006357E7">
        <w:rPr>
          <w:rtl/>
        </w:rPr>
        <w:t>: "</w:t>
      </w:r>
      <w:r w:rsidRPr="006357E7">
        <w:rPr>
          <w:rFonts w:hint="cs"/>
          <w:rtl/>
        </w:rPr>
        <w:t>לא</w:t>
      </w:r>
      <w:r w:rsidRPr="006357E7">
        <w:rPr>
          <w:rtl/>
        </w:rPr>
        <w:t xml:space="preserve"> </w:t>
      </w:r>
      <w:r w:rsidRPr="006357E7">
        <w:rPr>
          <w:rFonts w:hint="cs"/>
          <w:rtl/>
        </w:rPr>
        <w:t>כאברהם</w:t>
      </w:r>
      <w:r w:rsidRPr="006357E7">
        <w:rPr>
          <w:rtl/>
        </w:rPr>
        <w:t xml:space="preserve">" - </w:t>
      </w:r>
      <w:r w:rsidRPr="006357E7">
        <w:rPr>
          <w:rFonts w:hint="cs"/>
          <w:rtl/>
        </w:rPr>
        <w:t>חסד</w:t>
      </w:r>
      <w:r w:rsidRPr="006357E7">
        <w:rPr>
          <w:rtl/>
        </w:rPr>
        <w:t xml:space="preserve"> </w:t>
      </w:r>
      <w:r w:rsidRPr="006357E7">
        <w:rPr>
          <w:rFonts w:hint="cs"/>
          <w:rtl/>
        </w:rPr>
        <w:t>דקדושה</w:t>
      </w:r>
      <w:r w:rsidRPr="006357E7">
        <w:rPr>
          <w:rtl/>
        </w:rPr>
        <w:t xml:space="preserve"> - "</w:t>
      </w:r>
      <w:r w:rsidRPr="006357E7">
        <w:rPr>
          <w:rFonts w:hint="cs"/>
          <w:rtl/>
        </w:rPr>
        <w:t>שיצא</w:t>
      </w:r>
      <w:r w:rsidRPr="006357E7">
        <w:rPr>
          <w:rtl/>
        </w:rPr>
        <w:t xml:space="preserve"> </w:t>
      </w:r>
      <w:r w:rsidRPr="006357E7">
        <w:rPr>
          <w:rFonts w:hint="cs"/>
          <w:rtl/>
        </w:rPr>
        <w:t>ממנו</w:t>
      </w:r>
      <w:r w:rsidRPr="006357E7">
        <w:rPr>
          <w:rtl/>
        </w:rPr>
        <w:t xml:space="preserve"> </w:t>
      </w:r>
      <w:r w:rsidRPr="006357E7">
        <w:rPr>
          <w:rFonts w:hint="cs"/>
          <w:rtl/>
        </w:rPr>
        <w:t>ישמעאל</w:t>
      </w:r>
      <w:r w:rsidRPr="006357E7">
        <w:rPr>
          <w:rtl/>
        </w:rPr>
        <w:t xml:space="preserve">". </w:t>
      </w:r>
      <w:r w:rsidRPr="006357E7">
        <w:rPr>
          <w:rFonts w:hint="cs"/>
          <w:rtl/>
        </w:rPr>
        <w:t>ובכן</w:t>
      </w:r>
      <w:r w:rsidRPr="006357E7">
        <w:rPr>
          <w:rtl/>
        </w:rPr>
        <w:t xml:space="preserve">: </w:t>
      </w:r>
      <w:r w:rsidRPr="006357E7">
        <w:rPr>
          <w:rFonts w:hint="cs"/>
          <w:rtl/>
        </w:rPr>
        <w:t>חב</w:t>
      </w:r>
      <w:r w:rsidRPr="006357E7">
        <w:rPr>
          <w:rtl/>
        </w:rPr>
        <w:t>"</w:t>
      </w:r>
      <w:r w:rsidRPr="006357E7">
        <w:rPr>
          <w:rFonts w:hint="cs"/>
          <w:rtl/>
        </w:rPr>
        <w:t>ד</w:t>
      </w:r>
      <w:r w:rsidRPr="006357E7">
        <w:rPr>
          <w:rtl/>
        </w:rPr>
        <w:t xml:space="preserve"> - </w:t>
      </w:r>
      <w:r w:rsidRPr="006357E7">
        <w:rPr>
          <w:rFonts w:hint="cs"/>
          <w:rtl/>
        </w:rPr>
        <w:t>הבנה</w:t>
      </w:r>
      <w:r w:rsidRPr="006357E7">
        <w:rPr>
          <w:rtl/>
        </w:rPr>
        <w:t xml:space="preserve"> </w:t>
      </w:r>
      <w:r w:rsidRPr="006357E7">
        <w:rPr>
          <w:rFonts w:hint="cs"/>
          <w:rtl/>
        </w:rPr>
        <w:t>והשגה</w:t>
      </w:r>
      <w:r w:rsidRPr="006357E7">
        <w:rPr>
          <w:rtl/>
        </w:rPr>
        <w:t xml:space="preserve"> </w:t>
      </w:r>
      <w:r w:rsidRPr="006357E7">
        <w:rPr>
          <w:rFonts w:hint="cs"/>
          <w:rtl/>
        </w:rPr>
        <w:t>באלקות</w:t>
      </w:r>
      <w:r w:rsidRPr="006357E7">
        <w:rPr>
          <w:rtl/>
        </w:rPr>
        <w:t xml:space="preserve"> - </w:t>
      </w:r>
      <w:r w:rsidRPr="006357E7">
        <w:rPr>
          <w:rFonts w:hint="cs"/>
          <w:rtl/>
        </w:rPr>
        <w:t>ימחץ</w:t>
      </w:r>
      <w:r w:rsidRPr="006357E7">
        <w:rPr>
          <w:rtl/>
        </w:rPr>
        <w:t xml:space="preserve"> </w:t>
      </w:r>
      <w:r w:rsidRPr="006357E7">
        <w:rPr>
          <w:rFonts w:hint="cs"/>
          <w:rtl/>
        </w:rPr>
        <w:t>את</w:t>
      </w:r>
      <w:r w:rsidRPr="006357E7">
        <w:rPr>
          <w:rtl/>
        </w:rPr>
        <w:t xml:space="preserve"> </w:t>
      </w:r>
      <w:r w:rsidRPr="006357E7">
        <w:rPr>
          <w:rFonts w:hint="cs"/>
          <w:rtl/>
        </w:rPr>
        <w:t>הצד</w:t>
      </w:r>
      <w:r w:rsidRPr="006357E7">
        <w:rPr>
          <w:rtl/>
        </w:rPr>
        <w:t xml:space="preserve"> </w:t>
      </w:r>
      <w:r w:rsidRPr="006357E7">
        <w:rPr>
          <w:rFonts w:hint="cs"/>
          <w:rtl/>
        </w:rPr>
        <w:t>השכלתני</w:t>
      </w:r>
      <w:r w:rsidRPr="006357E7">
        <w:rPr>
          <w:rtl/>
        </w:rPr>
        <w:t xml:space="preserve"> </w:t>
      </w:r>
      <w:r w:rsidRPr="006357E7">
        <w:rPr>
          <w:rFonts w:hint="cs"/>
          <w:rtl/>
        </w:rPr>
        <w:t>וה</w:t>
      </w:r>
      <w:r w:rsidRPr="006357E7">
        <w:rPr>
          <w:rtl/>
        </w:rPr>
        <w:t>"</w:t>
      </w:r>
      <w:r w:rsidRPr="006357E7">
        <w:rPr>
          <w:rFonts w:hint="cs"/>
          <w:rtl/>
        </w:rPr>
        <w:t>מדעי</w:t>
      </w:r>
      <w:r w:rsidRPr="006357E7">
        <w:rPr>
          <w:rtl/>
        </w:rPr>
        <w:t xml:space="preserve">" </w:t>
      </w:r>
      <w:r w:rsidRPr="006357E7">
        <w:rPr>
          <w:rFonts w:hint="cs"/>
          <w:rtl/>
        </w:rPr>
        <w:t>שבקליפה"</w:t>
      </w:r>
      <w:r w:rsidRPr="006357E7">
        <w:rPr>
          <w:rtl/>
        </w:rPr>
        <w:t>...</w:t>
      </w:r>
      <w:r w:rsidRPr="006357E7">
        <w:rPr>
          <w:vertAlign w:val="superscript"/>
          <w:rtl/>
        </w:rPr>
        <w:footnoteReference w:id="260"/>
      </w:r>
    </w:p>
    <w:p w:rsidR="00710C70" w:rsidRDefault="00710C70" w:rsidP="00F146A6">
      <w:pPr>
        <w:pStyle w:val="a3"/>
        <w:rPr>
          <w:rtl/>
        </w:rPr>
      </w:pPr>
      <w:r w:rsidRPr="006357E7">
        <w:rPr>
          <w:rFonts w:hint="cs"/>
          <w:rtl/>
        </w:rPr>
        <w:t xml:space="preserve">ונראה לומר שהשערת </w:t>
      </w:r>
      <w:r>
        <w:rPr>
          <w:rFonts w:hint="cs"/>
          <w:rtl/>
        </w:rPr>
        <w:t>ר' יהושע</w:t>
      </w:r>
      <w:r w:rsidRPr="006357E7">
        <w:rPr>
          <w:rFonts w:hint="cs"/>
          <w:rtl/>
        </w:rPr>
        <w:t xml:space="preserve"> מונדשיין נכונה</w:t>
      </w:r>
      <w:r>
        <w:rPr>
          <w:rFonts w:hint="cs"/>
          <w:rtl/>
        </w:rPr>
        <w:t xml:space="preserve"> ביחס לכמה מהסיפורים המופיעים בקונטרס זה</w:t>
      </w:r>
      <w:r w:rsidRPr="006357E7">
        <w:rPr>
          <w:rFonts w:hint="cs"/>
          <w:rtl/>
        </w:rPr>
        <w:t xml:space="preserve">, </w:t>
      </w:r>
      <w:r>
        <w:rPr>
          <w:rFonts w:hint="cs"/>
          <w:rtl/>
        </w:rPr>
        <w:t>וכי מי שכתבם</w:t>
      </w:r>
      <w:r w:rsidRPr="006357E7">
        <w:rPr>
          <w:rFonts w:hint="cs"/>
          <w:rtl/>
        </w:rPr>
        <w:t xml:space="preserve"> הוא </w:t>
      </w:r>
      <w:r>
        <w:rPr>
          <w:rFonts w:hint="cs"/>
          <w:rtl/>
        </w:rPr>
        <w:t>הרב</w:t>
      </w:r>
      <w:r w:rsidRPr="006357E7">
        <w:rPr>
          <w:rFonts w:hint="cs"/>
          <w:rtl/>
        </w:rPr>
        <w:t xml:space="preserve"> שאול דובער זיסלין.</w:t>
      </w:r>
    </w:p>
    <w:p w:rsidR="00710C70" w:rsidRPr="006357E7" w:rsidRDefault="00710C70" w:rsidP="00F146A6">
      <w:pPr>
        <w:pStyle w:val="a3"/>
      </w:pPr>
      <w:r>
        <w:rPr>
          <w:rFonts w:hint="cs"/>
          <w:rtl/>
        </w:rPr>
        <w:t xml:space="preserve">חלק ניכר מרשימות אלו התפרסם כבר ברוסיה. אחת מהעתקות אלו נעשתה על ידי ר' מרדכי שוסטרמן, והיא הודפסה בספרו 'למען ידעו... בנים יולדו', כפר חב"ד תשנ"ז, עמ' 207-311. מקור רשימותיו הוא אף מקור רשימות 'רמ"ח אותיות', שחפיפת הלשון קרובה ביותר, וכשלושת רבעי </w:t>
      </w:r>
      <w:r w:rsidRPr="006357E7">
        <w:rPr>
          <w:rFonts w:hint="cs"/>
          <w:rtl/>
        </w:rPr>
        <w:t>(</w:t>
      </w:r>
      <w:r>
        <w:rPr>
          <w:rFonts w:hint="cs"/>
          <w:rtl/>
        </w:rPr>
        <w:t>כ-150</w:t>
      </w:r>
      <w:r w:rsidRPr="006357E7">
        <w:rPr>
          <w:rFonts w:hint="cs"/>
          <w:rtl/>
        </w:rPr>
        <w:t xml:space="preserve">) </w:t>
      </w:r>
      <w:r>
        <w:rPr>
          <w:rFonts w:hint="cs"/>
          <w:rtl/>
        </w:rPr>
        <w:t>מתוך הסיפורים שב'למען ידעו' הופיעו גם ב'רמ"ח אותיות'. ו</w:t>
      </w:r>
      <w:r w:rsidRPr="006357E7">
        <w:rPr>
          <w:rFonts w:hint="cs"/>
          <w:rtl/>
        </w:rPr>
        <w:t>מובאת כאן השוואה שערכתי בין הסיפורים שבקובץ 'רמ"ח</w:t>
      </w:r>
      <w:r w:rsidRPr="006357E7">
        <w:rPr>
          <w:rFonts w:ascii="Cambria" w:hAnsi="Cambria" w:cs="Cambria" w:hint="cs"/>
          <w:rtl/>
        </w:rPr>
        <w:t> </w:t>
      </w:r>
      <w:r w:rsidRPr="006357E7">
        <w:rPr>
          <w:rFonts w:hint="cs"/>
          <w:rtl/>
        </w:rPr>
        <w:t xml:space="preserve">אותיות' לבין הסיפורים </w:t>
      </w:r>
      <w:r>
        <w:rPr>
          <w:rFonts w:hint="cs"/>
          <w:rtl/>
        </w:rPr>
        <w:t xml:space="preserve">שבספר 'למען ידעו' </w:t>
      </w:r>
      <w:r w:rsidRPr="006357E7">
        <w:rPr>
          <w:rFonts w:hint="cs"/>
          <w:rtl/>
        </w:rPr>
        <w:t xml:space="preserve">(האות הראשונה היא </w:t>
      </w:r>
      <w:r>
        <w:rPr>
          <w:rFonts w:hint="cs"/>
          <w:rtl/>
        </w:rPr>
        <w:t>מ'רמ"ח אותיות' (מהדורת וולף)</w:t>
      </w:r>
      <w:r w:rsidRPr="006357E7">
        <w:rPr>
          <w:rFonts w:hint="cs"/>
          <w:rtl/>
        </w:rPr>
        <w:t>, ו</w:t>
      </w:r>
      <w:r>
        <w:rPr>
          <w:rFonts w:hint="cs"/>
          <w:rtl/>
        </w:rPr>
        <w:t xml:space="preserve">האות </w:t>
      </w:r>
      <w:r w:rsidRPr="006357E7">
        <w:rPr>
          <w:rFonts w:hint="cs"/>
          <w:rtl/>
        </w:rPr>
        <w:t>השנייה</w:t>
      </w:r>
      <w:r>
        <w:rPr>
          <w:rFonts w:hint="cs"/>
          <w:rtl/>
        </w:rPr>
        <w:t xml:space="preserve"> היא מ'למען ידעו'</w:t>
      </w:r>
      <w:r w:rsidRPr="006357E7">
        <w:rPr>
          <w:rFonts w:hint="cs"/>
          <w:rtl/>
        </w:rPr>
        <w:t>):</w:t>
      </w:r>
    </w:p>
    <w:p w:rsidR="00710C70" w:rsidRDefault="00710C70" w:rsidP="00F146A6">
      <w:pPr>
        <w:pStyle w:val="a3"/>
        <w:rPr>
          <w:rtl/>
        </w:rPr>
      </w:pPr>
      <w:r>
        <w:rPr>
          <w:rFonts w:hint="cs"/>
          <w:rtl/>
        </w:rPr>
        <w:t>א - צד</w:t>
      </w:r>
      <w:r w:rsidRPr="006357E7">
        <w:rPr>
          <w:rFonts w:hint="cs"/>
          <w:rtl/>
        </w:rPr>
        <w:t xml:space="preserve">; </w:t>
      </w:r>
      <w:r>
        <w:rPr>
          <w:rFonts w:hint="cs"/>
          <w:rtl/>
        </w:rPr>
        <w:t>ו - לא</w:t>
      </w:r>
      <w:r w:rsidRPr="006357E7">
        <w:rPr>
          <w:rFonts w:hint="cs"/>
          <w:rtl/>
        </w:rPr>
        <w:t xml:space="preserve">; </w:t>
      </w:r>
      <w:r>
        <w:rPr>
          <w:rFonts w:hint="cs"/>
          <w:rtl/>
        </w:rPr>
        <w:t>ט - קכו</w:t>
      </w:r>
      <w:r w:rsidRPr="006357E7">
        <w:rPr>
          <w:rFonts w:hint="cs"/>
          <w:rtl/>
        </w:rPr>
        <w:t xml:space="preserve">; </w:t>
      </w:r>
      <w:r>
        <w:rPr>
          <w:rFonts w:hint="cs"/>
          <w:rtl/>
        </w:rPr>
        <w:t>י - קס</w:t>
      </w:r>
      <w:r w:rsidRPr="006357E7">
        <w:rPr>
          <w:rFonts w:hint="cs"/>
          <w:rtl/>
        </w:rPr>
        <w:t xml:space="preserve">; </w:t>
      </w:r>
      <w:r>
        <w:rPr>
          <w:rFonts w:hint="cs"/>
          <w:rtl/>
        </w:rPr>
        <w:t>יד - קכה</w:t>
      </w:r>
      <w:r w:rsidRPr="006357E7">
        <w:rPr>
          <w:rFonts w:hint="cs"/>
          <w:rtl/>
        </w:rPr>
        <w:t xml:space="preserve">; </w:t>
      </w:r>
      <w:r>
        <w:rPr>
          <w:rFonts w:hint="cs"/>
          <w:rtl/>
        </w:rPr>
        <w:t>טו - ו</w:t>
      </w:r>
      <w:r w:rsidRPr="006357E7">
        <w:rPr>
          <w:rFonts w:hint="cs"/>
          <w:rtl/>
        </w:rPr>
        <w:t xml:space="preserve"> (ב</w:t>
      </w:r>
      <w:r>
        <w:rPr>
          <w:rFonts w:hint="cs"/>
          <w:rtl/>
        </w:rPr>
        <w:t>'למען ידעו' ב</w:t>
      </w:r>
      <w:r w:rsidRPr="006357E7">
        <w:rPr>
          <w:rFonts w:hint="cs"/>
          <w:rtl/>
        </w:rPr>
        <w:t xml:space="preserve">תוספת); </w:t>
      </w:r>
      <w:r>
        <w:rPr>
          <w:rFonts w:hint="cs"/>
          <w:rtl/>
        </w:rPr>
        <w:t>טז - יט</w:t>
      </w:r>
      <w:r w:rsidRPr="006357E7">
        <w:rPr>
          <w:rFonts w:hint="cs"/>
          <w:rtl/>
        </w:rPr>
        <w:t xml:space="preserve">; </w:t>
      </w:r>
      <w:r>
        <w:rPr>
          <w:rFonts w:hint="cs"/>
          <w:rtl/>
        </w:rPr>
        <w:t>יז - ק, קיב</w:t>
      </w:r>
      <w:r w:rsidRPr="006357E7">
        <w:rPr>
          <w:rFonts w:hint="cs"/>
          <w:rtl/>
        </w:rPr>
        <w:t xml:space="preserve">; </w:t>
      </w:r>
      <w:r>
        <w:rPr>
          <w:rFonts w:hint="cs"/>
          <w:rtl/>
        </w:rPr>
        <w:t>כ - קמז</w:t>
      </w:r>
      <w:r w:rsidRPr="006357E7">
        <w:rPr>
          <w:rFonts w:hint="cs"/>
          <w:rtl/>
        </w:rPr>
        <w:t xml:space="preserve">; </w:t>
      </w:r>
      <w:r>
        <w:rPr>
          <w:rFonts w:hint="cs"/>
          <w:rtl/>
        </w:rPr>
        <w:t>כב - קצג</w:t>
      </w:r>
      <w:r w:rsidRPr="006357E7">
        <w:rPr>
          <w:rFonts w:hint="cs"/>
          <w:rtl/>
        </w:rPr>
        <w:t xml:space="preserve"> (ב'רמ"ח' תוספת ביאור); </w:t>
      </w:r>
      <w:r>
        <w:rPr>
          <w:rFonts w:hint="cs"/>
          <w:rtl/>
        </w:rPr>
        <w:t>כג - כד</w:t>
      </w:r>
      <w:r w:rsidRPr="006357E7">
        <w:rPr>
          <w:rFonts w:hint="cs"/>
          <w:rtl/>
        </w:rPr>
        <w:t xml:space="preserve">; </w:t>
      </w:r>
      <w:r>
        <w:rPr>
          <w:rFonts w:hint="cs"/>
          <w:rtl/>
        </w:rPr>
        <w:t>כד - מג</w:t>
      </w:r>
      <w:r w:rsidRPr="006357E7">
        <w:rPr>
          <w:rFonts w:hint="cs"/>
          <w:rtl/>
        </w:rPr>
        <w:t xml:space="preserve">; </w:t>
      </w:r>
      <w:r>
        <w:rPr>
          <w:rFonts w:hint="cs"/>
          <w:rtl/>
        </w:rPr>
        <w:t xml:space="preserve">כה - </w:t>
      </w:r>
      <w:r w:rsidRPr="006357E7">
        <w:rPr>
          <w:rFonts w:hint="cs"/>
          <w:rtl/>
        </w:rPr>
        <w:t xml:space="preserve">קט־קי; </w:t>
      </w:r>
      <w:r>
        <w:rPr>
          <w:rFonts w:hint="cs"/>
          <w:rtl/>
        </w:rPr>
        <w:t>כ</w:t>
      </w:r>
      <w:r w:rsidRPr="006357E7">
        <w:rPr>
          <w:rFonts w:hint="cs"/>
          <w:rtl/>
        </w:rPr>
        <w:t xml:space="preserve">ז - </w:t>
      </w:r>
      <w:r>
        <w:rPr>
          <w:rFonts w:hint="cs"/>
          <w:rtl/>
        </w:rPr>
        <w:t>ע</w:t>
      </w:r>
      <w:r w:rsidRPr="006357E7">
        <w:rPr>
          <w:rFonts w:hint="cs"/>
          <w:rtl/>
        </w:rPr>
        <w:t xml:space="preserve">ז; </w:t>
      </w:r>
      <w:r>
        <w:rPr>
          <w:rFonts w:hint="cs"/>
          <w:rtl/>
        </w:rPr>
        <w:t>כח - נג</w:t>
      </w:r>
      <w:r w:rsidRPr="006357E7">
        <w:rPr>
          <w:rFonts w:hint="cs"/>
          <w:rtl/>
        </w:rPr>
        <w:t xml:space="preserve">; </w:t>
      </w:r>
      <w:r>
        <w:rPr>
          <w:rFonts w:hint="cs"/>
          <w:rtl/>
        </w:rPr>
        <w:t>ל - קסא</w:t>
      </w:r>
      <w:r w:rsidRPr="006357E7">
        <w:rPr>
          <w:rFonts w:hint="cs"/>
          <w:rtl/>
        </w:rPr>
        <w:t xml:space="preserve">; </w:t>
      </w:r>
      <w:r>
        <w:rPr>
          <w:rFonts w:hint="cs"/>
          <w:rtl/>
        </w:rPr>
        <w:t>לב - קנח</w:t>
      </w:r>
      <w:r w:rsidRPr="006357E7">
        <w:rPr>
          <w:rFonts w:hint="cs"/>
          <w:rtl/>
        </w:rPr>
        <w:t xml:space="preserve">; </w:t>
      </w:r>
      <w:r>
        <w:rPr>
          <w:rFonts w:hint="cs"/>
          <w:rtl/>
        </w:rPr>
        <w:t xml:space="preserve">לג </w:t>
      </w:r>
      <w:r w:rsidRPr="00E326FC">
        <w:rPr>
          <w:rFonts w:hint="cs"/>
          <w:rtl/>
        </w:rPr>
        <w:t xml:space="preserve">- פה; לז - קכב; לח - קעד; מז - לד; מט - קסז; נ - א; נא - ב; נב - ג (ב'למען ידעו' בתוספת מר' יחזקאל הימלשטיין); </w:t>
      </w:r>
      <w:r w:rsidRPr="00E326FC">
        <w:rPr>
          <w:rFonts w:hint="cs"/>
          <w:rtl/>
        </w:rPr>
        <w:lastRenderedPageBreak/>
        <w:t>נג - פ; נו - קיא; נז - קנד; נט - נט; סא - פא; סב - קב; סד - קד; סט - עא; ע - קנ; עז - קא; עח - קסב; פא - סט; פב - ע; פג - רג; פד - עד; פה - קנט; פח - קסג; צ - סו; צא - קז; צב - יד; צה - קפ; צד - ל; צז - יג; צח</w:t>
      </w:r>
      <w:r w:rsidRPr="00E326FC">
        <w:rPr>
          <w:rFonts w:ascii="Cambria" w:hAnsi="Cambria" w:cs="Cambria" w:hint="cs"/>
          <w:rtl/>
        </w:rPr>
        <w:t> </w:t>
      </w:r>
      <w:r w:rsidRPr="00E326FC">
        <w:rPr>
          <w:rFonts w:hint="cs"/>
          <w:rtl/>
        </w:rPr>
        <w:t>- עח; ק - מה; קב - ז (ב'רמ"ח' תוספת מר' מרדכי</w:t>
      </w:r>
      <w:r w:rsidRPr="00E326FC">
        <w:rPr>
          <w:rFonts w:ascii="Cambria" w:hAnsi="Cambria" w:cs="Cambria" w:hint="cs"/>
          <w:rtl/>
        </w:rPr>
        <w:t> </w:t>
      </w:r>
      <w:r w:rsidRPr="00E326FC">
        <w:rPr>
          <w:rFonts w:hint="cs"/>
          <w:rtl/>
        </w:rPr>
        <w:t>חפץ);</w:t>
      </w:r>
      <w:r w:rsidRPr="00E326FC">
        <w:rPr>
          <w:rFonts w:ascii="Cambria" w:hAnsi="Cambria" w:cs="Cambria" w:hint="cs"/>
          <w:rtl/>
        </w:rPr>
        <w:t> </w:t>
      </w:r>
      <w:r w:rsidRPr="00E326FC">
        <w:rPr>
          <w:rFonts w:hint="cs"/>
          <w:rtl/>
        </w:rPr>
        <w:t xml:space="preserve"> קג - כב; קה - קנב; קו - קנא; קז - מב; קח - קסט; קט - קע; קי - קח; קיב - קפח; קיג - קצד; קיד - ר; קיז - רא; קיח - קלב; קיט - כה; קכ - כו; קכא - קעה; קכב - קסח; קכג - ד; קכד - קפג; קכה - קפד; קכו - קפה; קכז - כז; קכח - פב</w:t>
      </w:r>
      <w:r w:rsidRPr="00E326FC">
        <w:rPr>
          <w:rFonts w:ascii="Cambria" w:hAnsi="Cambria" w:cs="Cambria" w:hint="cs"/>
          <w:rtl/>
        </w:rPr>
        <w:t> </w:t>
      </w:r>
      <w:r w:rsidRPr="00E326FC">
        <w:rPr>
          <w:rFonts w:hint="cs"/>
          <w:rtl/>
        </w:rPr>
        <w:t xml:space="preserve">(ב'למען ידעו' בתוספת ביאור); קכט - קעז; קל - מד; קלא  -לח; קלד -קטז; קלה - קמט; קלו - קלא; קמ </w:t>
      </w:r>
      <w:r w:rsidRPr="00E326FC">
        <w:rPr>
          <w:rtl/>
        </w:rPr>
        <w:t>–</w:t>
      </w:r>
      <w:r w:rsidRPr="00E326FC">
        <w:rPr>
          <w:rFonts w:hint="cs"/>
          <w:rtl/>
        </w:rPr>
        <w:t xml:space="preserve"> סה (ב'רמ"ח' יש ביאור נוסף); קמא - לז; קמב - ה; קמג - קפט; קמד - לה; קמה - פג; קמו - קמד; קמז - מז; קמח - כח; קמט - קמה; קנ - פז; קנא - נז; קנב - עג; קנד</w:t>
      </w:r>
      <w:r w:rsidRPr="006357E7">
        <w:rPr>
          <w:rFonts w:hint="cs"/>
          <w:rtl/>
        </w:rPr>
        <w:t xml:space="preserve"> </w:t>
      </w:r>
      <w:r>
        <w:rPr>
          <w:rFonts w:hint="cs"/>
          <w:rtl/>
        </w:rPr>
        <w:t>-</w:t>
      </w:r>
      <w:r w:rsidRPr="006357E7">
        <w:rPr>
          <w:rFonts w:hint="cs"/>
          <w:rtl/>
        </w:rPr>
        <w:t xml:space="preserve"> ק</w:t>
      </w:r>
      <w:r>
        <w:rPr>
          <w:rFonts w:hint="cs"/>
          <w:rtl/>
        </w:rPr>
        <w:t>ס</w:t>
      </w:r>
      <w:r w:rsidRPr="006357E7">
        <w:rPr>
          <w:rFonts w:hint="cs"/>
          <w:rtl/>
        </w:rPr>
        <w:t xml:space="preserve">ד; </w:t>
      </w:r>
      <w:r>
        <w:rPr>
          <w:rFonts w:hint="cs"/>
          <w:rtl/>
        </w:rPr>
        <w:t>קנה - ח</w:t>
      </w:r>
      <w:r w:rsidRPr="006357E7">
        <w:rPr>
          <w:rFonts w:hint="cs"/>
          <w:rtl/>
        </w:rPr>
        <w:t xml:space="preserve">; </w:t>
      </w:r>
      <w:r>
        <w:rPr>
          <w:rFonts w:hint="cs"/>
          <w:rtl/>
        </w:rPr>
        <w:t>קנז - ט</w:t>
      </w:r>
      <w:r w:rsidRPr="006357E7">
        <w:rPr>
          <w:rFonts w:hint="cs"/>
          <w:rtl/>
        </w:rPr>
        <w:t xml:space="preserve">; </w:t>
      </w:r>
      <w:r>
        <w:rPr>
          <w:rFonts w:hint="cs"/>
          <w:rtl/>
        </w:rPr>
        <w:t>קנח - כ</w:t>
      </w:r>
      <w:r w:rsidRPr="006357E7">
        <w:rPr>
          <w:rFonts w:hint="cs"/>
          <w:rtl/>
        </w:rPr>
        <w:t xml:space="preserve">; </w:t>
      </w:r>
      <w:r>
        <w:rPr>
          <w:rFonts w:hint="cs"/>
          <w:rtl/>
        </w:rPr>
        <w:t>קסג - יב</w:t>
      </w:r>
      <w:r w:rsidRPr="006357E7">
        <w:rPr>
          <w:rFonts w:hint="cs"/>
          <w:rtl/>
        </w:rPr>
        <w:t xml:space="preserve">; </w:t>
      </w:r>
      <w:r>
        <w:rPr>
          <w:rFonts w:hint="cs"/>
          <w:rtl/>
        </w:rPr>
        <w:t>קסד - סא</w:t>
      </w:r>
      <w:r w:rsidRPr="006357E7">
        <w:rPr>
          <w:rFonts w:hint="cs"/>
          <w:rtl/>
        </w:rPr>
        <w:t xml:space="preserve">; קסה - קסה; </w:t>
      </w:r>
      <w:r>
        <w:rPr>
          <w:rFonts w:hint="cs"/>
          <w:rtl/>
        </w:rPr>
        <w:t>קסו - קעט</w:t>
      </w:r>
      <w:r w:rsidRPr="006357E7">
        <w:rPr>
          <w:rFonts w:hint="cs"/>
          <w:rtl/>
        </w:rPr>
        <w:t xml:space="preserve">; </w:t>
      </w:r>
      <w:r>
        <w:rPr>
          <w:rFonts w:hint="cs"/>
          <w:rtl/>
        </w:rPr>
        <w:t xml:space="preserve">קסז </w:t>
      </w:r>
      <w:r>
        <w:rPr>
          <w:rtl/>
        </w:rPr>
        <w:t>–</w:t>
      </w:r>
      <w:r>
        <w:rPr>
          <w:rFonts w:hint="cs"/>
          <w:rtl/>
        </w:rPr>
        <w:t xml:space="preserve"> קלד</w:t>
      </w:r>
      <w:r w:rsidRPr="006357E7">
        <w:rPr>
          <w:rFonts w:hint="cs"/>
          <w:rtl/>
        </w:rPr>
        <w:t xml:space="preserve">; </w:t>
      </w:r>
      <w:r>
        <w:rPr>
          <w:rFonts w:hint="cs"/>
          <w:rtl/>
        </w:rPr>
        <w:t>קסח - קיז</w:t>
      </w:r>
      <w:r w:rsidRPr="006357E7">
        <w:rPr>
          <w:rFonts w:hint="cs"/>
          <w:rtl/>
        </w:rPr>
        <w:t xml:space="preserve">; </w:t>
      </w:r>
      <w:r>
        <w:rPr>
          <w:rFonts w:hint="cs"/>
          <w:rtl/>
        </w:rPr>
        <w:t>קסט - קג</w:t>
      </w:r>
      <w:r w:rsidRPr="006357E7">
        <w:rPr>
          <w:rFonts w:hint="cs"/>
          <w:rtl/>
        </w:rPr>
        <w:t xml:space="preserve">; </w:t>
      </w:r>
      <w:r>
        <w:rPr>
          <w:rFonts w:hint="cs"/>
          <w:rtl/>
        </w:rPr>
        <w:t>קע - סג</w:t>
      </w:r>
      <w:r w:rsidRPr="006357E7">
        <w:rPr>
          <w:rFonts w:hint="cs"/>
          <w:rtl/>
        </w:rPr>
        <w:t>; קע</w:t>
      </w:r>
      <w:r>
        <w:rPr>
          <w:rFonts w:hint="cs"/>
          <w:rtl/>
        </w:rPr>
        <w:t>א</w:t>
      </w:r>
      <w:r w:rsidRPr="006357E7">
        <w:rPr>
          <w:rFonts w:hint="cs"/>
          <w:rtl/>
        </w:rPr>
        <w:t xml:space="preserve"> </w:t>
      </w:r>
      <w:r>
        <w:rPr>
          <w:rFonts w:hint="cs"/>
          <w:rtl/>
        </w:rPr>
        <w:t xml:space="preserve">- </w:t>
      </w:r>
      <w:r w:rsidRPr="006357E7">
        <w:rPr>
          <w:rFonts w:hint="cs"/>
          <w:rtl/>
        </w:rPr>
        <w:t>קע</w:t>
      </w:r>
      <w:r>
        <w:rPr>
          <w:rFonts w:hint="cs"/>
          <w:rtl/>
        </w:rPr>
        <w:t>ב</w:t>
      </w:r>
      <w:r w:rsidRPr="006357E7">
        <w:rPr>
          <w:rFonts w:hint="cs"/>
          <w:rtl/>
        </w:rPr>
        <w:t xml:space="preserve">; </w:t>
      </w:r>
      <w:r>
        <w:rPr>
          <w:rFonts w:hint="cs"/>
          <w:rtl/>
        </w:rPr>
        <w:t>קעב - מט</w:t>
      </w:r>
      <w:r w:rsidRPr="006357E7">
        <w:rPr>
          <w:rFonts w:hint="cs"/>
          <w:rtl/>
        </w:rPr>
        <w:t xml:space="preserve">; </w:t>
      </w:r>
      <w:r>
        <w:rPr>
          <w:rFonts w:hint="cs"/>
          <w:rtl/>
        </w:rPr>
        <w:t>קעג - מא</w:t>
      </w:r>
      <w:r w:rsidRPr="006357E7">
        <w:rPr>
          <w:rFonts w:hint="cs"/>
          <w:rtl/>
        </w:rPr>
        <w:t xml:space="preserve">; </w:t>
      </w:r>
      <w:r>
        <w:rPr>
          <w:rFonts w:hint="cs"/>
          <w:rtl/>
        </w:rPr>
        <w:t>קעד - כג</w:t>
      </w:r>
      <w:r w:rsidRPr="006357E7">
        <w:rPr>
          <w:rFonts w:hint="cs"/>
          <w:rtl/>
        </w:rPr>
        <w:t xml:space="preserve">; </w:t>
      </w:r>
      <w:r>
        <w:rPr>
          <w:rFonts w:hint="cs"/>
          <w:rtl/>
        </w:rPr>
        <w:t>קעה -</w:t>
      </w:r>
      <w:r w:rsidRPr="006357E7">
        <w:rPr>
          <w:rFonts w:hint="cs"/>
          <w:rtl/>
        </w:rPr>
        <w:t xml:space="preserve">נא־נב; </w:t>
      </w:r>
      <w:r>
        <w:rPr>
          <w:rFonts w:hint="cs"/>
          <w:rtl/>
        </w:rPr>
        <w:t>קעז - קכ</w:t>
      </w:r>
      <w:r w:rsidRPr="006357E7">
        <w:rPr>
          <w:rFonts w:hint="cs"/>
          <w:rtl/>
        </w:rPr>
        <w:t xml:space="preserve">; </w:t>
      </w:r>
      <w:r>
        <w:rPr>
          <w:rFonts w:hint="cs"/>
          <w:rtl/>
        </w:rPr>
        <w:t>קעט - מ</w:t>
      </w:r>
      <w:r w:rsidRPr="006357E7">
        <w:rPr>
          <w:rFonts w:hint="cs"/>
          <w:rtl/>
        </w:rPr>
        <w:t xml:space="preserve">; </w:t>
      </w:r>
      <w:r>
        <w:rPr>
          <w:rFonts w:hint="cs"/>
          <w:rtl/>
        </w:rPr>
        <w:t>קפ - רב</w:t>
      </w:r>
      <w:r w:rsidRPr="006357E7">
        <w:rPr>
          <w:rFonts w:hint="cs"/>
          <w:rtl/>
        </w:rPr>
        <w:t xml:space="preserve">; </w:t>
      </w:r>
      <w:r>
        <w:rPr>
          <w:rFonts w:hint="cs"/>
          <w:rtl/>
        </w:rPr>
        <w:t>קפא - צח</w:t>
      </w:r>
      <w:r w:rsidRPr="006357E7">
        <w:rPr>
          <w:rFonts w:hint="cs"/>
          <w:rtl/>
        </w:rPr>
        <w:t xml:space="preserve">; </w:t>
      </w:r>
      <w:r>
        <w:rPr>
          <w:rFonts w:hint="cs"/>
          <w:rtl/>
        </w:rPr>
        <w:t>קפב - פח</w:t>
      </w:r>
      <w:r w:rsidRPr="006357E7">
        <w:rPr>
          <w:rFonts w:hint="cs"/>
          <w:rtl/>
        </w:rPr>
        <w:t xml:space="preserve">; </w:t>
      </w:r>
      <w:r>
        <w:rPr>
          <w:rFonts w:hint="cs"/>
          <w:rtl/>
        </w:rPr>
        <w:t>קפג - קיט</w:t>
      </w:r>
      <w:r w:rsidRPr="006357E7">
        <w:rPr>
          <w:rFonts w:hint="cs"/>
          <w:rtl/>
        </w:rPr>
        <w:t xml:space="preserve">; </w:t>
      </w:r>
      <w:r>
        <w:rPr>
          <w:rFonts w:hint="cs"/>
          <w:rtl/>
        </w:rPr>
        <w:t>קפה - קכג</w:t>
      </w:r>
      <w:r w:rsidRPr="006357E7">
        <w:rPr>
          <w:rFonts w:hint="cs"/>
          <w:rtl/>
        </w:rPr>
        <w:t xml:space="preserve">; </w:t>
      </w:r>
      <w:r>
        <w:rPr>
          <w:rFonts w:hint="cs"/>
          <w:rtl/>
        </w:rPr>
        <w:t>קפו - קל</w:t>
      </w:r>
      <w:r w:rsidRPr="006357E7">
        <w:rPr>
          <w:rFonts w:hint="cs"/>
          <w:rtl/>
        </w:rPr>
        <w:t xml:space="preserve">; </w:t>
      </w:r>
      <w:r>
        <w:rPr>
          <w:rFonts w:hint="cs"/>
          <w:rtl/>
        </w:rPr>
        <w:t>קפח - עב</w:t>
      </w:r>
      <w:r w:rsidRPr="006357E7">
        <w:rPr>
          <w:rFonts w:hint="cs"/>
          <w:rtl/>
        </w:rPr>
        <w:t xml:space="preserve">; </w:t>
      </w:r>
      <w:r>
        <w:rPr>
          <w:rFonts w:hint="cs"/>
          <w:rtl/>
        </w:rPr>
        <w:t>קפט - לו</w:t>
      </w:r>
      <w:r w:rsidRPr="006357E7">
        <w:rPr>
          <w:rFonts w:hint="cs"/>
          <w:rtl/>
        </w:rPr>
        <w:t xml:space="preserve">; </w:t>
      </w:r>
      <w:r>
        <w:rPr>
          <w:rFonts w:hint="cs"/>
          <w:rtl/>
        </w:rPr>
        <w:t>קצא - קעו</w:t>
      </w:r>
      <w:r w:rsidRPr="006357E7">
        <w:rPr>
          <w:rFonts w:hint="cs"/>
          <w:rtl/>
        </w:rPr>
        <w:t xml:space="preserve">; </w:t>
      </w:r>
      <w:r>
        <w:rPr>
          <w:rFonts w:hint="cs"/>
          <w:rtl/>
        </w:rPr>
        <w:t>קצד - כט</w:t>
      </w:r>
      <w:r w:rsidRPr="006357E7">
        <w:rPr>
          <w:rFonts w:hint="cs"/>
          <w:rtl/>
        </w:rPr>
        <w:t xml:space="preserve">; </w:t>
      </w:r>
      <w:r>
        <w:rPr>
          <w:rFonts w:hint="cs"/>
          <w:rtl/>
        </w:rPr>
        <w:t>קצה - קפא</w:t>
      </w:r>
      <w:r w:rsidRPr="006357E7">
        <w:rPr>
          <w:rFonts w:hint="cs"/>
          <w:rtl/>
        </w:rPr>
        <w:t xml:space="preserve">; </w:t>
      </w:r>
      <w:r>
        <w:rPr>
          <w:rFonts w:hint="cs"/>
          <w:rtl/>
        </w:rPr>
        <w:t>קצו - קפב</w:t>
      </w:r>
      <w:r w:rsidRPr="006357E7">
        <w:rPr>
          <w:rFonts w:hint="cs"/>
          <w:rtl/>
        </w:rPr>
        <w:t xml:space="preserve">; </w:t>
      </w:r>
      <w:r>
        <w:rPr>
          <w:rFonts w:hint="cs"/>
          <w:rtl/>
        </w:rPr>
        <w:t>קצז - קצח</w:t>
      </w:r>
      <w:r w:rsidRPr="006357E7">
        <w:rPr>
          <w:rFonts w:hint="cs"/>
          <w:rtl/>
        </w:rPr>
        <w:t xml:space="preserve">; </w:t>
      </w:r>
      <w:r>
        <w:rPr>
          <w:rFonts w:hint="cs"/>
          <w:rtl/>
        </w:rPr>
        <w:t>קצח - נו</w:t>
      </w:r>
      <w:r w:rsidRPr="006357E7">
        <w:rPr>
          <w:rFonts w:hint="cs"/>
          <w:rtl/>
        </w:rPr>
        <w:t xml:space="preserve">; </w:t>
      </w:r>
      <w:r>
        <w:rPr>
          <w:rFonts w:hint="cs"/>
          <w:rtl/>
        </w:rPr>
        <w:t>קצט - קיג</w:t>
      </w:r>
      <w:r w:rsidRPr="006357E7">
        <w:rPr>
          <w:rFonts w:hint="cs"/>
          <w:rtl/>
        </w:rPr>
        <w:t xml:space="preserve">; </w:t>
      </w:r>
      <w:r>
        <w:rPr>
          <w:rFonts w:hint="cs"/>
          <w:rtl/>
        </w:rPr>
        <w:t>רג - צג</w:t>
      </w:r>
      <w:r w:rsidRPr="006357E7">
        <w:rPr>
          <w:rFonts w:hint="cs"/>
          <w:rtl/>
        </w:rPr>
        <w:t xml:space="preserve">; </w:t>
      </w:r>
      <w:r>
        <w:rPr>
          <w:rFonts w:hint="cs"/>
          <w:rtl/>
        </w:rPr>
        <w:t>רה - קיח</w:t>
      </w:r>
      <w:r w:rsidRPr="006357E7">
        <w:rPr>
          <w:rFonts w:hint="cs"/>
          <w:rtl/>
        </w:rPr>
        <w:t xml:space="preserve">; </w:t>
      </w:r>
      <w:r>
        <w:rPr>
          <w:rFonts w:hint="cs"/>
          <w:rtl/>
        </w:rPr>
        <w:t>ריב - לב</w:t>
      </w:r>
      <w:r w:rsidRPr="006357E7">
        <w:rPr>
          <w:rFonts w:hint="cs"/>
          <w:rtl/>
        </w:rPr>
        <w:t xml:space="preserve">; </w:t>
      </w:r>
      <w:r>
        <w:rPr>
          <w:rFonts w:hint="cs"/>
          <w:rtl/>
        </w:rPr>
        <w:t>ריג - צז</w:t>
      </w:r>
      <w:r w:rsidRPr="006357E7">
        <w:rPr>
          <w:rFonts w:hint="cs"/>
          <w:rtl/>
        </w:rPr>
        <w:t xml:space="preserve">; </w:t>
      </w:r>
      <w:r>
        <w:rPr>
          <w:rFonts w:hint="cs"/>
          <w:rtl/>
        </w:rPr>
        <w:t xml:space="preserve">ריד - </w:t>
      </w:r>
      <w:r w:rsidRPr="006357E7">
        <w:rPr>
          <w:rFonts w:hint="cs"/>
          <w:rtl/>
        </w:rPr>
        <w:t xml:space="preserve">קנב*; </w:t>
      </w:r>
      <w:r>
        <w:rPr>
          <w:rFonts w:hint="cs"/>
          <w:rtl/>
        </w:rPr>
        <w:t>רטו - צב</w:t>
      </w:r>
      <w:r w:rsidRPr="006357E7">
        <w:rPr>
          <w:rFonts w:hint="cs"/>
          <w:rtl/>
        </w:rPr>
        <w:t xml:space="preserve">; </w:t>
      </w:r>
      <w:r>
        <w:rPr>
          <w:rFonts w:hint="cs"/>
          <w:rtl/>
        </w:rPr>
        <w:t>רטז - לט</w:t>
      </w:r>
      <w:r w:rsidRPr="006357E7">
        <w:rPr>
          <w:rFonts w:hint="cs"/>
          <w:rtl/>
        </w:rPr>
        <w:t xml:space="preserve">; </w:t>
      </w:r>
      <w:r>
        <w:rPr>
          <w:rFonts w:hint="cs"/>
          <w:rtl/>
        </w:rPr>
        <w:t>ריז - קמח</w:t>
      </w:r>
      <w:r w:rsidRPr="006357E7">
        <w:rPr>
          <w:rFonts w:hint="cs"/>
          <w:rtl/>
        </w:rPr>
        <w:t xml:space="preserve">; </w:t>
      </w:r>
      <w:r>
        <w:rPr>
          <w:rFonts w:hint="cs"/>
          <w:rtl/>
        </w:rPr>
        <w:t>ריח - צ</w:t>
      </w:r>
      <w:r w:rsidRPr="006357E7">
        <w:rPr>
          <w:rFonts w:hint="cs"/>
          <w:rtl/>
        </w:rPr>
        <w:t xml:space="preserve">; </w:t>
      </w:r>
      <w:r>
        <w:rPr>
          <w:rFonts w:hint="cs"/>
          <w:rtl/>
        </w:rPr>
        <w:t>ריט - פט</w:t>
      </w:r>
      <w:r w:rsidRPr="006357E7">
        <w:rPr>
          <w:rFonts w:hint="cs"/>
          <w:rtl/>
        </w:rPr>
        <w:t xml:space="preserve">; </w:t>
      </w:r>
      <w:r>
        <w:rPr>
          <w:rFonts w:hint="cs"/>
          <w:rtl/>
        </w:rPr>
        <w:t>רכ - טו</w:t>
      </w:r>
      <w:r w:rsidRPr="006357E7">
        <w:rPr>
          <w:rFonts w:hint="cs"/>
          <w:rtl/>
        </w:rPr>
        <w:t xml:space="preserve">; </w:t>
      </w:r>
      <w:r>
        <w:rPr>
          <w:rFonts w:hint="cs"/>
          <w:rtl/>
        </w:rPr>
        <w:t>רכג - קנז</w:t>
      </w:r>
      <w:r w:rsidRPr="006357E7">
        <w:rPr>
          <w:rFonts w:hint="cs"/>
          <w:rtl/>
        </w:rPr>
        <w:t xml:space="preserve">; </w:t>
      </w:r>
      <w:r>
        <w:rPr>
          <w:rFonts w:hint="cs"/>
          <w:rtl/>
        </w:rPr>
        <w:t>רכה - רד;</w:t>
      </w:r>
      <w:r w:rsidRPr="00847DA6">
        <w:rPr>
          <w:rFonts w:hint="cs"/>
          <w:rtl/>
        </w:rPr>
        <w:t xml:space="preserve"> </w:t>
      </w:r>
      <w:r>
        <w:rPr>
          <w:rFonts w:hint="cs"/>
          <w:rtl/>
        </w:rPr>
        <w:t>רכו - קמו</w:t>
      </w:r>
      <w:r w:rsidRPr="006357E7">
        <w:rPr>
          <w:rFonts w:hint="cs"/>
          <w:rtl/>
        </w:rPr>
        <w:t xml:space="preserve">; </w:t>
      </w:r>
      <w:r>
        <w:rPr>
          <w:rFonts w:hint="cs"/>
          <w:rtl/>
        </w:rPr>
        <w:t>רכז - קמא</w:t>
      </w:r>
      <w:r w:rsidRPr="006357E7">
        <w:rPr>
          <w:rFonts w:hint="cs"/>
          <w:rtl/>
        </w:rPr>
        <w:t xml:space="preserve">; </w:t>
      </w:r>
      <w:r>
        <w:rPr>
          <w:rFonts w:hint="cs"/>
          <w:rtl/>
        </w:rPr>
        <w:t>רכח - קעא</w:t>
      </w:r>
      <w:r w:rsidRPr="006357E7">
        <w:rPr>
          <w:rFonts w:hint="cs"/>
          <w:rtl/>
        </w:rPr>
        <w:t xml:space="preserve">; </w:t>
      </w:r>
      <w:r>
        <w:rPr>
          <w:rFonts w:hint="cs"/>
          <w:rtl/>
        </w:rPr>
        <w:t>רכט - קנו</w:t>
      </w:r>
      <w:r w:rsidRPr="006357E7">
        <w:rPr>
          <w:rFonts w:hint="cs"/>
          <w:rtl/>
        </w:rPr>
        <w:t xml:space="preserve">; </w:t>
      </w:r>
      <w:r>
        <w:rPr>
          <w:rFonts w:hint="cs"/>
          <w:rtl/>
        </w:rPr>
        <w:t>רל - קטו</w:t>
      </w:r>
      <w:r w:rsidRPr="006357E7">
        <w:rPr>
          <w:rFonts w:hint="cs"/>
          <w:rtl/>
        </w:rPr>
        <w:t xml:space="preserve"> (ב</w:t>
      </w:r>
      <w:r>
        <w:rPr>
          <w:rFonts w:hint="cs"/>
          <w:rtl/>
        </w:rPr>
        <w:t xml:space="preserve">'למען ידעו' </w:t>
      </w:r>
      <w:r w:rsidRPr="006357E7">
        <w:rPr>
          <w:rFonts w:hint="cs"/>
          <w:rtl/>
        </w:rPr>
        <w:t>בתוספת ביאור); רלז־רלח</w:t>
      </w:r>
      <w:r>
        <w:rPr>
          <w:rFonts w:hint="cs"/>
          <w:rtl/>
        </w:rPr>
        <w:t xml:space="preserve"> - קעג</w:t>
      </w:r>
      <w:r w:rsidRPr="006357E7">
        <w:rPr>
          <w:rFonts w:hint="cs"/>
          <w:rtl/>
        </w:rPr>
        <w:t xml:space="preserve">; </w:t>
      </w:r>
      <w:r>
        <w:rPr>
          <w:rFonts w:hint="cs"/>
          <w:rtl/>
        </w:rPr>
        <w:t>רמא - י</w:t>
      </w:r>
      <w:r w:rsidRPr="006357E7">
        <w:rPr>
          <w:rFonts w:hint="cs"/>
          <w:rtl/>
        </w:rPr>
        <w:t xml:space="preserve">; </w:t>
      </w:r>
      <w:r>
        <w:rPr>
          <w:rFonts w:hint="cs"/>
          <w:rtl/>
        </w:rPr>
        <w:t>רמב - יא, צט</w:t>
      </w:r>
      <w:r w:rsidRPr="006357E7">
        <w:rPr>
          <w:rFonts w:hint="cs"/>
          <w:rtl/>
        </w:rPr>
        <w:t xml:space="preserve">; </w:t>
      </w:r>
      <w:r>
        <w:rPr>
          <w:rFonts w:hint="cs"/>
          <w:rtl/>
        </w:rPr>
        <w:t>רמד -פו</w:t>
      </w:r>
      <w:r w:rsidRPr="006357E7">
        <w:rPr>
          <w:rFonts w:hint="cs"/>
          <w:rtl/>
        </w:rPr>
        <w:t xml:space="preserve">; </w:t>
      </w:r>
      <w:r>
        <w:rPr>
          <w:rFonts w:hint="cs"/>
          <w:rtl/>
        </w:rPr>
        <w:t xml:space="preserve">רמח - קצו </w:t>
      </w:r>
      <w:r w:rsidRPr="006357E7">
        <w:rPr>
          <w:rFonts w:hint="cs"/>
          <w:rtl/>
        </w:rPr>
        <w:t>(ב</w:t>
      </w:r>
      <w:r>
        <w:rPr>
          <w:rFonts w:hint="cs"/>
          <w:rtl/>
        </w:rPr>
        <w:t xml:space="preserve">'למען ידעו' </w:t>
      </w:r>
      <w:r w:rsidRPr="006357E7">
        <w:rPr>
          <w:rFonts w:hint="cs"/>
          <w:rtl/>
        </w:rPr>
        <w:t>בתוספת).</w:t>
      </w:r>
    </w:p>
    <w:p w:rsidR="00710C70" w:rsidRPr="006357E7" w:rsidRDefault="00710C70" w:rsidP="00F146A6">
      <w:pPr>
        <w:pStyle w:val="a3"/>
        <w:rPr>
          <w:rtl/>
        </w:rPr>
      </w:pPr>
      <w:r>
        <w:rPr>
          <w:rFonts w:hint="cs"/>
          <w:rtl/>
        </w:rPr>
        <w:t xml:space="preserve">בנוסף לכך, גם ברשימות שב'לקוטי רשימות ומעשיות' (שהו"ל ר' יהושע מונדשיין מתוך כתב יד ישן שלא נודע מחברו) ישנה חפיפה עם הסיפורים המובאים בקונטרס זה. </w:t>
      </w:r>
      <w:r w:rsidRPr="006357E7">
        <w:rPr>
          <w:rtl/>
        </w:rPr>
        <w:t>מובאת כאן ההשוואה בין א־קיב סיפורים הראשונים שב'לקוטי רשימות ומעשיות' לבין 'רמ"ח אותיות' ו'למען ידעו' (</w:t>
      </w:r>
      <w:r>
        <w:rPr>
          <w:rFonts w:hint="cs"/>
          <w:rtl/>
        </w:rPr>
        <w:t>שוסטרמן</w:t>
      </w:r>
      <w:r w:rsidRPr="006357E7">
        <w:rPr>
          <w:rtl/>
        </w:rPr>
        <w:t>)</w:t>
      </w:r>
      <w:r>
        <w:rPr>
          <w:rFonts w:hint="cs"/>
          <w:rtl/>
        </w:rPr>
        <w:t>.</w:t>
      </w:r>
    </w:p>
    <w:p w:rsidR="00710C70" w:rsidRPr="006357E7" w:rsidRDefault="00710C70" w:rsidP="00F146A6">
      <w:pPr>
        <w:pStyle w:val="a3"/>
        <w:rPr>
          <w:rtl/>
        </w:rPr>
      </w:pPr>
      <w:r w:rsidRPr="006357E7">
        <w:rPr>
          <w:rtl/>
        </w:rPr>
        <w:t>המקביל ל'רמ"ח אותיות'</w:t>
      </w:r>
      <w:r>
        <w:rPr>
          <w:rFonts w:hint="cs"/>
          <w:rtl/>
        </w:rPr>
        <w:t xml:space="preserve"> (רובם המוחלט נמצא גם ב'למען ידעו', והמעיין יכול להשוות עם הרשימה למעלה)</w:t>
      </w:r>
      <w:r w:rsidRPr="006357E7">
        <w:rPr>
          <w:rtl/>
        </w:rPr>
        <w:t>:</w:t>
      </w:r>
      <w:r>
        <w:rPr>
          <w:rFonts w:hint="cs"/>
          <w:rtl/>
        </w:rPr>
        <w:t xml:space="preserve"> </w:t>
      </w:r>
      <w:r w:rsidRPr="006357E7">
        <w:rPr>
          <w:rtl/>
        </w:rPr>
        <w:t xml:space="preserve">ג </w:t>
      </w:r>
      <w:r>
        <w:rPr>
          <w:rFonts w:hint="cs"/>
          <w:rtl/>
        </w:rPr>
        <w:t>-</w:t>
      </w:r>
      <w:r w:rsidRPr="006357E7">
        <w:rPr>
          <w:rtl/>
        </w:rPr>
        <w:t xml:space="preserve"> נב</w:t>
      </w:r>
      <w:r>
        <w:rPr>
          <w:rFonts w:hint="cs"/>
          <w:rtl/>
        </w:rPr>
        <w:t>;</w:t>
      </w:r>
      <w:r w:rsidRPr="006357E7">
        <w:rPr>
          <w:rtl/>
        </w:rPr>
        <w:t xml:space="preserve"> ד - נ</w:t>
      </w:r>
      <w:r>
        <w:rPr>
          <w:rFonts w:hint="cs"/>
          <w:rtl/>
        </w:rPr>
        <w:t>;</w:t>
      </w:r>
      <w:r w:rsidRPr="006357E7">
        <w:rPr>
          <w:rtl/>
        </w:rPr>
        <w:t xml:space="preserve"> ה - קב (ב</w:t>
      </w:r>
      <w:r>
        <w:rPr>
          <w:rFonts w:hint="cs"/>
          <w:rtl/>
        </w:rPr>
        <w:t>'</w:t>
      </w:r>
      <w:r w:rsidRPr="006357E7">
        <w:rPr>
          <w:rtl/>
        </w:rPr>
        <w:t>רמ"ח</w:t>
      </w:r>
      <w:r>
        <w:rPr>
          <w:rFonts w:hint="cs"/>
          <w:rtl/>
        </w:rPr>
        <w:t>'</w:t>
      </w:r>
      <w:r w:rsidRPr="006357E7">
        <w:rPr>
          <w:rtl/>
        </w:rPr>
        <w:t xml:space="preserve"> תוספת מר' מרדכי חפץ)</w:t>
      </w:r>
      <w:r>
        <w:rPr>
          <w:rFonts w:hint="cs"/>
          <w:rtl/>
        </w:rPr>
        <w:t>;</w:t>
      </w:r>
      <w:r w:rsidRPr="006357E7">
        <w:rPr>
          <w:rtl/>
        </w:rPr>
        <w:t xml:space="preserve"> ו - נא</w:t>
      </w:r>
      <w:r>
        <w:rPr>
          <w:rFonts w:hint="cs"/>
          <w:rtl/>
        </w:rPr>
        <w:t>;</w:t>
      </w:r>
      <w:r w:rsidRPr="006357E7">
        <w:rPr>
          <w:rtl/>
        </w:rPr>
        <w:t xml:space="preserve"> ט - קצד</w:t>
      </w:r>
      <w:r>
        <w:rPr>
          <w:rFonts w:hint="cs"/>
          <w:rtl/>
        </w:rPr>
        <w:t>;</w:t>
      </w:r>
      <w:r w:rsidRPr="006357E7">
        <w:rPr>
          <w:rtl/>
        </w:rPr>
        <w:t xml:space="preserve"> יא - מז</w:t>
      </w:r>
      <w:r>
        <w:rPr>
          <w:rFonts w:hint="cs"/>
          <w:rtl/>
        </w:rPr>
        <w:t>;</w:t>
      </w:r>
      <w:r w:rsidRPr="006357E7">
        <w:rPr>
          <w:rtl/>
        </w:rPr>
        <w:t xml:space="preserve"> יב - צ</w:t>
      </w:r>
      <w:r>
        <w:rPr>
          <w:rFonts w:hint="cs"/>
          <w:rtl/>
        </w:rPr>
        <w:t>;</w:t>
      </w:r>
      <w:r w:rsidRPr="006357E7">
        <w:rPr>
          <w:rtl/>
        </w:rPr>
        <w:t xml:space="preserve"> יד - א (ב</w:t>
      </w:r>
      <w:r>
        <w:rPr>
          <w:rFonts w:hint="cs"/>
          <w:rtl/>
        </w:rPr>
        <w:t>'לקוטי רשימות' ב</w:t>
      </w:r>
      <w:r w:rsidRPr="006357E7">
        <w:rPr>
          <w:rtl/>
        </w:rPr>
        <w:t>תוספת)</w:t>
      </w:r>
      <w:r>
        <w:rPr>
          <w:rFonts w:hint="cs"/>
          <w:rtl/>
        </w:rPr>
        <w:t>;</w:t>
      </w:r>
      <w:r w:rsidRPr="006357E7">
        <w:rPr>
          <w:rtl/>
        </w:rPr>
        <w:t xml:space="preserve"> יט - כד</w:t>
      </w:r>
      <w:r>
        <w:rPr>
          <w:rFonts w:hint="cs"/>
          <w:rtl/>
        </w:rPr>
        <w:t>;</w:t>
      </w:r>
      <w:r w:rsidRPr="006357E7">
        <w:rPr>
          <w:rtl/>
        </w:rPr>
        <w:t xml:space="preserve"> כ - צא</w:t>
      </w:r>
      <w:r>
        <w:rPr>
          <w:rFonts w:hint="cs"/>
          <w:rtl/>
        </w:rPr>
        <w:t>;</w:t>
      </w:r>
      <w:r w:rsidRPr="006357E7">
        <w:rPr>
          <w:rtl/>
        </w:rPr>
        <w:t xml:space="preserve"> כא - פד</w:t>
      </w:r>
      <w:r>
        <w:rPr>
          <w:rFonts w:hint="cs"/>
          <w:rtl/>
        </w:rPr>
        <w:t>;</w:t>
      </w:r>
      <w:r w:rsidRPr="006357E7">
        <w:rPr>
          <w:rtl/>
        </w:rPr>
        <w:t xml:space="preserve"> כב - מח</w:t>
      </w:r>
      <w:r>
        <w:rPr>
          <w:rFonts w:hint="cs"/>
          <w:rtl/>
        </w:rPr>
        <w:t>;</w:t>
      </w:r>
      <w:r w:rsidRPr="006357E7">
        <w:rPr>
          <w:rtl/>
        </w:rPr>
        <w:t xml:space="preserve"> כה - קעט</w:t>
      </w:r>
      <w:r>
        <w:rPr>
          <w:rFonts w:hint="cs"/>
          <w:rtl/>
        </w:rPr>
        <w:t>;</w:t>
      </w:r>
      <w:r w:rsidRPr="006357E7">
        <w:rPr>
          <w:rtl/>
        </w:rPr>
        <w:t xml:space="preserve"> כח - סט</w:t>
      </w:r>
      <w:r>
        <w:rPr>
          <w:rFonts w:hint="cs"/>
          <w:rtl/>
        </w:rPr>
        <w:t>;</w:t>
      </w:r>
      <w:r w:rsidRPr="006357E7">
        <w:rPr>
          <w:rtl/>
        </w:rPr>
        <w:t xml:space="preserve"> לד </w:t>
      </w:r>
      <w:r>
        <w:rPr>
          <w:rtl/>
        </w:rPr>
        <w:t>–</w:t>
      </w:r>
      <w:r w:rsidRPr="006357E7">
        <w:rPr>
          <w:rtl/>
        </w:rPr>
        <w:t xml:space="preserve"> קמ</w:t>
      </w:r>
      <w:r>
        <w:rPr>
          <w:rFonts w:hint="cs"/>
          <w:rtl/>
        </w:rPr>
        <w:t xml:space="preserve"> (ב'רמ"ח' בתוספת);</w:t>
      </w:r>
      <w:r w:rsidRPr="006357E7">
        <w:rPr>
          <w:rtl/>
        </w:rPr>
        <w:t xml:space="preserve"> לו - קכט</w:t>
      </w:r>
      <w:r>
        <w:rPr>
          <w:rFonts w:hint="cs"/>
          <w:rtl/>
        </w:rPr>
        <w:t>;</w:t>
      </w:r>
      <w:r w:rsidRPr="006357E7">
        <w:rPr>
          <w:rtl/>
        </w:rPr>
        <w:t xml:space="preserve"> מ - סד</w:t>
      </w:r>
      <w:r>
        <w:rPr>
          <w:rFonts w:hint="cs"/>
          <w:rtl/>
        </w:rPr>
        <w:t>;</w:t>
      </w:r>
      <w:r w:rsidRPr="006357E7">
        <w:rPr>
          <w:rtl/>
        </w:rPr>
        <w:t xml:space="preserve"> מא - לז</w:t>
      </w:r>
      <w:r>
        <w:rPr>
          <w:rFonts w:hint="cs"/>
          <w:rtl/>
        </w:rPr>
        <w:t>;</w:t>
      </w:r>
      <w:r w:rsidRPr="006357E7">
        <w:rPr>
          <w:rtl/>
        </w:rPr>
        <w:t xml:space="preserve"> מח - כג</w:t>
      </w:r>
      <w:r>
        <w:rPr>
          <w:rFonts w:hint="cs"/>
          <w:rtl/>
        </w:rPr>
        <w:t>;</w:t>
      </w:r>
      <w:r w:rsidRPr="006357E7">
        <w:rPr>
          <w:rtl/>
        </w:rPr>
        <w:t xml:space="preserve"> נ </w:t>
      </w:r>
      <w:r>
        <w:rPr>
          <w:rtl/>
        </w:rPr>
        <w:t>–</w:t>
      </w:r>
      <w:r w:rsidRPr="006357E7">
        <w:rPr>
          <w:rtl/>
        </w:rPr>
        <w:t xml:space="preserve"> מט</w:t>
      </w:r>
      <w:r>
        <w:rPr>
          <w:rFonts w:hint="cs"/>
          <w:rtl/>
        </w:rPr>
        <w:t xml:space="preserve">, </w:t>
      </w:r>
      <w:r w:rsidRPr="006357E7">
        <w:rPr>
          <w:rtl/>
        </w:rPr>
        <w:t>קכב</w:t>
      </w:r>
      <w:r>
        <w:rPr>
          <w:rFonts w:hint="cs"/>
          <w:rtl/>
        </w:rPr>
        <w:t>;</w:t>
      </w:r>
      <w:r w:rsidRPr="006357E7">
        <w:rPr>
          <w:rtl/>
        </w:rPr>
        <w:t xml:space="preserve"> נח - קצב</w:t>
      </w:r>
      <w:r>
        <w:rPr>
          <w:rFonts w:hint="cs"/>
          <w:rtl/>
        </w:rPr>
        <w:t>;</w:t>
      </w:r>
      <w:r w:rsidRPr="006357E7">
        <w:rPr>
          <w:rtl/>
        </w:rPr>
        <w:t xml:space="preserve"> נט - צד</w:t>
      </w:r>
      <w:r>
        <w:rPr>
          <w:rFonts w:hint="cs"/>
          <w:rtl/>
        </w:rPr>
        <w:t>;</w:t>
      </w:r>
      <w:r w:rsidRPr="006357E7">
        <w:rPr>
          <w:rtl/>
        </w:rPr>
        <w:t xml:space="preserve"> סב </w:t>
      </w:r>
      <w:r>
        <w:rPr>
          <w:rtl/>
        </w:rPr>
        <w:t>–</w:t>
      </w:r>
      <w:r w:rsidRPr="006357E7">
        <w:rPr>
          <w:rtl/>
        </w:rPr>
        <w:t xml:space="preserve"> כב</w:t>
      </w:r>
      <w:r>
        <w:rPr>
          <w:rFonts w:hint="cs"/>
          <w:rtl/>
        </w:rPr>
        <w:t xml:space="preserve"> (ב'רמ"ח' בתוספת);</w:t>
      </w:r>
      <w:r w:rsidRPr="006357E7">
        <w:rPr>
          <w:rtl/>
        </w:rPr>
        <w:t xml:space="preserve"> סג - רמח</w:t>
      </w:r>
      <w:r>
        <w:rPr>
          <w:rFonts w:hint="cs"/>
          <w:rtl/>
        </w:rPr>
        <w:t>;</w:t>
      </w:r>
      <w:r w:rsidRPr="006357E7">
        <w:rPr>
          <w:rtl/>
        </w:rPr>
        <w:t xml:space="preserve"> עח - קג</w:t>
      </w:r>
      <w:r>
        <w:rPr>
          <w:rFonts w:hint="cs"/>
          <w:rtl/>
        </w:rPr>
        <w:t>;</w:t>
      </w:r>
      <w:r w:rsidRPr="006357E7">
        <w:rPr>
          <w:rtl/>
        </w:rPr>
        <w:t xml:space="preserve"> פא - קמב</w:t>
      </w:r>
      <w:r>
        <w:rPr>
          <w:rFonts w:hint="cs"/>
          <w:rtl/>
        </w:rPr>
        <w:t>;</w:t>
      </w:r>
      <w:r w:rsidRPr="006357E7">
        <w:rPr>
          <w:rtl/>
        </w:rPr>
        <w:t xml:space="preserve"> פה - עז</w:t>
      </w:r>
      <w:r>
        <w:rPr>
          <w:rFonts w:hint="cs"/>
          <w:rtl/>
        </w:rPr>
        <w:t>;</w:t>
      </w:r>
      <w:r w:rsidRPr="006357E7">
        <w:rPr>
          <w:rtl/>
        </w:rPr>
        <w:t xml:space="preserve"> פו־פז - כה (פז קצת שונה)</w:t>
      </w:r>
      <w:r>
        <w:rPr>
          <w:rFonts w:hint="cs"/>
          <w:rtl/>
        </w:rPr>
        <w:t>;</w:t>
      </w:r>
      <w:r w:rsidRPr="006357E7">
        <w:rPr>
          <w:rtl/>
        </w:rPr>
        <w:t xml:space="preserve"> פח - קה</w:t>
      </w:r>
      <w:r>
        <w:rPr>
          <w:rFonts w:hint="cs"/>
          <w:rtl/>
        </w:rPr>
        <w:t>;</w:t>
      </w:r>
      <w:r w:rsidRPr="006357E7">
        <w:rPr>
          <w:rtl/>
        </w:rPr>
        <w:t xml:space="preserve"> צ - ע</w:t>
      </w:r>
      <w:r>
        <w:rPr>
          <w:rFonts w:hint="cs"/>
          <w:rtl/>
        </w:rPr>
        <w:t>;</w:t>
      </w:r>
      <w:r w:rsidRPr="006357E7">
        <w:rPr>
          <w:rtl/>
        </w:rPr>
        <w:t xml:space="preserve"> צא </w:t>
      </w:r>
      <w:r>
        <w:rPr>
          <w:rtl/>
        </w:rPr>
        <w:t>–</w:t>
      </w:r>
      <w:r w:rsidRPr="006357E7">
        <w:rPr>
          <w:rtl/>
        </w:rPr>
        <w:t xml:space="preserve"> מה</w:t>
      </w:r>
      <w:r>
        <w:rPr>
          <w:rFonts w:hint="cs"/>
          <w:rtl/>
        </w:rPr>
        <w:t xml:space="preserve">, </w:t>
      </w:r>
      <w:r w:rsidRPr="006357E7">
        <w:rPr>
          <w:rtl/>
        </w:rPr>
        <w:t>קנב</w:t>
      </w:r>
      <w:r>
        <w:rPr>
          <w:rFonts w:hint="cs"/>
          <w:rtl/>
        </w:rPr>
        <w:t>;</w:t>
      </w:r>
      <w:r w:rsidRPr="006357E7">
        <w:rPr>
          <w:rtl/>
        </w:rPr>
        <w:t xml:space="preserve"> צג - כ</w:t>
      </w:r>
      <w:r>
        <w:rPr>
          <w:rFonts w:hint="cs"/>
          <w:rtl/>
        </w:rPr>
        <w:t>;</w:t>
      </w:r>
      <w:r w:rsidRPr="006357E7">
        <w:rPr>
          <w:rtl/>
        </w:rPr>
        <w:t xml:space="preserve"> צד - קו</w:t>
      </w:r>
      <w:r>
        <w:rPr>
          <w:rFonts w:hint="cs"/>
          <w:rtl/>
        </w:rPr>
        <w:t>;</w:t>
      </w:r>
      <w:r w:rsidRPr="006357E7">
        <w:rPr>
          <w:rtl/>
        </w:rPr>
        <w:t xml:space="preserve"> צה - ל</w:t>
      </w:r>
      <w:r>
        <w:rPr>
          <w:rFonts w:hint="cs"/>
          <w:rtl/>
        </w:rPr>
        <w:t>;</w:t>
      </w:r>
      <w:r w:rsidRPr="006357E7">
        <w:rPr>
          <w:rtl/>
        </w:rPr>
        <w:t xml:space="preserve"> צו - פח</w:t>
      </w:r>
      <w:r>
        <w:rPr>
          <w:rFonts w:hint="cs"/>
          <w:rtl/>
        </w:rPr>
        <w:t>;</w:t>
      </w:r>
      <w:r w:rsidRPr="006357E7">
        <w:rPr>
          <w:rtl/>
        </w:rPr>
        <w:t xml:space="preserve"> צח - נה</w:t>
      </w:r>
      <w:r>
        <w:rPr>
          <w:rFonts w:hint="cs"/>
          <w:rtl/>
        </w:rPr>
        <w:t>;</w:t>
      </w:r>
      <w:r w:rsidRPr="006357E7">
        <w:rPr>
          <w:rtl/>
        </w:rPr>
        <w:t xml:space="preserve"> ק - פג</w:t>
      </w:r>
      <w:r>
        <w:rPr>
          <w:rFonts w:hint="cs"/>
          <w:rtl/>
        </w:rPr>
        <w:t>;</w:t>
      </w:r>
      <w:r w:rsidRPr="006357E7">
        <w:rPr>
          <w:rtl/>
        </w:rPr>
        <w:t xml:space="preserve"> קא - קצג</w:t>
      </w:r>
      <w:r>
        <w:rPr>
          <w:rFonts w:hint="cs"/>
          <w:rtl/>
        </w:rPr>
        <w:t>;</w:t>
      </w:r>
      <w:r w:rsidRPr="006357E7">
        <w:rPr>
          <w:rtl/>
        </w:rPr>
        <w:t xml:space="preserve"> קד - פט.</w:t>
      </w:r>
    </w:p>
    <w:p w:rsidR="00710C70" w:rsidRDefault="00710C70" w:rsidP="00F146A6">
      <w:pPr>
        <w:pStyle w:val="a3"/>
        <w:rPr>
          <w:rtl/>
        </w:rPr>
      </w:pPr>
      <w:r w:rsidRPr="006357E7">
        <w:rPr>
          <w:rtl/>
        </w:rPr>
        <w:t>המקביל ל'למען ידעו</w:t>
      </w:r>
      <w:r>
        <w:rPr>
          <w:rFonts w:hint="cs"/>
          <w:rtl/>
        </w:rPr>
        <w:t>.</w:t>
      </w:r>
      <w:r w:rsidRPr="006357E7">
        <w:rPr>
          <w:rtl/>
        </w:rPr>
        <w:t>.. בנים יולדו'</w:t>
      </w:r>
      <w:r>
        <w:rPr>
          <w:rFonts w:hint="cs"/>
          <w:rtl/>
        </w:rPr>
        <w:t xml:space="preserve"> (ולא ל'רמ"ח'): </w:t>
      </w:r>
      <w:r w:rsidRPr="006357E7">
        <w:rPr>
          <w:rtl/>
        </w:rPr>
        <w:t xml:space="preserve">טו </w:t>
      </w:r>
      <w:r>
        <w:rPr>
          <w:rFonts w:hint="cs"/>
          <w:rtl/>
        </w:rPr>
        <w:t>-</w:t>
      </w:r>
      <w:r w:rsidRPr="006357E7">
        <w:rPr>
          <w:rtl/>
        </w:rPr>
        <w:t xml:space="preserve"> נה</w:t>
      </w:r>
      <w:r>
        <w:rPr>
          <w:rFonts w:hint="cs"/>
          <w:rtl/>
        </w:rPr>
        <w:t>;</w:t>
      </w:r>
      <w:r w:rsidRPr="006357E7">
        <w:rPr>
          <w:rtl/>
        </w:rPr>
        <w:t xml:space="preserve"> כד </w:t>
      </w:r>
      <w:r>
        <w:rPr>
          <w:rFonts w:hint="cs"/>
          <w:rtl/>
        </w:rPr>
        <w:t>-</w:t>
      </w:r>
      <w:r w:rsidRPr="006357E7">
        <w:rPr>
          <w:rtl/>
        </w:rPr>
        <w:t xml:space="preserve"> נח</w:t>
      </w:r>
      <w:r>
        <w:rPr>
          <w:rFonts w:hint="cs"/>
          <w:rtl/>
        </w:rPr>
        <w:t>;</w:t>
      </w:r>
      <w:r w:rsidRPr="006357E7">
        <w:rPr>
          <w:rtl/>
        </w:rPr>
        <w:t xml:space="preserve"> לג </w:t>
      </w:r>
      <w:r>
        <w:rPr>
          <w:rFonts w:hint="cs"/>
          <w:rtl/>
        </w:rPr>
        <w:t>-</w:t>
      </w:r>
      <w:r w:rsidRPr="006357E7">
        <w:rPr>
          <w:rtl/>
        </w:rPr>
        <w:t xml:space="preserve"> נ</w:t>
      </w:r>
      <w:r>
        <w:rPr>
          <w:rFonts w:hint="cs"/>
          <w:rtl/>
        </w:rPr>
        <w:t>;</w:t>
      </w:r>
      <w:r w:rsidRPr="006357E7">
        <w:rPr>
          <w:rtl/>
        </w:rPr>
        <w:t xml:space="preserve"> נא </w:t>
      </w:r>
      <w:r>
        <w:rPr>
          <w:rFonts w:hint="cs"/>
          <w:rtl/>
        </w:rPr>
        <w:t>-</w:t>
      </w:r>
      <w:r w:rsidRPr="006357E7">
        <w:rPr>
          <w:rtl/>
        </w:rPr>
        <w:t xml:space="preserve"> קסו.</w:t>
      </w:r>
    </w:p>
    <w:p w:rsidR="00710C70" w:rsidRDefault="00710C70" w:rsidP="00F146A6">
      <w:pPr>
        <w:pStyle w:val="a3"/>
        <w:rPr>
          <w:rtl/>
        </w:rPr>
      </w:pPr>
      <w:r>
        <w:rPr>
          <w:rFonts w:hint="cs"/>
          <w:rtl/>
        </w:rPr>
        <w:t xml:space="preserve">על פי עדות ר' מרדכי שוסטרמן רשימותיו הן על יסוד הפתקאות שמצא מפוזרים אצל הרב ירחמיאל בנימינסון. וזה לשונו: "במשך שנים רבות היה החסיד הרב </w:t>
      </w:r>
      <w:r>
        <w:rPr>
          <w:rFonts w:hint="cs"/>
          <w:rtl/>
        </w:rPr>
        <w:lastRenderedPageBreak/>
        <w:t>ירחמיאל בנימינסאן . . מלקט סיפורי חסידים ופתגמים קצרים מרבותינו נשיאנו זי"ע. הוא שמע את הסיפורים ורשם אותם 'לקוטי בתר לקוטי'. את הסיפורים שמע מחסידים שונים, ובעיקר מהמשפיע המפורסם הרב שמואל גרונם אסתרמן . . באותן שנים ברוסיה טרם נדפסו ספרים מתאימים שסיפרו את תולדותיהם של רבותינו נשיאנו זי"ע, ומשום כך כשה"בלעטלאך" של הרב בנימינסאן היו נופלים לידי הייתי קורא אותם בעניין רב. כך נמשכו הדברים עד שנודע לי כי הרב בנימינסאן החליט לעזוב את בריה"מ . . לקחתי את כל כתבי היד שלו, סידרתי אותם לפי סדר הנשיאים . . והתחלתי להעתיק אותם לרשימותי . . לצערי הרב, את הפתגמים והפירושים השונים לא הספקתי להעתיק, בגלל נסיעו של הרב בנימינסאן מרוסיה . . כאשר עזבתי את רוסיה לאחר מלחמת העולם השניה, השארתי את הספר אצל אבי ז"ל . . כאשר החלו אנ"ש לצאת את רוסיה . . גילה ר' מרדכי קזלינער את אוזני שאחד החסידים הצליח להבריח את הספר".</w:t>
      </w:r>
    </w:p>
    <w:p w:rsidR="00710C70" w:rsidRDefault="00710C70" w:rsidP="00F146A6">
      <w:pPr>
        <w:pStyle w:val="a3"/>
        <w:rPr>
          <w:rtl/>
        </w:rPr>
      </w:pPr>
      <w:r>
        <w:rPr>
          <w:rFonts w:hint="cs"/>
          <w:rtl/>
        </w:rPr>
        <w:t>ר' מרדכי שוסטרמן הוסיף לסיפורים ממה ששמע הוא, שכן יש בהם תוספת מר' יחזקאל הימלשטיין הנזכר בכינוי סתרים הוא "ומר"מ ר"י אבן־שמים שמעתי" (אות ג, ראו בהעתקת ר' מרדכי קוזלינר את לשונו המקורית). הסיפורים מרשימותיו של ר' מרדכי שוסטרמן הועתקו על ידי ר' מרדכי קוזלינר, וחלקם הודפסו אף הם מרשימותיו.</w:t>
      </w:r>
      <w:r>
        <w:rPr>
          <w:rStyle w:val="FootnoteReference"/>
          <w:rtl/>
        </w:rPr>
        <w:footnoteReference w:id="261"/>
      </w:r>
    </w:p>
    <w:p w:rsidR="00710C70" w:rsidRDefault="00710C70" w:rsidP="00F146A6">
      <w:pPr>
        <w:pStyle w:val="a3"/>
        <w:rPr>
          <w:rtl/>
        </w:rPr>
      </w:pPr>
      <w:r>
        <w:rPr>
          <w:rFonts w:hint="cs"/>
          <w:rtl/>
        </w:rPr>
        <w:t>הסיפורים שב'לקוטי רשימות ומעשיות' הם מג' מחברות שהיו בארכיונו של הרב שלמה יוסף זוין.</w:t>
      </w:r>
      <w:r>
        <w:rPr>
          <w:rStyle w:val="FootnoteReference"/>
          <w:rtl/>
        </w:rPr>
        <w:footnoteReference w:id="262"/>
      </w:r>
      <w:r>
        <w:rPr>
          <w:rFonts w:hint="cs"/>
          <w:rtl/>
        </w:rPr>
        <w:t xml:space="preserve"> [יש לציין כי הפירושים וההסברים שלא נעתקו ברשימת ר' מרדכי שוסטרמן, לא הועתקו גם ברשימות שהיו בארכיונו של הרב זוין, ולכן לא סביר שהעתקתו היא העתקה מהעתקת ר' מרדכי, אלא כנראה מקורו של הרב בנימינסון הוא גם מקורו של הרב זוין. עובדה זו יש ללמוד גם מכך שהתוספת שנשמעה מפי הרב יחזקאל הימלשטיין ("אבן-שמים", כפי שכונה בהעתקות) מופיעה בשתי הרשימות].</w:t>
      </w:r>
    </w:p>
    <w:p w:rsidR="00710C70" w:rsidRPr="006357E7" w:rsidRDefault="00710C70" w:rsidP="00F146A6">
      <w:pPr>
        <w:pStyle w:val="a3"/>
        <w:rPr>
          <w:rtl/>
        </w:rPr>
      </w:pPr>
      <w:r>
        <w:rPr>
          <w:rFonts w:hint="cs"/>
          <w:rtl/>
        </w:rPr>
        <w:t>מכל זה יש להסיק, כי הסיפורים עצמם התפרסמו ככל הנראה כבר בתקופה מוקדמת. את השינויים ממהדורה למהדורה יש לתלות במעתיקים השונים.</w:t>
      </w:r>
    </w:p>
    <w:p w:rsidR="00710C70" w:rsidRPr="006357E7" w:rsidRDefault="00710C70" w:rsidP="00F146A6">
      <w:pPr>
        <w:pStyle w:val="a3"/>
        <w:rPr>
          <w:rtl/>
        </w:rPr>
      </w:pPr>
      <w:r w:rsidRPr="006357E7">
        <w:rPr>
          <w:rFonts w:hint="cs"/>
          <w:rtl/>
        </w:rPr>
        <w:t>ואמנם יש עדיין לחקור ולברר זאת מגוף הרשימות אימתי נכתבו</w:t>
      </w:r>
      <w:r>
        <w:rPr>
          <w:rFonts w:hint="cs"/>
          <w:rtl/>
        </w:rPr>
        <w:t>, ואציין בזה כמה נקודות הניכרות מתוכן הרשימות:</w:t>
      </w:r>
    </w:p>
    <w:p w:rsidR="00710C70" w:rsidRDefault="00710C70" w:rsidP="00F146A6">
      <w:pPr>
        <w:pStyle w:val="a3"/>
        <w:rPr>
          <w:rtl/>
        </w:rPr>
      </w:pPr>
      <w:r w:rsidRPr="006357E7">
        <w:rPr>
          <w:rFonts w:hint="cs"/>
          <w:rtl/>
        </w:rPr>
        <w:t xml:space="preserve">א) </w:t>
      </w:r>
      <w:r>
        <w:rPr>
          <w:rFonts w:hint="cs"/>
          <w:rtl/>
        </w:rPr>
        <w:t xml:space="preserve">הכותב מביא שמועה מהחסיד </w:t>
      </w:r>
      <w:r w:rsidRPr="006357E7">
        <w:rPr>
          <w:rFonts w:hint="cs"/>
          <w:rtl/>
        </w:rPr>
        <w:t>ר</w:t>
      </w:r>
      <w:r>
        <w:rPr>
          <w:rFonts w:hint="cs"/>
          <w:rtl/>
        </w:rPr>
        <w:t xml:space="preserve">' </w:t>
      </w:r>
      <w:r w:rsidRPr="006357E7">
        <w:rPr>
          <w:rFonts w:hint="cs"/>
          <w:rtl/>
        </w:rPr>
        <w:t>ש</w:t>
      </w:r>
      <w:r>
        <w:rPr>
          <w:rFonts w:hint="cs"/>
          <w:rtl/>
        </w:rPr>
        <w:t xml:space="preserve">מואל </w:t>
      </w:r>
      <w:r w:rsidRPr="006357E7">
        <w:rPr>
          <w:rFonts w:hint="cs"/>
          <w:rtl/>
        </w:rPr>
        <w:t>ב</w:t>
      </w:r>
      <w:r>
        <w:rPr>
          <w:rFonts w:hint="cs"/>
          <w:rtl/>
        </w:rPr>
        <w:t>צלאל שפטיל (אות יד), אשר שימש כמשפיע בתומכי תמימים עד פטירתו בסיון תרס"ה</w:t>
      </w:r>
      <w:r w:rsidRPr="006357E7">
        <w:rPr>
          <w:rFonts w:hint="cs"/>
          <w:rtl/>
        </w:rPr>
        <w:t>.</w:t>
      </w:r>
      <w:r>
        <w:rPr>
          <w:rFonts w:hint="cs"/>
          <w:rtl/>
        </w:rPr>
        <w:t xml:space="preserve"> [באחד הסיפורים המובאים </w:t>
      </w:r>
      <w:r>
        <w:rPr>
          <w:rFonts w:hint="cs"/>
          <w:rtl/>
        </w:rPr>
        <w:lastRenderedPageBreak/>
        <w:t>ב'לקוטי רשימות ומעשיות' (אות נג) הרשב"ץ נזכר בברכת החיים. ייתכן שמקורו ברשימות הנ"ל, אבל ייתכן שהעתיק רשימות מרשימות שונות, ולא רק מהעתקה אחת].</w:t>
      </w:r>
    </w:p>
    <w:p w:rsidR="00710C70" w:rsidRDefault="00710C70" w:rsidP="00F146A6">
      <w:pPr>
        <w:pStyle w:val="a3"/>
        <w:rPr>
          <w:rtl/>
        </w:rPr>
      </w:pPr>
      <w:r w:rsidRPr="006357E7">
        <w:rPr>
          <w:rFonts w:hint="cs"/>
          <w:rtl/>
        </w:rPr>
        <w:t>ב)</w:t>
      </w:r>
      <w:r>
        <w:rPr>
          <w:rFonts w:hint="cs"/>
          <w:rtl/>
        </w:rPr>
        <w:t xml:space="preserve"> הכותב מביא סיפור ששמע "מהרה"ח ר' מיכאל נ"ע" (אות קפא)</w:t>
      </w:r>
      <w:r w:rsidRPr="006357E7">
        <w:rPr>
          <w:rFonts w:hint="cs"/>
          <w:rtl/>
        </w:rPr>
        <w:t>.</w:t>
      </w:r>
      <w:r>
        <w:rPr>
          <w:rFonts w:hint="cs"/>
          <w:rtl/>
        </w:rPr>
        <w:t xml:space="preserve"> נראה שהוא ר' מיכאל בלינר, ששימש כמשפיע בתומכי תמימים עדי פטירתו במר־חשוון תרע"ב. אפשר להסיק מפירוט בעל השמועה כי קטע זה נכתב אחר פטירתו.</w:t>
      </w:r>
    </w:p>
    <w:p w:rsidR="00710C70" w:rsidRDefault="00710C70" w:rsidP="00F146A6">
      <w:pPr>
        <w:pStyle w:val="a3"/>
        <w:rPr>
          <w:rtl/>
        </w:rPr>
      </w:pPr>
      <w:r w:rsidRPr="006357E7">
        <w:rPr>
          <w:rFonts w:hint="cs"/>
          <w:rtl/>
        </w:rPr>
        <w:t xml:space="preserve">ג) </w:t>
      </w:r>
      <w:r w:rsidRPr="00E326FC">
        <w:rPr>
          <w:rtl/>
        </w:rPr>
        <w:t xml:space="preserve">מביא שמועה </w:t>
      </w:r>
      <w:r w:rsidRPr="00E326FC">
        <w:rPr>
          <w:rFonts w:hint="cs"/>
          <w:rtl/>
        </w:rPr>
        <w:t xml:space="preserve">(אות קכח) </w:t>
      </w:r>
      <w:r w:rsidRPr="00E326FC">
        <w:rPr>
          <w:rtl/>
        </w:rPr>
        <w:t>מ"ר"מ מ"ץ דזעמבין" ששמעה ב"כ"ד טבת רס"ט"</w:t>
      </w:r>
      <w:r w:rsidRPr="006357E7">
        <w:rPr>
          <w:rFonts w:hint="cs"/>
          <w:rtl/>
        </w:rPr>
        <w:t>.</w:t>
      </w:r>
      <w:r>
        <w:rPr>
          <w:rFonts w:hint="cs"/>
          <w:rtl/>
        </w:rPr>
        <w:t xml:space="preserve"> הכוונה היא לר' מנחם מענדל הילביץ'</w:t>
      </w:r>
      <w:r w:rsidRPr="00E326FC">
        <w:rPr>
          <w:rtl/>
        </w:rPr>
        <w:footnoteReference w:id="263"/>
      </w:r>
      <w:r>
        <w:rPr>
          <w:rFonts w:hint="cs"/>
          <w:rtl/>
        </w:rPr>
        <w:t xml:space="preserve"> ששימש כמו"ץ בזמבין.</w:t>
      </w:r>
    </w:p>
    <w:p w:rsidR="00710C70" w:rsidRDefault="00710C70" w:rsidP="00F146A6">
      <w:pPr>
        <w:pStyle w:val="a3"/>
        <w:rPr>
          <w:rtl/>
        </w:rPr>
      </w:pPr>
      <w:r w:rsidRPr="006357E7">
        <w:rPr>
          <w:rFonts w:hint="cs"/>
          <w:rtl/>
        </w:rPr>
        <w:t xml:space="preserve">ד) </w:t>
      </w:r>
      <w:r>
        <w:rPr>
          <w:rFonts w:hint="cs"/>
          <w:rtl/>
        </w:rPr>
        <w:t xml:space="preserve">באות קיז מביא אמרה שנאמרה </w:t>
      </w:r>
      <w:r w:rsidRPr="006357E7">
        <w:rPr>
          <w:rFonts w:hint="cs"/>
          <w:rtl/>
        </w:rPr>
        <w:t>בשמחת</w:t>
      </w:r>
      <w:r>
        <w:rPr>
          <w:rFonts w:hint="cs"/>
          <w:rtl/>
        </w:rPr>
        <w:t xml:space="preserve"> תורה</w:t>
      </w:r>
      <w:r w:rsidRPr="006357E7">
        <w:rPr>
          <w:rFonts w:hint="cs"/>
          <w:rtl/>
        </w:rPr>
        <w:t xml:space="preserve"> תרס"ט.</w:t>
      </w:r>
    </w:p>
    <w:p w:rsidR="00710C70" w:rsidRDefault="00710C70" w:rsidP="00F146A6">
      <w:pPr>
        <w:pStyle w:val="a3"/>
        <w:rPr>
          <w:rtl/>
        </w:rPr>
      </w:pPr>
      <w:r w:rsidRPr="006357E7">
        <w:rPr>
          <w:rFonts w:hint="cs"/>
          <w:rtl/>
        </w:rPr>
        <w:t xml:space="preserve">ה) </w:t>
      </w:r>
      <w:r>
        <w:rPr>
          <w:rFonts w:hint="cs"/>
          <w:rtl/>
        </w:rPr>
        <w:t>לעיל כבר הובאה פתגם הרבי הרש"ב מתשרי</w:t>
      </w:r>
      <w:r w:rsidRPr="006357E7">
        <w:rPr>
          <w:rFonts w:hint="cs"/>
          <w:rtl/>
        </w:rPr>
        <w:t xml:space="preserve"> תרס"ב</w:t>
      </w:r>
      <w:r>
        <w:rPr>
          <w:rFonts w:hint="cs"/>
          <w:rtl/>
        </w:rPr>
        <w:t xml:space="preserve"> (אות קפד)</w:t>
      </w:r>
      <w:r w:rsidRPr="006357E7">
        <w:rPr>
          <w:rFonts w:hint="cs"/>
          <w:rtl/>
        </w:rPr>
        <w:t>.</w:t>
      </w:r>
    </w:p>
    <w:p w:rsidR="00710C70" w:rsidRPr="00E326FC" w:rsidRDefault="00710C70" w:rsidP="00F146A6">
      <w:pPr>
        <w:pStyle w:val="a3"/>
        <w:rPr>
          <w:rtl/>
        </w:rPr>
      </w:pPr>
      <w:r>
        <w:rPr>
          <w:rFonts w:hint="cs"/>
          <w:rtl/>
        </w:rPr>
        <w:t>ו) אות קלח נשמעה "מהר"י מדאקשיץ".</w:t>
      </w:r>
      <w:r w:rsidRPr="00E326FC">
        <w:rPr>
          <w:rFonts w:hint="cs"/>
          <w:rtl/>
        </w:rPr>
        <w:t xml:space="preserve"> ראשי תיבות אלו נפתחו בתשורה רבינוביץ'־וולף כר' יקותיאל מדוקשיץ. ר' יקותיאל דייטש נפטר בתרס"ח. [אפשרות נוספת לפיענוח, שהכוונה לר' יוחנן גורדון שהתגורר בדוקשיץ עד תרצ"ב,</w:t>
      </w:r>
      <w:r w:rsidRPr="00E326FC">
        <w:rPr>
          <w:rtl/>
        </w:rPr>
        <w:footnoteReference w:id="264"/>
      </w:r>
      <w:r w:rsidRPr="00E326FC">
        <w:rPr>
          <w:rFonts w:hint="cs"/>
          <w:rtl/>
        </w:rPr>
        <w:t xml:space="preserve"> עת היגר לארצות הברית, כמה מהסיפורים נרשמו בתקופה מאוחרת, וא"כ הדברים יכולים להתייחס גם אליו].</w:t>
      </w:r>
    </w:p>
    <w:p w:rsidR="00710C70" w:rsidRPr="00E326FC" w:rsidRDefault="00710C70" w:rsidP="00F146A6">
      <w:pPr>
        <w:pStyle w:val="a3"/>
        <w:rPr>
          <w:rtl/>
        </w:rPr>
      </w:pPr>
      <w:r w:rsidRPr="00E326FC">
        <w:rPr>
          <w:rFonts w:hint="cs"/>
          <w:rtl/>
        </w:rPr>
        <w:t>ז) באות רכא הובא פתגם בשם "ר"מ מני". לא ידוע לי על אדם בכינוי בזה. באות רכב הובא פתגם בשם "רמ"מ שי'". תוכנו של הפתגם הוא משל מבדחן המכה את תלמידו אשר בוכה וקורא "פריילעכער". משל זה הובא באחת משיחות הרבי הריי"צ.</w:t>
      </w:r>
      <w:r w:rsidRPr="00E326FC">
        <w:rPr>
          <w:rtl/>
        </w:rPr>
        <w:footnoteReference w:id="265"/>
      </w:r>
      <w:r w:rsidRPr="00E326FC">
        <w:rPr>
          <w:rFonts w:hint="cs"/>
          <w:rtl/>
        </w:rPr>
        <w:t xml:space="preserve"> המשל מופיע גם ברשימות תלמידי ר' מנחם מענדל פוטרפס.</w:t>
      </w:r>
      <w:r w:rsidRPr="00E326FC">
        <w:rPr>
          <w:rtl/>
        </w:rPr>
        <w:footnoteReference w:id="266"/>
      </w:r>
      <w:r w:rsidRPr="00E326FC">
        <w:rPr>
          <w:rFonts w:hint="cs"/>
          <w:rtl/>
        </w:rPr>
        <w:t xml:space="preserve"> ואולי הוא רמ"מ הנ"ל.</w:t>
      </w:r>
    </w:p>
    <w:p w:rsidR="00710C70" w:rsidRPr="00E326FC" w:rsidRDefault="00710C70" w:rsidP="00F146A6">
      <w:pPr>
        <w:pStyle w:val="a3"/>
        <w:rPr>
          <w:rtl/>
        </w:rPr>
      </w:pPr>
      <w:r w:rsidRPr="00E326FC">
        <w:rPr>
          <w:rFonts w:hint="cs"/>
          <w:rtl/>
        </w:rPr>
        <w:t>ח) במוסגר באות קב נרשם "</w:t>
      </w:r>
      <w:r w:rsidRPr="00E326FC">
        <w:rPr>
          <w:rtl/>
        </w:rPr>
        <w:t>רמ"ח הי"ד שו"ב מריגא א' נו"א</w:t>
      </w:r>
      <w:r w:rsidRPr="00E326FC">
        <w:rPr>
          <w:rFonts w:hint="cs"/>
          <w:rtl/>
        </w:rPr>
        <w:t>", ומזה ברור שהכותב הוסיף את ששמע מר' מרדכי חפץ, אחר שואת יהודי אירופה.</w:t>
      </w:r>
    </w:p>
    <w:p w:rsidR="00710C70" w:rsidRPr="00E326FC" w:rsidRDefault="00710C70" w:rsidP="00F146A6">
      <w:pPr>
        <w:pStyle w:val="a3"/>
        <w:rPr>
          <w:rtl/>
        </w:rPr>
      </w:pPr>
      <w:r w:rsidRPr="00E326FC">
        <w:rPr>
          <w:rFonts w:hint="cs"/>
          <w:rtl/>
        </w:rPr>
        <w:t xml:space="preserve">והנה לא כל הפרטים הנ"ל מתאימים לרב שאול דובער זיסלין, ונראה בבירור שכתיבת הסיפורים השתנתה ממעתיק למעתיק, וכנראה כמה מהם הוסיפו מהנמצא להם ברשימות שהיו בידיהם, או מרשימותיהם שלהם. וברור שייחוס הקונטרס לר' שאול דובער זיסלין כחטיבה שלימה חוטא לאמת. לא ברור עד כמה גדול חלקו </w:t>
      </w:r>
      <w:r w:rsidRPr="00E326FC">
        <w:rPr>
          <w:rFonts w:hint="cs"/>
          <w:rtl/>
        </w:rPr>
        <w:lastRenderedPageBreak/>
        <w:t>ברשימות הנ"ל. בכל אופן ברור מהרשימות שכתיבתן התפרשה על פני תקופה, ולא שייך שייחוסם יהיה לאדם יחיד.</w:t>
      </w:r>
    </w:p>
    <w:p w:rsidR="00710C70" w:rsidRPr="00E326FC" w:rsidRDefault="00710C70" w:rsidP="00F146A6">
      <w:pPr>
        <w:pStyle w:val="a3"/>
        <w:rPr>
          <w:rtl/>
        </w:rPr>
      </w:pPr>
      <w:r w:rsidRPr="00E326FC">
        <w:rPr>
          <w:rFonts w:hint="cs"/>
          <w:rtl/>
        </w:rPr>
        <w:t>ולאופן בו הגיעו הרשימות בצורתן הנדפסת (היינו הסיפורים, הפירושים וכו') יש שני אופנים:</w:t>
      </w:r>
    </w:p>
    <w:p w:rsidR="00710C70" w:rsidRPr="00E326FC" w:rsidRDefault="00710C70" w:rsidP="00F146A6">
      <w:pPr>
        <w:pStyle w:val="a3"/>
        <w:rPr>
          <w:rtl/>
        </w:rPr>
      </w:pPr>
      <w:r w:rsidRPr="00E326FC">
        <w:rPr>
          <w:rFonts w:hint="cs"/>
          <w:rtl/>
        </w:rPr>
        <w:t>(א) הרב ירחמיאל בנימינסון הוציא את הרשימות מרוסיה, שם פגש בר' מרדכי חפץ בצאתו דרך ריגה, ובדרך כלשהיא הגיעו הרשימות לארץ ישראל (ואולי יהיה לדקדק לתקופת הגעתן, ע"פ נצדק בסעיף ז לעיל, כי היה זה אחר תשכ"ד).</w:t>
      </w:r>
    </w:p>
    <w:p w:rsidR="00710C70" w:rsidRPr="00E326FC" w:rsidRDefault="00710C70" w:rsidP="00F146A6">
      <w:pPr>
        <w:pStyle w:val="a3"/>
        <w:rPr>
          <w:rtl/>
        </w:rPr>
      </w:pPr>
      <w:r w:rsidRPr="00E326FC">
        <w:rPr>
          <w:rFonts w:hint="cs"/>
          <w:rtl/>
        </w:rPr>
        <w:t>(ב) הרשימות הגיעו בזמן כלשהוא יחד עם א' החסידים שהגיעו מרוסיה, והמו"ל הראשון הוסיף גם הוספות תוכניות בקונטרס, וזה יאבד עוד יותר מהאותנטיות של הקונטרס.</w:t>
      </w:r>
    </w:p>
    <w:p w:rsidR="00710C70" w:rsidRPr="00E326FC" w:rsidRDefault="00710C70" w:rsidP="00F146A6">
      <w:pPr>
        <w:pStyle w:val="a3"/>
        <w:rPr>
          <w:rtl/>
        </w:rPr>
      </w:pPr>
      <w:r w:rsidRPr="00E326FC">
        <w:rPr>
          <w:rFonts w:hint="cs"/>
          <w:rtl/>
        </w:rPr>
        <w:t>וכעת יש להידרש למוציא לאור הראשון:</w:t>
      </w:r>
    </w:p>
    <w:p w:rsidR="00710C70" w:rsidRDefault="00710C70" w:rsidP="00F146A6">
      <w:pPr>
        <w:pStyle w:val="a3"/>
        <w:rPr>
          <w:rtl/>
        </w:rPr>
      </w:pPr>
      <w:r>
        <w:rPr>
          <w:rFonts w:hint="cs"/>
          <w:rtl/>
        </w:rPr>
        <w:t>ככל הנראה שם הקונטרס 'רמ"ח אותיות' ניתן במהדורה הראשונה שבה יצא לאור במסגרתו הקבועה שמצויה לפנינו. על פי המידע שהוצג לעיל (ובהערה 2), המהדורה המוקדמת ביותר היא ככל הנראה משנת תשכ"ו, ועכ"פ לא תאוחר משנת תשל"א.</w:t>
      </w:r>
    </w:p>
    <w:p w:rsidR="00710C70" w:rsidRDefault="00710C70" w:rsidP="00F146A6">
      <w:pPr>
        <w:pStyle w:val="a3"/>
        <w:rPr>
          <w:rtl/>
        </w:rPr>
      </w:pPr>
      <w:r w:rsidRPr="00E326FC">
        <w:rPr>
          <w:rFonts w:hint="cs"/>
          <w:rtl/>
        </w:rPr>
        <w:t>ישנן הוספות שנכתבו כנראה על ידי המביא לדפוס, לדוגמא, (א) אות קא, במוסגר בסופו נרשם "</w:t>
      </w:r>
      <w:r w:rsidRPr="00E326FC">
        <w:rPr>
          <w:rtl/>
        </w:rPr>
        <w:t>להעיר מספר הזכרונות ומשיחות כ"ק אדמו"ר נ"ע ששמע להיפך</w:t>
      </w:r>
      <w:r w:rsidRPr="00E326FC">
        <w:rPr>
          <w:rFonts w:hint="cs"/>
          <w:rtl/>
        </w:rPr>
        <w:t>". (ב) באות קפב בסופו נרשם בתוך מוסגר "</w:t>
      </w:r>
      <w:r w:rsidRPr="00E326FC">
        <w:rPr>
          <w:rtl/>
        </w:rPr>
        <w:t>עיין שיחה ליקוט י"ד סי' מ"ג עד אחר מ"ז</w:t>
      </w:r>
      <w:r w:rsidRPr="00E326FC">
        <w:rPr>
          <w:rFonts w:hint="cs"/>
          <w:rtl/>
        </w:rPr>
        <w:t>", זו הפנייה ללקוטי דיבורים.</w:t>
      </w:r>
      <w:r>
        <w:rPr>
          <w:rFonts w:hint="cs"/>
          <w:rtl/>
        </w:rPr>
        <w:t xml:space="preserve"> ועוד.</w:t>
      </w:r>
    </w:p>
    <w:p w:rsidR="00710C70" w:rsidRPr="006357E7" w:rsidRDefault="00710C70" w:rsidP="00F146A6">
      <w:pPr>
        <w:pStyle w:val="a3"/>
        <w:rPr>
          <w:rtl/>
        </w:rPr>
      </w:pPr>
      <w:r>
        <w:rPr>
          <w:rFonts w:hint="cs"/>
          <w:rtl/>
        </w:rPr>
        <w:t>כנראה אף סדר הסיפורים והפתגמים טופל בידי המביא הראשון לבית הדפוס והם מופיעים בערבוביה, שכן חסר סדר קדימה ואיחור, אף לפי סדר זמן הכתיבה המסתבר בעיון הדברים.</w:t>
      </w:r>
    </w:p>
    <w:p w:rsidR="00710C70" w:rsidRDefault="00710C70" w:rsidP="00F146A6">
      <w:pPr>
        <w:pStyle w:val="a3"/>
        <w:rPr>
          <w:rtl/>
        </w:rPr>
      </w:pPr>
      <w:r>
        <w:rPr>
          <w:rFonts w:hint="cs"/>
          <w:rtl/>
        </w:rPr>
        <w:t>כך גם כמה מהסיפורים הועתקו ברשלנות עם טעויות קטנות או גדולות, ואתן דוגמא אחת, ב'למען ידעו' אות עג מובא פתגם מאדמו"ר הזקן. וכך הובא גם</w:t>
      </w:r>
      <w:r w:rsidRPr="006357E7">
        <w:rPr>
          <w:rtl/>
        </w:rPr>
        <w:t xml:space="preserve"> </w:t>
      </w:r>
      <w:r>
        <w:rPr>
          <w:rFonts w:hint="cs"/>
          <w:rtl/>
        </w:rPr>
        <w:t>ב</w:t>
      </w:r>
      <w:r w:rsidRPr="006357E7">
        <w:rPr>
          <w:rtl/>
        </w:rPr>
        <w:t>סיפור צא בלקוטי רשימות ומעשיות</w:t>
      </w:r>
      <w:r>
        <w:rPr>
          <w:rFonts w:hint="cs"/>
          <w:rtl/>
        </w:rPr>
        <w:t>.</w:t>
      </w:r>
      <w:r w:rsidRPr="006357E7">
        <w:rPr>
          <w:rtl/>
        </w:rPr>
        <w:t xml:space="preserve"> </w:t>
      </w:r>
      <w:r>
        <w:rPr>
          <w:rFonts w:hint="cs"/>
          <w:rtl/>
        </w:rPr>
        <w:t>לעומת זאת ב</w:t>
      </w:r>
      <w:r w:rsidRPr="006357E7">
        <w:rPr>
          <w:rtl/>
        </w:rPr>
        <w:t xml:space="preserve">סיפור קנב ברמ"ח אותיות, </w:t>
      </w:r>
      <w:r>
        <w:rPr>
          <w:rFonts w:hint="cs"/>
          <w:rtl/>
        </w:rPr>
        <w:t>יוחס</w:t>
      </w:r>
      <w:r w:rsidRPr="006357E7">
        <w:rPr>
          <w:rtl/>
        </w:rPr>
        <w:t xml:space="preserve"> לכ"ק אדמו"ר האמצעי</w:t>
      </w:r>
      <w:r>
        <w:rPr>
          <w:rFonts w:hint="cs"/>
          <w:rtl/>
        </w:rPr>
        <w:t>. סביר להניח שבמקור הדברים אכן יוחסו הדברים לאדמו"ר הזקן, אלא שהמו"ל החליף זה בזה</w:t>
      </w:r>
      <w:r w:rsidRPr="006357E7">
        <w:rPr>
          <w:rtl/>
        </w:rPr>
        <w:t>.</w:t>
      </w:r>
    </w:p>
    <w:p w:rsidR="00710C70" w:rsidRDefault="00710C70" w:rsidP="00F146A6">
      <w:pPr>
        <w:pStyle w:val="a3"/>
      </w:pPr>
      <w:r>
        <w:rPr>
          <w:rFonts w:hint="cs"/>
          <w:rtl/>
        </w:rPr>
        <w:t>והדברים עוד טעונים עיון ובירור רחב.</w:t>
      </w:r>
    </w:p>
    <w:p w:rsidR="00E326FC" w:rsidRDefault="00E326FC" w:rsidP="0048134B">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0836F8">
        <w:rPr>
          <w:rFonts w:ascii="Nymphette" w:eastAsia="Times New Roman" w:hAnsi="Nymphette" w:cs="Nymphette"/>
          <w:sz w:val="44"/>
          <w:szCs w:val="44"/>
        </w:rPr>
        <w:t>g</w:t>
      </w:r>
    </w:p>
    <w:p w:rsidR="000836F8" w:rsidRPr="000836F8" w:rsidRDefault="000836F8" w:rsidP="000836F8">
      <w:pPr>
        <w:bidi/>
        <w:spacing w:after="120" w:line="288" w:lineRule="auto"/>
        <w:jc w:val="center"/>
        <w:rPr>
          <w:rFonts w:ascii="Narkisim" w:eastAsia="Times New Roman" w:hAnsi="Narkisim" w:cs="1ShefaClassic"/>
          <w:b/>
          <w:sz w:val="27"/>
          <w:szCs w:val="27"/>
          <w:rtl/>
        </w:rPr>
      </w:pPr>
    </w:p>
    <w:p w:rsidR="000836F8" w:rsidRPr="000836F8" w:rsidRDefault="000836F8" w:rsidP="000836F8">
      <w:pPr>
        <w:widowControl w:val="0"/>
        <w:bidi/>
        <w:spacing w:after="120" w:line="276" w:lineRule="auto"/>
        <w:ind w:firstLine="288"/>
        <w:jc w:val="both"/>
        <w:rPr>
          <w:rFonts w:ascii="FbFrankReal" w:eastAsia="Calibri" w:hAnsi="FbFrankReal" w:cs="FbFrankReal"/>
          <w:color w:val="000000" w:themeColor="text1"/>
          <w:sz w:val="24"/>
          <w:szCs w:val="24"/>
          <w:bdr w:val="nil"/>
          <w:rtl/>
          <w:lang w:val="bg-BG"/>
        </w:rPr>
      </w:pPr>
    </w:p>
    <w:p w:rsidR="000836F8" w:rsidRPr="000836F8" w:rsidRDefault="000836F8" w:rsidP="000836F8">
      <w:pPr>
        <w:bidi/>
        <w:jc w:val="center"/>
        <w:rPr>
          <w:rFonts w:cs="1ShefaClassic"/>
          <w:sz w:val="27"/>
          <w:szCs w:val="27"/>
          <w:rtl/>
        </w:rPr>
      </w:pPr>
    </w:p>
    <w:p w:rsidR="000836F8" w:rsidRPr="000836F8" w:rsidRDefault="000836F8" w:rsidP="000836F8">
      <w:pPr>
        <w:bidi/>
        <w:jc w:val="center"/>
        <w:rPr>
          <w:rFonts w:cs="1ShefaClassic"/>
          <w:sz w:val="27"/>
          <w:szCs w:val="27"/>
          <w:rtl/>
        </w:rPr>
      </w:pPr>
    </w:p>
    <w:p w:rsidR="000836F8" w:rsidRPr="000836F8" w:rsidRDefault="000836F8" w:rsidP="000836F8">
      <w:pPr>
        <w:bidi/>
        <w:jc w:val="center"/>
        <w:rPr>
          <w:rFonts w:cs="1ShefaClassic"/>
          <w:sz w:val="27"/>
          <w:szCs w:val="27"/>
          <w:rtl/>
        </w:rPr>
      </w:pPr>
    </w:p>
    <w:p w:rsidR="000836F8" w:rsidRPr="000836F8" w:rsidRDefault="000836F8" w:rsidP="000836F8">
      <w:pPr>
        <w:bidi/>
        <w:spacing w:before="100" w:after="0" w:line="240" w:lineRule="auto"/>
        <w:jc w:val="center"/>
        <w:rPr>
          <w:rFonts w:cs="1ShefaClassic"/>
          <w:b/>
          <w:bCs/>
          <w:sz w:val="24"/>
          <w:szCs w:val="24"/>
          <w:rtl/>
        </w:rPr>
      </w:pPr>
    </w:p>
    <w:p w:rsidR="000836F8" w:rsidRPr="000836F8" w:rsidRDefault="000836F8" w:rsidP="000836F8">
      <w:pPr>
        <w:bidi/>
        <w:spacing w:before="100" w:after="0" w:line="240" w:lineRule="auto"/>
        <w:jc w:val="center"/>
        <w:rPr>
          <w:rFonts w:cs="1ShefaClassic"/>
          <w:b/>
          <w:bCs/>
          <w:sz w:val="24"/>
          <w:szCs w:val="24"/>
          <w:rtl/>
        </w:rPr>
      </w:pPr>
    </w:p>
    <w:p w:rsidR="000836F8" w:rsidRPr="000836F8" w:rsidRDefault="000836F8" w:rsidP="000836F8">
      <w:pPr>
        <w:bidi/>
        <w:spacing w:after="120" w:line="288" w:lineRule="auto"/>
        <w:jc w:val="center"/>
        <w:rPr>
          <w:rFonts w:ascii="Narkisim" w:eastAsia="Times New Roman" w:hAnsi="Narkisim" w:cs="1ShefaClassic"/>
          <w:sz w:val="32"/>
          <w:szCs w:val="32"/>
        </w:rPr>
      </w:pPr>
      <w:r w:rsidRPr="000836F8">
        <w:rPr>
          <w:rFonts w:ascii="Narkisim" w:eastAsia="Times New Roman" w:hAnsi="Narkisim" w:cs="1ShefaClassic" w:hint="cs"/>
          <w:sz w:val="32"/>
          <w:szCs w:val="32"/>
          <w:rtl/>
        </w:rPr>
        <w:t>לזכות</w:t>
      </w:r>
    </w:p>
    <w:p w:rsidR="000836F8" w:rsidRPr="000836F8" w:rsidRDefault="000836F8" w:rsidP="000836F8">
      <w:pPr>
        <w:bidi/>
        <w:spacing w:after="120" w:line="288" w:lineRule="auto"/>
        <w:jc w:val="center"/>
        <w:rPr>
          <w:rFonts w:ascii="Narkisim" w:eastAsia="Times New Roman" w:hAnsi="Narkisim" w:cs="1ShefaClassic"/>
          <w:b/>
          <w:sz w:val="32"/>
          <w:szCs w:val="32"/>
          <w:rtl/>
        </w:rPr>
      </w:pPr>
      <w:r w:rsidRPr="000836F8">
        <w:rPr>
          <w:rFonts w:ascii="Narkisim" w:eastAsia="Times New Roman" w:hAnsi="Narkisim" w:cs="1ShefaClassic"/>
          <w:b/>
          <w:sz w:val="32"/>
          <w:szCs w:val="32"/>
          <w:rtl/>
        </w:rPr>
        <w:t>ידידנו הנכבד והנעלה כותב חשוב ו</w:t>
      </w:r>
      <w:r w:rsidRPr="000836F8">
        <w:rPr>
          <w:rFonts w:ascii="Narkisim" w:eastAsia="Times New Roman" w:hAnsi="Narkisim" w:cs="1ShefaClassic" w:hint="cs"/>
          <w:b/>
          <w:sz w:val="32"/>
          <w:szCs w:val="32"/>
          <w:rtl/>
        </w:rPr>
        <w:t>קבוע</w:t>
      </w:r>
      <w:r w:rsidRPr="000836F8">
        <w:rPr>
          <w:rFonts w:ascii="Narkisim" w:eastAsia="Times New Roman" w:hAnsi="Narkisim" w:cs="1ShefaClassic"/>
          <w:b/>
          <w:sz w:val="32"/>
          <w:szCs w:val="32"/>
          <w:rtl/>
        </w:rPr>
        <w:t xml:space="preserve"> בהקובץ</w:t>
      </w:r>
    </w:p>
    <w:p w:rsidR="000836F8" w:rsidRPr="000836F8" w:rsidRDefault="000836F8" w:rsidP="000836F8">
      <w:pPr>
        <w:bidi/>
        <w:spacing w:after="120" w:line="288" w:lineRule="auto"/>
        <w:jc w:val="center"/>
        <w:rPr>
          <w:rFonts w:ascii="Narkisim" w:eastAsia="Times New Roman" w:hAnsi="Narkisim" w:cs="1ShefaClassic"/>
          <w:b/>
          <w:sz w:val="32"/>
          <w:szCs w:val="32"/>
          <w:rtl/>
        </w:rPr>
      </w:pPr>
      <w:r w:rsidRPr="000836F8">
        <w:rPr>
          <w:rFonts w:ascii="Narkisim" w:eastAsia="Times New Roman" w:hAnsi="Narkisim" w:cs="1ShefaClassic"/>
          <w:b/>
          <w:sz w:val="32"/>
          <w:szCs w:val="32"/>
          <w:rtl/>
        </w:rPr>
        <w:t>הרה"ת הרה"ח ר'</w:t>
      </w:r>
      <w:r w:rsidRPr="000836F8">
        <w:rPr>
          <w:rFonts w:ascii="Narkisim" w:eastAsia="Times New Roman" w:hAnsi="Narkisim" w:cs="1ShefaClassic"/>
          <w:bCs/>
          <w:sz w:val="32"/>
          <w:szCs w:val="32"/>
          <w:rtl/>
        </w:rPr>
        <w:t xml:space="preserve"> </w:t>
      </w:r>
      <w:r w:rsidRPr="000836F8">
        <w:rPr>
          <w:rFonts w:ascii="Narkisim" w:eastAsia="Times New Roman" w:hAnsi="Narkisim" w:cs="1ShefaClassic" w:hint="cs"/>
          <w:bCs/>
          <w:sz w:val="32"/>
          <w:szCs w:val="32"/>
          <w:rtl/>
        </w:rPr>
        <w:t xml:space="preserve">רפאל </w:t>
      </w:r>
      <w:r w:rsidRPr="000836F8">
        <w:rPr>
          <w:rFonts w:ascii="Narkisim" w:eastAsia="Times New Roman" w:hAnsi="Narkisim" w:cs="1ShefaClassic"/>
          <w:bCs/>
          <w:sz w:val="32"/>
          <w:szCs w:val="32"/>
          <w:rtl/>
        </w:rPr>
        <w:t>זאב</w:t>
      </w:r>
      <w:r w:rsidRPr="000836F8">
        <w:rPr>
          <w:rFonts w:ascii="Narkisim" w:eastAsia="Times New Roman" w:hAnsi="Narkisim" w:cs="1ShefaClassic"/>
          <w:b/>
          <w:sz w:val="32"/>
          <w:szCs w:val="32"/>
          <w:rtl/>
        </w:rPr>
        <w:t xml:space="preserve"> </w:t>
      </w:r>
      <w:r w:rsidRPr="000836F8">
        <w:rPr>
          <w:rFonts w:ascii="Narkisim" w:eastAsia="Times New Roman" w:hAnsi="Narkisim" w:cs="1ShefaClassic" w:hint="cs"/>
          <w:b/>
          <w:sz w:val="32"/>
          <w:szCs w:val="32"/>
          <w:rtl/>
        </w:rPr>
        <w:t xml:space="preserve">שי' </w:t>
      </w:r>
      <w:r w:rsidRPr="000836F8">
        <w:rPr>
          <w:rFonts w:ascii="Narkisim" w:eastAsia="Times New Roman" w:hAnsi="Narkisim" w:cs="1ShefaClassic"/>
          <w:b/>
          <w:sz w:val="32"/>
          <w:szCs w:val="32"/>
          <w:rtl/>
        </w:rPr>
        <w:t xml:space="preserve">בן </w:t>
      </w:r>
      <w:r w:rsidRPr="000836F8">
        <w:rPr>
          <w:rFonts w:ascii="Narkisim" w:eastAsia="Times New Roman" w:hAnsi="Narkisim" w:cs="1ShefaClassic"/>
          <w:bCs/>
          <w:sz w:val="32"/>
          <w:szCs w:val="32"/>
          <w:rtl/>
        </w:rPr>
        <w:t>ריקל</w:t>
      </w:r>
      <w:r w:rsidRPr="000836F8">
        <w:rPr>
          <w:rFonts w:ascii="Narkisim" w:eastAsia="Times New Roman" w:hAnsi="Narkisim" w:cs="1ShefaClassic"/>
          <w:b/>
          <w:sz w:val="32"/>
          <w:szCs w:val="32"/>
          <w:rtl/>
        </w:rPr>
        <w:t xml:space="preserve"> </w:t>
      </w:r>
      <w:r w:rsidRPr="000836F8">
        <w:rPr>
          <w:rFonts w:ascii="Narkisim" w:eastAsia="Times New Roman" w:hAnsi="Narkisim" w:cs="1ShefaClassic" w:hint="cs"/>
          <w:b/>
          <w:sz w:val="32"/>
          <w:szCs w:val="32"/>
          <w:rtl/>
        </w:rPr>
        <w:br/>
        <w:t xml:space="preserve">שישלח לו השי"ת </w:t>
      </w:r>
      <w:r w:rsidRPr="000836F8">
        <w:rPr>
          <w:rFonts w:ascii="Narkisim" w:eastAsia="Times New Roman" w:hAnsi="Narkisim" w:cs="1ShefaClassic"/>
          <w:b/>
          <w:sz w:val="32"/>
          <w:szCs w:val="32"/>
          <w:rtl/>
        </w:rPr>
        <w:t>רפואה שלימה ברמ"ח אבריו ושס"ה גידיו</w:t>
      </w:r>
      <w:r w:rsidRPr="000836F8">
        <w:rPr>
          <w:rFonts w:ascii="Narkisim" w:eastAsia="Times New Roman" w:hAnsi="Narkisim" w:cs="1ShefaClassic" w:hint="cs"/>
          <w:b/>
          <w:sz w:val="32"/>
          <w:szCs w:val="32"/>
          <w:rtl/>
        </w:rPr>
        <w:t xml:space="preserve"> </w:t>
      </w:r>
    </w:p>
    <w:p w:rsidR="000836F8" w:rsidRPr="000836F8" w:rsidRDefault="000836F8" w:rsidP="000836F8">
      <w:pPr>
        <w:bidi/>
        <w:spacing w:after="120" w:line="288" w:lineRule="auto"/>
        <w:jc w:val="center"/>
        <w:rPr>
          <w:rFonts w:ascii="Narkisim" w:eastAsia="Times New Roman" w:hAnsi="Narkisim" w:cs="1ShefaClassic"/>
          <w:b/>
          <w:sz w:val="32"/>
          <w:szCs w:val="32"/>
        </w:rPr>
      </w:pPr>
      <w:r w:rsidRPr="000836F8">
        <w:rPr>
          <w:rFonts w:ascii="Narkisim" w:eastAsia="Times New Roman" w:hAnsi="Narkisim" w:cs="1ShefaClassic" w:hint="cs"/>
          <w:b/>
          <w:sz w:val="32"/>
          <w:szCs w:val="32"/>
          <w:rtl/>
        </w:rPr>
        <w:t>ויחזור לאיתנו בקרוב ממש</w:t>
      </w:r>
    </w:p>
    <w:p w:rsidR="000836F8" w:rsidRPr="000836F8" w:rsidRDefault="000836F8" w:rsidP="000836F8">
      <w:pPr>
        <w:bidi/>
        <w:spacing w:after="120" w:line="288" w:lineRule="auto"/>
        <w:jc w:val="center"/>
        <w:rPr>
          <w:rFonts w:ascii="Narkisim" w:eastAsia="Times New Roman" w:hAnsi="Narkisim" w:cs="1ShefaClassic"/>
          <w:sz w:val="27"/>
          <w:szCs w:val="27"/>
        </w:rPr>
      </w:pPr>
    </w:p>
    <w:p w:rsidR="000836F8" w:rsidRPr="000836F8" w:rsidRDefault="000836F8" w:rsidP="000836F8">
      <w:pPr>
        <w:bidi/>
        <w:spacing w:after="120" w:line="288" w:lineRule="auto"/>
        <w:jc w:val="center"/>
        <w:rPr>
          <w:rFonts w:ascii="Narkisim" w:eastAsia="Times New Roman" w:hAnsi="Narkisim" w:cs="1ShefaClassic"/>
          <w:b/>
          <w:sz w:val="27"/>
          <w:szCs w:val="27"/>
        </w:rPr>
      </w:pPr>
    </w:p>
    <w:p w:rsidR="000836F8" w:rsidRPr="000836F8" w:rsidRDefault="000836F8" w:rsidP="000836F8"/>
    <w:p w:rsidR="000836F8" w:rsidRPr="000836F8" w:rsidRDefault="000836F8" w:rsidP="000836F8"/>
    <w:p w:rsidR="000836F8" w:rsidRPr="000836F8" w:rsidRDefault="000836F8" w:rsidP="000836F8">
      <w:r w:rsidRPr="000836F8">
        <w:br w:type="page"/>
      </w:r>
    </w:p>
    <w:p w:rsidR="000836F8" w:rsidRPr="000836F8" w:rsidRDefault="000836F8" w:rsidP="000836F8">
      <w:pPr>
        <w:bidi/>
        <w:spacing w:after="120" w:line="288" w:lineRule="auto"/>
        <w:jc w:val="center"/>
        <w:rPr>
          <w:rFonts w:ascii="Narkisim" w:eastAsia="Times New Roman" w:hAnsi="Narkisim" w:cs="1ShefaClassic"/>
          <w:b/>
          <w:sz w:val="27"/>
          <w:szCs w:val="27"/>
          <w:rtl/>
        </w:rPr>
      </w:pPr>
    </w:p>
    <w:p w:rsidR="008F409D" w:rsidRDefault="008F409D" w:rsidP="008F409D">
      <w:pPr>
        <w:bidi/>
        <w:spacing w:after="0" w:line="360" w:lineRule="auto"/>
        <w:jc w:val="center"/>
        <w:rPr>
          <w:rFonts w:ascii="Narkisim" w:eastAsia="Times New Roman" w:hAnsi="Narkisim" w:cs="1ShefaClassic"/>
          <w:b/>
          <w:sz w:val="27"/>
          <w:szCs w:val="27"/>
          <w:rtl/>
        </w:rPr>
      </w:pPr>
    </w:p>
    <w:p w:rsidR="008F409D" w:rsidRDefault="008F409D" w:rsidP="008F409D">
      <w:pPr>
        <w:bidi/>
        <w:spacing w:after="0" w:line="360" w:lineRule="auto"/>
        <w:jc w:val="center"/>
        <w:rPr>
          <w:rFonts w:ascii="Narkisim" w:eastAsia="Times New Roman" w:hAnsi="Narkisim" w:cs="1ShefaClassic"/>
          <w:b/>
          <w:sz w:val="27"/>
          <w:szCs w:val="27"/>
          <w:rtl/>
        </w:rPr>
      </w:pPr>
    </w:p>
    <w:p w:rsidR="00A20842" w:rsidRDefault="00A20842" w:rsidP="00A20842">
      <w:pPr>
        <w:bidi/>
        <w:spacing w:after="0" w:line="360" w:lineRule="auto"/>
        <w:jc w:val="center"/>
        <w:rPr>
          <w:rFonts w:ascii="Narkisim" w:eastAsia="Times New Roman" w:hAnsi="Narkisim" w:cs="1ShefaClassic"/>
          <w:b/>
          <w:sz w:val="27"/>
          <w:szCs w:val="27"/>
          <w:rtl/>
        </w:rPr>
      </w:pPr>
    </w:p>
    <w:p w:rsidR="00A20842" w:rsidRDefault="00A20842" w:rsidP="00A20842">
      <w:pPr>
        <w:bidi/>
        <w:spacing w:after="0" w:line="360" w:lineRule="auto"/>
        <w:jc w:val="center"/>
        <w:rPr>
          <w:rFonts w:ascii="Narkisim" w:eastAsia="Times New Roman" w:hAnsi="Narkisim" w:cs="1ShefaClassic"/>
          <w:b/>
          <w:sz w:val="27"/>
          <w:szCs w:val="27"/>
          <w:rtl/>
        </w:rPr>
      </w:pPr>
    </w:p>
    <w:p w:rsidR="00A20842" w:rsidRDefault="00A20842" w:rsidP="00A20842">
      <w:pPr>
        <w:bidi/>
        <w:spacing w:after="0" w:line="360" w:lineRule="auto"/>
        <w:jc w:val="center"/>
        <w:rPr>
          <w:rFonts w:ascii="Narkisim" w:eastAsia="Times New Roman" w:hAnsi="Narkisim" w:cs="1ShefaClassic"/>
          <w:b/>
          <w:sz w:val="27"/>
          <w:szCs w:val="27"/>
          <w:rtl/>
        </w:rPr>
      </w:pPr>
    </w:p>
    <w:p w:rsidR="008F409D" w:rsidRPr="00A20842" w:rsidRDefault="008F409D" w:rsidP="008F409D">
      <w:pPr>
        <w:bidi/>
        <w:spacing w:after="0" w:line="360" w:lineRule="auto"/>
        <w:jc w:val="center"/>
        <w:rPr>
          <w:rFonts w:cs="1ShefaClassic"/>
          <w:sz w:val="28"/>
          <w:szCs w:val="28"/>
          <w:rtl/>
        </w:rPr>
      </w:pPr>
      <w:r w:rsidRPr="00A20842">
        <w:rPr>
          <w:rFonts w:cs="1ShefaClassic"/>
          <w:sz w:val="28"/>
          <w:szCs w:val="28"/>
          <w:rtl/>
        </w:rPr>
        <w:t>מוקדש</w:t>
      </w:r>
    </w:p>
    <w:p w:rsidR="008F409D" w:rsidRPr="00A20842" w:rsidRDefault="008F409D" w:rsidP="008F409D">
      <w:pPr>
        <w:bidi/>
        <w:spacing w:after="0" w:line="360" w:lineRule="auto"/>
        <w:jc w:val="center"/>
        <w:rPr>
          <w:rFonts w:cs="1ShefaClassic"/>
          <w:sz w:val="28"/>
          <w:szCs w:val="28"/>
          <w:rtl/>
        </w:rPr>
      </w:pPr>
      <w:r w:rsidRPr="00A20842">
        <w:rPr>
          <w:rFonts w:cs="1ShefaClassic"/>
          <w:sz w:val="28"/>
          <w:szCs w:val="28"/>
          <w:rtl/>
        </w:rPr>
        <w:t>לחיזוק ההתקשרות לכ"ק אדמו"ר</w:t>
      </w:r>
    </w:p>
    <w:p w:rsidR="008F409D" w:rsidRPr="00A20842" w:rsidRDefault="008F409D" w:rsidP="008F409D">
      <w:pPr>
        <w:bidi/>
        <w:spacing w:after="0" w:line="360" w:lineRule="auto"/>
        <w:jc w:val="center"/>
        <w:rPr>
          <w:rFonts w:cs="1ShefaClassic"/>
          <w:sz w:val="28"/>
          <w:szCs w:val="28"/>
          <w:rtl/>
        </w:rPr>
      </w:pPr>
      <w:r w:rsidRPr="00A20842">
        <w:rPr>
          <w:rFonts w:cs="1ShefaClassic"/>
          <w:sz w:val="28"/>
          <w:szCs w:val="28"/>
          <w:rtl/>
        </w:rPr>
        <w:t>בקשר עם יום הקדוש</w:t>
      </w:r>
    </w:p>
    <w:p w:rsidR="008F409D" w:rsidRPr="00A20842" w:rsidRDefault="008F409D" w:rsidP="008F409D">
      <w:pPr>
        <w:bidi/>
        <w:spacing w:after="0" w:line="360" w:lineRule="auto"/>
        <w:jc w:val="center"/>
        <w:rPr>
          <w:rFonts w:cs="1ShefaClassic"/>
          <w:sz w:val="28"/>
          <w:szCs w:val="28"/>
          <w:rtl/>
        </w:rPr>
      </w:pPr>
      <w:r w:rsidRPr="00A20842">
        <w:rPr>
          <w:rFonts w:cs="1ShefaClassic"/>
          <w:sz w:val="28"/>
          <w:szCs w:val="28"/>
          <w:rtl/>
        </w:rPr>
        <w:t>ג' תמוז</w:t>
      </w:r>
    </w:p>
    <w:p w:rsidR="008F409D" w:rsidRPr="00A20842" w:rsidRDefault="008F409D" w:rsidP="008F409D">
      <w:pPr>
        <w:bidi/>
        <w:spacing w:after="0" w:line="360" w:lineRule="auto"/>
        <w:jc w:val="center"/>
        <w:rPr>
          <w:rFonts w:cs="1ShefaClassic"/>
          <w:sz w:val="28"/>
          <w:szCs w:val="28"/>
          <w:rtl/>
        </w:rPr>
      </w:pPr>
      <w:r w:rsidRPr="00A20842">
        <w:rPr>
          <w:rFonts w:cs="1ShefaClassic"/>
          <w:sz w:val="28"/>
          <w:szCs w:val="28"/>
          <w:rtl/>
        </w:rPr>
        <w:t>שבקרוב ממש נזכה לגאולה האמיתית והשלימה ומלכנו בראשינו</w:t>
      </w:r>
    </w:p>
    <w:p w:rsidR="008F409D" w:rsidRPr="00A20842" w:rsidRDefault="008F409D" w:rsidP="008F409D">
      <w:pPr>
        <w:bidi/>
        <w:spacing w:after="0" w:line="360" w:lineRule="auto"/>
        <w:jc w:val="center"/>
        <w:rPr>
          <w:rFonts w:cs="1ShefaClassic"/>
          <w:sz w:val="28"/>
          <w:szCs w:val="28"/>
          <w:rtl/>
        </w:rPr>
      </w:pPr>
      <w:r w:rsidRPr="00A20842">
        <w:rPr>
          <w:rFonts w:cs="1ShefaClassic"/>
          <w:sz w:val="28"/>
          <w:szCs w:val="28"/>
        </w:rPr>
        <w:sym w:font="Wingdings 2" w:char="F0B2"/>
      </w:r>
    </w:p>
    <w:p w:rsidR="008F409D" w:rsidRPr="00A20842" w:rsidRDefault="008F409D" w:rsidP="008F409D">
      <w:pPr>
        <w:bidi/>
        <w:spacing w:after="0" w:line="360" w:lineRule="auto"/>
        <w:jc w:val="center"/>
        <w:rPr>
          <w:rFonts w:cs="1ShefaClassic"/>
          <w:sz w:val="28"/>
          <w:szCs w:val="28"/>
          <w:rtl/>
        </w:rPr>
      </w:pPr>
      <w:r w:rsidRPr="00A20842">
        <w:rPr>
          <w:rFonts w:cs="1ShefaClassic"/>
          <w:sz w:val="28"/>
          <w:szCs w:val="28"/>
          <w:rtl/>
        </w:rPr>
        <w:t xml:space="preserve">הבנש"ק הרה"ח הרה"ת ר' </w:t>
      </w:r>
      <w:r w:rsidRPr="00A20842">
        <w:rPr>
          <w:rFonts w:cs="1ShefaClassic"/>
          <w:b/>
          <w:bCs/>
          <w:sz w:val="28"/>
          <w:szCs w:val="28"/>
          <w:rtl/>
        </w:rPr>
        <w:t>מנחם</w:t>
      </w:r>
      <w:r w:rsidRPr="00A20842">
        <w:rPr>
          <w:rFonts w:cs="1ShefaClassic"/>
          <w:sz w:val="28"/>
          <w:szCs w:val="28"/>
          <w:rtl/>
        </w:rPr>
        <w:t xml:space="preserve"> </w:t>
      </w:r>
      <w:r w:rsidRPr="00A20842">
        <w:rPr>
          <w:rFonts w:cs="1ShefaClassic"/>
          <w:b/>
          <w:bCs/>
          <w:sz w:val="28"/>
          <w:szCs w:val="28"/>
          <w:rtl/>
        </w:rPr>
        <w:t>מענדל</w:t>
      </w:r>
      <w:r w:rsidRPr="00A20842">
        <w:rPr>
          <w:rFonts w:cs="1ShefaClassic"/>
          <w:sz w:val="28"/>
          <w:szCs w:val="28"/>
          <w:rtl/>
        </w:rPr>
        <w:t xml:space="preserve"> וזוגתו מרת </w:t>
      </w:r>
      <w:r w:rsidRPr="00A20842">
        <w:rPr>
          <w:rFonts w:cs="1ShefaClassic"/>
          <w:b/>
          <w:bCs/>
          <w:sz w:val="28"/>
          <w:szCs w:val="28"/>
          <w:rtl/>
        </w:rPr>
        <w:t>אסתר</w:t>
      </w:r>
      <w:r w:rsidRPr="00A20842">
        <w:rPr>
          <w:rFonts w:cs="1ShefaClassic"/>
          <w:sz w:val="28"/>
          <w:szCs w:val="28"/>
          <w:rtl/>
        </w:rPr>
        <w:t xml:space="preserve"> ומשפחתם שיחיו</w:t>
      </w:r>
    </w:p>
    <w:p w:rsidR="008F409D" w:rsidRPr="00A20842" w:rsidRDefault="008F409D" w:rsidP="008F409D">
      <w:pPr>
        <w:bidi/>
        <w:spacing w:after="0" w:line="360" w:lineRule="auto"/>
        <w:jc w:val="center"/>
        <w:rPr>
          <w:rFonts w:cs="1ShefaClassic"/>
          <w:sz w:val="28"/>
          <w:szCs w:val="28"/>
        </w:rPr>
      </w:pPr>
      <w:r w:rsidRPr="00A20842">
        <w:rPr>
          <w:rFonts w:cs="1ShefaClassic"/>
          <w:sz w:val="28"/>
          <w:szCs w:val="28"/>
        </w:rPr>
        <w:t xml:space="preserve"> </w:t>
      </w:r>
      <w:r w:rsidRPr="00A20842">
        <w:rPr>
          <w:rFonts w:cs="1ShefaClassic"/>
          <w:b/>
          <w:bCs/>
          <w:sz w:val="28"/>
          <w:szCs w:val="28"/>
          <w:rtl/>
        </w:rPr>
        <w:t>שניאורסאהן</w:t>
      </w:r>
      <w:r w:rsidRPr="00A20842">
        <w:rPr>
          <w:rFonts w:cs="1ShefaClassic"/>
          <w:sz w:val="28"/>
          <w:szCs w:val="28"/>
          <w:rtl/>
        </w:rPr>
        <w:t xml:space="preserve"> </w:t>
      </w:r>
    </w:p>
    <w:p w:rsidR="008F409D" w:rsidRDefault="008F409D">
      <w:pPr>
        <w:rPr>
          <w:rFonts w:ascii="Narkisim" w:eastAsia="Times New Roman" w:hAnsi="Narkisim" w:cs="1ShefaClassic"/>
          <w:b/>
          <w:sz w:val="27"/>
          <w:szCs w:val="27"/>
          <w:rtl/>
        </w:rPr>
      </w:pPr>
    </w:p>
    <w:p w:rsidR="000836F8" w:rsidRPr="000836F8" w:rsidRDefault="000836F8" w:rsidP="000836F8">
      <w:pPr>
        <w:bidi/>
        <w:spacing w:after="120" w:line="288" w:lineRule="auto"/>
        <w:jc w:val="center"/>
        <w:rPr>
          <w:rFonts w:ascii="Narkisim" w:eastAsia="Times New Roman" w:hAnsi="Narkisim" w:cs="1ShefaClassic"/>
          <w:b/>
          <w:sz w:val="27"/>
          <w:szCs w:val="27"/>
          <w:rtl/>
        </w:rPr>
      </w:pPr>
    </w:p>
    <w:p w:rsidR="000836F8" w:rsidRPr="000836F8" w:rsidRDefault="000836F8" w:rsidP="000836F8">
      <w:pPr>
        <w:bidi/>
        <w:spacing w:after="120" w:line="288" w:lineRule="auto"/>
        <w:jc w:val="center"/>
        <w:rPr>
          <w:rFonts w:ascii="Narkisim" w:eastAsia="Times New Roman" w:hAnsi="Narkisim" w:cs="1ShefaClassic"/>
          <w:b/>
          <w:sz w:val="27"/>
          <w:szCs w:val="27"/>
          <w:rtl/>
        </w:rPr>
      </w:pPr>
    </w:p>
    <w:p w:rsidR="008F409D" w:rsidRDefault="008F409D">
      <w:pPr>
        <w:rPr>
          <w:rFonts w:ascii="Narkisim" w:eastAsia="Times New Roman" w:hAnsi="Narkisim" w:cs="1ShefaClassic"/>
          <w:b/>
          <w:sz w:val="27"/>
          <w:szCs w:val="27"/>
          <w:rtl/>
        </w:rPr>
      </w:pPr>
      <w:r>
        <w:rPr>
          <w:rFonts w:ascii="Narkisim" w:eastAsia="Times New Roman" w:hAnsi="Narkisim" w:cs="1ShefaClassic"/>
          <w:b/>
          <w:sz w:val="27"/>
          <w:szCs w:val="27"/>
          <w:rtl/>
        </w:rPr>
        <w:br w:type="page"/>
      </w:r>
    </w:p>
    <w:p w:rsidR="000836F8" w:rsidRPr="000836F8" w:rsidRDefault="000836F8" w:rsidP="000836F8">
      <w:pPr>
        <w:bidi/>
        <w:spacing w:after="120" w:line="288" w:lineRule="auto"/>
        <w:jc w:val="center"/>
        <w:rPr>
          <w:rFonts w:ascii="Narkisim" w:eastAsia="Times New Roman" w:hAnsi="Narkisim" w:cs="1ShefaClassic"/>
          <w:b/>
          <w:sz w:val="27"/>
          <w:szCs w:val="27"/>
          <w:rtl/>
        </w:rPr>
      </w:pPr>
    </w:p>
    <w:p w:rsidR="00A20842" w:rsidRDefault="00A20842" w:rsidP="008F409D">
      <w:pPr>
        <w:bidi/>
        <w:spacing w:after="0" w:line="360" w:lineRule="auto"/>
        <w:jc w:val="center"/>
        <w:rPr>
          <w:rFonts w:ascii="Calibri" w:eastAsia="Calibri" w:hAnsi="Calibri" w:cs="1ShefaClassic"/>
          <w:sz w:val="28"/>
          <w:szCs w:val="28"/>
          <w:rtl/>
        </w:rPr>
      </w:pPr>
    </w:p>
    <w:p w:rsidR="00A20842" w:rsidRDefault="00A20842" w:rsidP="00A20842">
      <w:pPr>
        <w:bidi/>
        <w:spacing w:after="0" w:line="360" w:lineRule="auto"/>
        <w:jc w:val="center"/>
        <w:rPr>
          <w:rFonts w:ascii="Calibri" w:eastAsia="Calibri" w:hAnsi="Calibri" w:cs="1ShefaClassic"/>
          <w:sz w:val="28"/>
          <w:szCs w:val="28"/>
          <w:rtl/>
        </w:rPr>
      </w:pPr>
    </w:p>
    <w:p w:rsidR="00A20842" w:rsidRDefault="00A20842" w:rsidP="00A20842">
      <w:pPr>
        <w:bidi/>
        <w:spacing w:after="0" w:line="360" w:lineRule="auto"/>
        <w:jc w:val="center"/>
        <w:rPr>
          <w:rFonts w:ascii="Calibri" w:eastAsia="Calibri" w:hAnsi="Calibri" w:cs="1ShefaClassic"/>
          <w:sz w:val="28"/>
          <w:szCs w:val="28"/>
          <w:rtl/>
        </w:rPr>
      </w:pPr>
    </w:p>
    <w:p w:rsidR="00A20842" w:rsidRDefault="00A20842" w:rsidP="00A20842">
      <w:pPr>
        <w:bidi/>
        <w:spacing w:after="0" w:line="360" w:lineRule="auto"/>
        <w:jc w:val="center"/>
        <w:rPr>
          <w:rFonts w:ascii="Calibri" w:eastAsia="Calibri" w:hAnsi="Calibri" w:cs="1ShefaClassic"/>
          <w:sz w:val="28"/>
          <w:szCs w:val="28"/>
          <w:rtl/>
        </w:rPr>
      </w:pPr>
    </w:p>
    <w:p w:rsidR="008F409D" w:rsidRPr="00B02DEC" w:rsidRDefault="008F409D" w:rsidP="00A20842">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מוקדש</w:t>
      </w:r>
    </w:p>
    <w:p w:rsidR="008F409D" w:rsidRPr="00B02DEC" w:rsidRDefault="008F409D" w:rsidP="008F409D">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לחיזוק ההתקשרות לכ"ק אדמו"ר</w:t>
      </w:r>
    </w:p>
    <w:p w:rsidR="008F409D" w:rsidRPr="00B02DEC" w:rsidRDefault="008F409D" w:rsidP="008F409D">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בקשר עם יום הקדוש</w:t>
      </w:r>
    </w:p>
    <w:p w:rsidR="008F409D" w:rsidRPr="00B02DEC" w:rsidRDefault="008F409D" w:rsidP="008F409D">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ג' תמוז</w:t>
      </w:r>
    </w:p>
    <w:p w:rsidR="008F409D" w:rsidRPr="00B02DEC" w:rsidRDefault="008F409D" w:rsidP="008F409D">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שבקרוב ממש נזכה לגאולה האמיתית והשלימה ומלכנו בראשינו</w:t>
      </w:r>
    </w:p>
    <w:p w:rsidR="008F409D" w:rsidRPr="00B02DEC" w:rsidRDefault="008F409D" w:rsidP="008F409D">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Pr>
        <w:sym w:font="Wingdings 2" w:char="F0B2"/>
      </w:r>
    </w:p>
    <w:p w:rsidR="008F409D" w:rsidRPr="00B02DEC" w:rsidRDefault="008F409D" w:rsidP="008F409D">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נדפס ע"י ולזכות</w:t>
      </w:r>
    </w:p>
    <w:p w:rsidR="008F409D" w:rsidRPr="00B02DEC" w:rsidRDefault="008F409D" w:rsidP="008F409D">
      <w:pPr>
        <w:bidi/>
        <w:spacing w:after="0" w:line="360" w:lineRule="auto"/>
        <w:jc w:val="center"/>
        <w:rPr>
          <w:rFonts w:ascii="Calibri" w:eastAsia="Calibri" w:hAnsi="Calibri" w:cs="1ShefaClassic"/>
          <w:b/>
          <w:bCs/>
          <w:sz w:val="28"/>
          <w:szCs w:val="28"/>
          <w:rtl/>
        </w:rPr>
      </w:pPr>
      <w:r w:rsidRPr="00B02DEC">
        <w:rPr>
          <w:rFonts w:ascii="Calibri" w:eastAsia="Calibri" w:hAnsi="Calibri" w:cs="1ShefaClassic"/>
          <w:sz w:val="28"/>
          <w:szCs w:val="28"/>
          <w:rtl/>
        </w:rPr>
        <w:t xml:space="preserve">הבנש"ק הרה"ח הרה"ת ר' </w:t>
      </w:r>
      <w:r w:rsidRPr="00B02DEC">
        <w:rPr>
          <w:rFonts w:ascii="Calibri" w:eastAsia="Calibri" w:hAnsi="Calibri" w:cs="1ShefaClassic"/>
          <w:b/>
          <w:bCs/>
          <w:sz w:val="28"/>
          <w:szCs w:val="28"/>
          <w:rtl/>
        </w:rPr>
        <w:t xml:space="preserve">רפאל שלמה </w:t>
      </w:r>
      <w:r w:rsidRPr="00B02DEC">
        <w:rPr>
          <w:rFonts w:ascii="Calibri" w:eastAsia="Calibri" w:hAnsi="Calibri" w:cs="1ShefaClassic"/>
          <w:sz w:val="28"/>
          <w:szCs w:val="28"/>
          <w:rtl/>
        </w:rPr>
        <w:t>וזוגתו מרת</w:t>
      </w:r>
      <w:r w:rsidRPr="00B02DEC">
        <w:rPr>
          <w:rFonts w:ascii="Calibri" w:eastAsia="Calibri" w:hAnsi="Calibri" w:cs="1ShefaClassic"/>
          <w:b/>
          <w:bCs/>
          <w:sz w:val="28"/>
          <w:szCs w:val="28"/>
          <w:rtl/>
        </w:rPr>
        <w:t xml:space="preserve"> חי' </w:t>
      </w:r>
      <w:r w:rsidRPr="00B02DEC">
        <w:rPr>
          <w:rFonts w:ascii="Calibri" w:eastAsia="Calibri" w:hAnsi="Calibri" w:cs="1ShefaClassic"/>
          <w:sz w:val="28"/>
          <w:szCs w:val="28"/>
          <w:rtl/>
        </w:rPr>
        <w:t>ומשפחתם שיחיו</w:t>
      </w:r>
    </w:p>
    <w:p w:rsidR="008F409D" w:rsidRPr="00B02DEC" w:rsidRDefault="008F409D" w:rsidP="008F409D">
      <w:pPr>
        <w:bidi/>
        <w:spacing w:after="0" w:line="360" w:lineRule="auto"/>
        <w:jc w:val="center"/>
        <w:rPr>
          <w:rFonts w:ascii="Calibri" w:eastAsia="Calibri" w:hAnsi="Calibri" w:cs="1ShefaClassic"/>
          <w:b/>
          <w:bCs/>
          <w:sz w:val="28"/>
          <w:szCs w:val="28"/>
          <w:rtl/>
        </w:rPr>
      </w:pPr>
      <w:r w:rsidRPr="00B02DEC">
        <w:rPr>
          <w:rFonts w:ascii="Calibri" w:eastAsia="Calibri" w:hAnsi="Calibri" w:cs="1ShefaClassic"/>
          <w:b/>
          <w:bCs/>
          <w:sz w:val="28"/>
          <w:szCs w:val="28"/>
          <w:rtl/>
        </w:rPr>
        <w:t>דרימער</w:t>
      </w:r>
    </w:p>
    <w:p w:rsidR="008F409D" w:rsidRDefault="008F409D">
      <w:pPr>
        <w:rPr>
          <w:rFonts w:ascii="Narkisim" w:eastAsia="Times New Roman" w:hAnsi="Narkisim" w:cs="1ShefaClassic"/>
          <w:b/>
          <w:sz w:val="27"/>
          <w:szCs w:val="27"/>
          <w:rtl/>
        </w:rPr>
      </w:pPr>
      <w:r>
        <w:rPr>
          <w:rFonts w:ascii="Narkisim" w:eastAsia="Times New Roman" w:hAnsi="Narkisim" w:cs="1ShefaClassic"/>
          <w:b/>
          <w:sz w:val="27"/>
          <w:szCs w:val="27"/>
          <w:rtl/>
        </w:rPr>
        <w:br w:type="page"/>
      </w:r>
    </w:p>
    <w:p w:rsidR="00A20842" w:rsidRDefault="00A20842" w:rsidP="008F409D">
      <w:pPr>
        <w:bidi/>
        <w:spacing w:after="0" w:line="360" w:lineRule="auto"/>
        <w:jc w:val="center"/>
        <w:rPr>
          <w:rFonts w:ascii="Calibri" w:eastAsia="Calibri" w:hAnsi="Calibri" w:cs="1ShefaClassic"/>
          <w:sz w:val="28"/>
          <w:szCs w:val="28"/>
          <w:rtl/>
        </w:rPr>
      </w:pPr>
    </w:p>
    <w:p w:rsidR="00A20842" w:rsidRDefault="00A20842" w:rsidP="00A20842">
      <w:pPr>
        <w:bidi/>
        <w:spacing w:after="0" w:line="360" w:lineRule="auto"/>
        <w:jc w:val="center"/>
        <w:rPr>
          <w:rFonts w:ascii="Calibri" w:eastAsia="Calibri" w:hAnsi="Calibri" w:cs="1ShefaClassic"/>
          <w:sz w:val="28"/>
          <w:szCs w:val="28"/>
          <w:rtl/>
        </w:rPr>
      </w:pPr>
    </w:p>
    <w:p w:rsidR="00A20842" w:rsidRDefault="00A20842" w:rsidP="00A20842">
      <w:pPr>
        <w:bidi/>
        <w:spacing w:after="0" w:line="360" w:lineRule="auto"/>
        <w:jc w:val="center"/>
        <w:rPr>
          <w:rFonts w:ascii="Calibri" w:eastAsia="Calibri" w:hAnsi="Calibri" w:cs="1ShefaClassic"/>
          <w:sz w:val="28"/>
          <w:szCs w:val="28"/>
          <w:rtl/>
        </w:rPr>
      </w:pPr>
    </w:p>
    <w:p w:rsidR="00A20842" w:rsidRDefault="00A20842" w:rsidP="00A20842">
      <w:pPr>
        <w:bidi/>
        <w:spacing w:after="0" w:line="360" w:lineRule="auto"/>
        <w:jc w:val="center"/>
        <w:rPr>
          <w:rFonts w:ascii="Calibri" w:eastAsia="Calibri" w:hAnsi="Calibri" w:cs="1ShefaClassic"/>
          <w:sz w:val="28"/>
          <w:szCs w:val="28"/>
          <w:rtl/>
        </w:rPr>
      </w:pPr>
    </w:p>
    <w:p w:rsidR="008F409D" w:rsidRPr="00B02DEC" w:rsidRDefault="008F409D" w:rsidP="00A20842">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מוקדש</w:t>
      </w:r>
    </w:p>
    <w:p w:rsidR="008F409D" w:rsidRPr="00B02DEC" w:rsidRDefault="008F409D" w:rsidP="008F409D">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לחיזוק ההתקשרות לכ"ק אדמו"ר</w:t>
      </w:r>
    </w:p>
    <w:p w:rsidR="008F409D" w:rsidRPr="00B02DEC" w:rsidRDefault="008F409D" w:rsidP="008F409D">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בקשר עם יום הקדוש</w:t>
      </w:r>
    </w:p>
    <w:p w:rsidR="008F409D" w:rsidRPr="00B02DEC" w:rsidRDefault="008F409D" w:rsidP="008F409D">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ג' תמוז</w:t>
      </w:r>
    </w:p>
    <w:p w:rsidR="008F409D" w:rsidRPr="00B02DEC" w:rsidRDefault="008F409D" w:rsidP="008F409D">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שבקרוב ממש נזכה לגאולה האמיתית והשלימה ומלכנו בראשינו</w:t>
      </w:r>
    </w:p>
    <w:p w:rsidR="008F409D" w:rsidRPr="00B02DEC" w:rsidRDefault="008F409D" w:rsidP="008F409D">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Pr>
        <w:sym w:font="Wingdings 2" w:char="F0B2"/>
      </w:r>
    </w:p>
    <w:p w:rsidR="008F409D" w:rsidRPr="008F409D" w:rsidRDefault="008F409D" w:rsidP="008F409D">
      <w:pPr>
        <w:tabs>
          <w:tab w:val="center" w:pos="4680"/>
          <w:tab w:val="right" w:pos="9360"/>
        </w:tabs>
        <w:bidi/>
        <w:spacing w:after="0" w:line="360" w:lineRule="auto"/>
        <w:jc w:val="center"/>
        <w:rPr>
          <w:rFonts w:cs="1ShefaClassic"/>
          <w:sz w:val="27"/>
          <w:szCs w:val="27"/>
        </w:rPr>
      </w:pPr>
      <w:r w:rsidRPr="008F409D">
        <w:rPr>
          <w:rFonts w:cs="1ShefaClassic" w:hint="cs"/>
          <w:sz w:val="27"/>
          <w:szCs w:val="27"/>
          <w:rtl/>
        </w:rPr>
        <w:t>נדפס</w:t>
      </w:r>
      <w:r w:rsidRPr="008F409D">
        <w:rPr>
          <w:rFonts w:cs="1ShefaClassic"/>
          <w:sz w:val="27"/>
          <w:szCs w:val="27"/>
          <w:rtl/>
        </w:rPr>
        <w:t xml:space="preserve"> </w:t>
      </w:r>
      <w:r w:rsidRPr="008F409D">
        <w:rPr>
          <w:rFonts w:cs="1ShefaClassic" w:hint="cs"/>
          <w:sz w:val="27"/>
          <w:szCs w:val="27"/>
          <w:rtl/>
        </w:rPr>
        <w:t>ע</w:t>
      </w:r>
      <w:r w:rsidRPr="008F409D">
        <w:rPr>
          <w:rFonts w:cs="1ShefaClassic"/>
          <w:sz w:val="27"/>
          <w:szCs w:val="27"/>
          <w:rtl/>
        </w:rPr>
        <w:t>"</w:t>
      </w:r>
      <w:r w:rsidRPr="008F409D">
        <w:rPr>
          <w:rFonts w:cs="1ShefaClassic" w:hint="cs"/>
          <w:sz w:val="27"/>
          <w:szCs w:val="27"/>
          <w:rtl/>
        </w:rPr>
        <w:t>י</w:t>
      </w:r>
      <w:r w:rsidRPr="008F409D">
        <w:rPr>
          <w:rFonts w:cs="1ShefaClassic"/>
          <w:sz w:val="27"/>
          <w:szCs w:val="27"/>
          <w:rtl/>
        </w:rPr>
        <w:t xml:space="preserve"> </w:t>
      </w:r>
      <w:r w:rsidRPr="008F409D">
        <w:rPr>
          <w:rFonts w:cs="1ShefaClassic" w:hint="cs"/>
          <w:sz w:val="27"/>
          <w:szCs w:val="27"/>
          <w:rtl/>
        </w:rPr>
        <w:t>ולזכות</w:t>
      </w:r>
    </w:p>
    <w:p w:rsidR="008F409D" w:rsidRPr="008F409D" w:rsidRDefault="008F409D" w:rsidP="0089120A">
      <w:pPr>
        <w:tabs>
          <w:tab w:val="center" w:pos="4680"/>
          <w:tab w:val="right" w:pos="9360"/>
        </w:tabs>
        <w:bidi/>
        <w:spacing w:after="0" w:line="360" w:lineRule="auto"/>
        <w:jc w:val="center"/>
        <w:rPr>
          <w:rFonts w:cs="1ShefaClassic"/>
          <w:sz w:val="27"/>
          <w:szCs w:val="27"/>
          <w:rtl/>
        </w:rPr>
      </w:pPr>
      <w:r w:rsidRPr="008F409D">
        <w:rPr>
          <w:rFonts w:cs="1ShefaClassic" w:hint="cs"/>
          <w:sz w:val="27"/>
          <w:szCs w:val="27"/>
          <w:rtl/>
        </w:rPr>
        <w:t>הרה</w:t>
      </w:r>
      <w:r w:rsidRPr="008F409D">
        <w:rPr>
          <w:rFonts w:cs="1ShefaClassic"/>
          <w:sz w:val="27"/>
          <w:szCs w:val="27"/>
          <w:rtl/>
        </w:rPr>
        <w:t>"</w:t>
      </w:r>
      <w:r w:rsidRPr="008F409D">
        <w:rPr>
          <w:rFonts w:cs="1ShefaClassic" w:hint="cs"/>
          <w:sz w:val="27"/>
          <w:szCs w:val="27"/>
          <w:rtl/>
        </w:rPr>
        <w:t>ת</w:t>
      </w:r>
      <w:r w:rsidRPr="008F409D">
        <w:rPr>
          <w:rFonts w:cs="1ShefaClassic"/>
          <w:sz w:val="27"/>
          <w:szCs w:val="27"/>
          <w:rtl/>
        </w:rPr>
        <w:t xml:space="preserve"> </w:t>
      </w:r>
      <w:r w:rsidRPr="008F409D">
        <w:rPr>
          <w:rFonts w:cs="1ShefaClassic" w:hint="cs"/>
          <w:sz w:val="27"/>
          <w:szCs w:val="27"/>
          <w:rtl/>
        </w:rPr>
        <w:t>ר</w:t>
      </w:r>
      <w:r w:rsidRPr="008F409D">
        <w:rPr>
          <w:rFonts w:cs="1ShefaClassic"/>
          <w:sz w:val="27"/>
          <w:szCs w:val="27"/>
          <w:rtl/>
        </w:rPr>
        <w:t xml:space="preserve">' </w:t>
      </w:r>
      <w:r w:rsidRPr="008F409D">
        <w:rPr>
          <w:rFonts w:cs="1ShefaClassic" w:hint="cs"/>
          <w:b/>
          <w:bCs/>
          <w:sz w:val="27"/>
          <w:szCs w:val="27"/>
          <w:rtl/>
        </w:rPr>
        <w:t>בנימין</w:t>
      </w:r>
      <w:r w:rsidRPr="008F409D">
        <w:rPr>
          <w:rFonts w:cs="1ShefaClassic"/>
          <w:sz w:val="27"/>
          <w:szCs w:val="27"/>
          <w:rtl/>
        </w:rPr>
        <w:t xml:space="preserve"> </w:t>
      </w:r>
    </w:p>
    <w:p w:rsidR="008F409D" w:rsidRPr="008F409D" w:rsidRDefault="008F409D" w:rsidP="008F409D">
      <w:pPr>
        <w:tabs>
          <w:tab w:val="center" w:pos="4680"/>
          <w:tab w:val="right" w:pos="9360"/>
        </w:tabs>
        <w:bidi/>
        <w:spacing w:after="0" w:line="360" w:lineRule="auto"/>
        <w:jc w:val="center"/>
        <w:rPr>
          <w:rFonts w:cs="1ShefaClassic"/>
          <w:sz w:val="27"/>
          <w:szCs w:val="27"/>
        </w:rPr>
      </w:pPr>
      <w:r w:rsidRPr="008F409D">
        <w:rPr>
          <w:rFonts w:cs="1ShefaClassic" w:hint="cs"/>
          <w:sz w:val="27"/>
          <w:szCs w:val="27"/>
          <w:rtl/>
        </w:rPr>
        <w:t>ומשפחתו</w:t>
      </w:r>
      <w:r w:rsidRPr="008F409D">
        <w:rPr>
          <w:rFonts w:cs="1ShefaClassic"/>
          <w:sz w:val="27"/>
          <w:szCs w:val="27"/>
          <w:rtl/>
        </w:rPr>
        <w:t xml:space="preserve"> </w:t>
      </w:r>
      <w:r w:rsidR="0089120A" w:rsidRPr="008F409D">
        <w:rPr>
          <w:rFonts w:cs="1ShefaClassic" w:hint="cs"/>
          <w:sz w:val="27"/>
          <w:szCs w:val="27"/>
          <w:rtl/>
        </w:rPr>
        <w:t>שיחי'</w:t>
      </w:r>
    </w:p>
    <w:p w:rsidR="008F409D" w:rsidRPr="008F409D" w:rsidRDefault="008F409D" w:rsidP="008F409D">
      <w:pPr>
        <w:bidi/>
        <w:spacing w:after="0" w:line="360" w:lineRule="auto"/>
        <w:jc w:val="center"/>
        <w:rPr>
          <w:rFonts w:cs="1ShefaClassic"/>
          <w:b/>
          <w:bCs/>
          <w:sz w:val="27"/>
          <w:szCs w:val="27"/>
          <w:rtl/>
        </w:rPr>
      </w:pPr>
      <w:r w:rsidRPr="008F409D">
        <w:rPr>
          <w:rFonts w:cs="1ShefaClassic" w:hint="cs"/>
          <w:b/>
          <w:bCs/>
          <w:sz w:val="27"/>
          <w:szCs w:val="27"/>
          <w:rtl/>
        </w:rPr>
        <w:t>לעווין</w:t>
      </w:r>
    </w:p>
    <w:p w:rsidR="0089120A" w:rsidRDefault="0089120A">
      <w:pPr>
        <w:rPr>
          <w:rFonts w:ascii="Narkisim" w:eastAsia="Times New Roman" w:hAnsi="Narkisim" w:cs="1ShefaClassic"/>
          <w:b/>
          <w:sz w:val="27"/>
          <w:szCs w:val="27"/>
          <w:rtl/>
        </w:rPr>
      </w:pPr>
      <w:r>
        <w:rPr>
          <w:rFonts w:ascii="Narkisim" w:eastAsia="Times New Roman" w:hAnsi="Narkisim" w:cs="1ShefaClassic"/>
          <w:b/>
          <w:sz w:val="27"/>
          <w:szCs w:val="27"/>
          <w:rtl/>
        </w:rPr>
        <w:br w:type="page"/>
      </w:r>
    </w:p>
    <w:p w:rsidR="0089120A" w:rsidRDefault="0089120A" w:rsidP="0089120A">
      <w:pPr>
        <w:bidi/>
        <w:spacing w:after="0" w:line="360" w:lineRule="auto"/>
        <w:jc w:val="center"/>
        <w:rPr>
          <w:rFonts w:ascii="Calibri" w:eastAsia="Calibri" w:hAnsi="Calibri" w:cs="1ShefaClassic"/>
          <w:sz w:val="28"/>
          <w:szCs w:val="28"/>
          <w:rtl/>
        </w:rPr>
      </w:pPr>
    </w:p>
    <w:p w:rsidR="0089120A" w:rsidRDefault="0089120A" w:rsidP="0089120A">
      <w:pPr>
        <w:bidi/>
        <w:spacing w:after="0" w:line="360" w:lineRule="auto"/>
        <w:jc w:val="center"/>
        <w:rPr>
          <w:rFonts w:ascii="Calibri" w:eastAsia="Calibri" w:hAnsi="Calibri" w:cs="1ShefaClassic"/>
          <w:sz w:val="28"/>
          <w:szCs w:val="28"/>
          <w:rtl/>
        </w:rPr>
      </w:pPr>
    </w:p>
    <w:p w:rsidR="00A20842" w:rsidRDefault="00A20842" w:rsidP="00A20842">
      <w:pPr>
        <w:bidi/>
        <w:spacing w:after="0" w:line="360" w:lineRule="auto"/>
        <w:jc w:val="center"/>
        <w:rPr>
          <w:rFonts w:ascii="Calibri" w:eastAsia="Calibri" w:hAnsi="Calibri" w:cs="1ShefaClassic"/>
          <w:sz w:val="28"/>
          <w:szCs w:val="28"/>
          <w:rtl/>
        </w:rPr>
      </w:pPr>
    </w:p>
    <w:p w:rsidR="0089120A" w:rsidRDefault="0089120A" w:rsidP="0089120A">
      <w:pPr>
        <w:bidi/>
        <w:spacing w:after="0" w:line="360" w:lineRule="auto"/>
        <w:jc w:val="center"/>
        <w:rPr>
          <w:rFonts w:ascii="Calibri" w:eastAsia="Calibri" w:hAnsi="Calibri" w:cs="1ShefaClassic"/>
          <w:sz w:val="28"/>
          <w:szCs w:val="28"/>
          <w:rtl/>
        </w:rPr>
      </w:pPr>
    </w:p>
    <w:p w:rsidR="0089120A" w:rsidRPr="00B02DEC" w:rsidRDefault="0089120A" w:rsidP="0089120A">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מוקדש</w:t>
      </w:r>
    </w:p>
    <w:p w:rsidR="0089120A" w:rsidRPr="00B02DEC" w:rsidRDefault="0089120A" w:rsidP="0089120A">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לחיזוק ההתקשרות לכ"ק אדמו"ר</w:t>
      </w:r>
    </w:p>
    <w:p w:rsidR="0089120A" w:rsidRPr="00B02DEC" w:rsidRDefault="0089120A" w:rsidP="0089120A">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בקשר עם יום הקדוש</w:t>
      </w:r>
    </w:p>
    <w:p w:rsidR="0089120A" w:rsidRPr="00B02DEC" w:rsidRDefault="0089120A" w:rsidP="0089120A">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ג' תמוז</w:t>
      </w:r>
    </w:p>
    <w:p w:rsidR="0089120A" w:rsidRPr="00B02DEC" w:rsidRDefault="0089120A" w:rsidP="0089120A">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שבקרוב ממש נזכה לגאולה האמיתית והשלימה ומלכנו בראשינו</w:t>
      </w:r>
    </w:p>
    <w:p w:rsidR="0089120A" w:rsidRPr="00B02DEC" w:rsidRDefault="0089120A" w:rsidP="0089120A">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Pr>
        <w:sym w:font="Wingdings 2" w:char="F0B2"/>
      </w:r>
    </w:p>
    <w:p w:rsidR="0089120A" w:rsidRPr="008F409D" w:rsidRDefault="0089120A" w:rsidP="0089120A">
      <w:pPr>
        <w:tabs>
          <w:tab w:val="center" w:pos="4680"/>
          <w:tab w:val="right" w:pos="9360"/>
        </w:tabs>
        <w:bidi/>
        <w:spacing w:after="0" w:line="360" w:lineRule="auto"/>
        <w:jc w:val="center"/>
        <w:rPr>
          <w:rFonts w:cs="1ShefaClassic"/>
          <w:sz w:val="27"/>
          <w:szCs w:val="27"/>
        </w:rPr>
      </w:pPr>
      <w:r w:rsidRPr="008F409D">
        <w:rPr>
          <w:rFonts w:cs="1ShefaClassic" w:hint="cs"/>
          <w:sz w:val="27"/>
          <w:szCs w:val="27"/>
          <w:rtl/>
        </w:rPr>
        <w:t>נדפס</w:t>
      </w:r>
      <w:r w:rsidRPr="008F409D">
        <w:rPr>
          <w:rFonts w:cs="1ShefaClassic"/>
          <w:sz w:val="27"/>
          <w:szCs w:val="27"/>
          <w:rtl/>
        </w:rPr>
        <w:t xml:space="preserve"> </w:t>
      </w:r>
      <w:r w:rsidRPr="008F409D">
        <w:rPr>
          <w:rFonts w:cs="1ShefaClassic" w:hint="cs"/>
          <w:sz w:val="27"/>
          <w:szCs w:val="27"/>
          <w:rtl/>
        </w:rPr>
        <w:t>ע</w:t>
      </w:r>
      <w:r w:rsidRPr="008F409D">
        <w:rPr>
          <w:rFonts w:cs="1ShefaClassic"/>
          <w:sz w:val="27"/>
          <w:szCs w:val="27"/>
          <w:rtl/>
        </w:rPr>
        <w:t>"</w:t>
      </w:r>
      <w:r w:rsidRPr="008F409D">
        <w:rPr>
          <w:rFonts w:cs="1ShefaClassic" w:hint="cs"/>
          <w:sz w:val="27"/>
          <w:szCs w:val="27"/>
          <w:rtl/>
        </w:rPr>
        <w:t>י</w:t>
      </w:r>
      <w:r w:rsidRPr="008F409D">
        <w:rPr>
          <w:rFonts w:cs="1ShefaClassic"/>
          <w:sz w:val="27"/>
          <w:szCs w:val="27"/>
          <w:rtl/>
        </w:rPr>
        <w:t xml:space="preserve"> </w:t>
      </w:r>
      <w:r w:rsidRPr="008F409D">
        <w:rPr>
          <w:rFonts w:cs="1ShefaClassic" w:hint="cs"/>
          <w:sz w:val="27"/>
          <w:szCs w:val="27"/>
          <w:rtl/>
        </w:rPr>
        <w:t>ולזכות</w:t>
      </w:r>
    </w:p>
    <w:p w:rsidR="000836F8" w:rsidRDefault="0089120A" w:rsidP="0089120A">
      <w:pPr>
        <w:bidi/>
        <w:spacing w:after="120" w:line="288" w:lineRule="auto"/>
        <w:jc w:val="center"/>
        <w:rPr>
          <w:rFonts w:ascii="Narkisim" w:eastAsia="Times New Roman" w:hAnsi="Narkisim" w:cs="1ShefaClassic"/>
          <w:b/>
          <w:sz w:val="27"/>
          <w:szCs w:val="27"/>
          <w:rtl/>
        </w:rPr>
      </w:pPr>
      <w:r>
        <w:rPr>
          <w:rFonts w:ascii="Narkisim" w:eastAsia="Times New Roman" w:hAnsi="Narkisim" w:cs="1ShefaClassic" w:hint="cs"/>
          <w:b/>
          <w:sz w:val="27"/>
          <w:szCs w:val="27"/>
          <w:rtl/>
        </w:rPr>
        <w:t xml:space="preserve">הרה"ת ר' </w:t>
      </w:r>
      <w:r w:rsidRPr="0089120A">
        <w:rPr>
          <w:rFonts w:ascii="Narkisim" w:eastAsia="Times New Roman" w:hAnsi="Narkisim" w:cs="1ShefaClassic" w:hint="cs"/>
          <w:bCs/>
          <w:sz w:val="27"/>
          <w:szCs w:val="27"/>
          <w:rtl/>
        </w:rPr>
        <w:t xml:space="preserve">ארי' </w:t>
      </w:r>
    </w:p>
    <w:p w:rsidR="0089120A" w:rsidRDefault="0089120A" w:rsidP="0089120A">
      <w:pPr>
        <w:bidi/>
        <w:spacing w:after="120" w:line="288" w:lineRule="auto"/>
        <w:jc w:val="center"/>
        <w:rPr>
          <w:rFonts w:ascii="Narkisim" w:eastAsia="Times New Roman" w:hAnsi="Narkisim" w:cs="1ShefaClassic"/>
          <w:b/>
          <w:sz w:val="27"/>
          <w:szCs w:val="27"/>
          <w:rtl/>
        </w:rPr>
      </w:pPr>
      <w:r>
        <w:rPr>
          <w:rFonts w:ascii="Narkisim" w:eastAsia="Times New Roman" w:hAnsi="Narkisim" w:cs="1ShefaClassic" w:hint="cs"/>
          <w:b/>
          <w:sz w:val="27"/>
          <w:szCs w:val="27"/>
          <w:rtl/>
        </w:rPr>
        <w:t>ומשפחתו שיחיו</w:t>
      </w:r>
    </w:p>
    <w:p w:rsidR="0089120A" w:rsidRDefault="0089120A" w:rsidP="0089120A">
      <w:pPr>
        <w:bidi/>
        <w:spacing w:after="120" w:line="288" w:lineRule="auto"/>
        <w:jc w:val="center"/>
        <w:rPr>
          <w:rFonts w:ascii="Narkisim" w:eastAsia="Times New Roman" w:hAnsi="Narkisim" w:cs="1ShefaClassic"/>
          <w:bCs/>
          <w:sz w:val="27"/>
          <w:szCs w:val="27"/>
          <w:rtl/>
        </w:rPr>
      </w:pPr>
      <w:r w:rsidRPr="0089120A">
        <w:rPr>
          <w:rFonts w:ascii="Narkisim" w:eastAsia="Times New Roman" w:hAnsi="Narkisim" w:cs="1ShefaClassic" w:hint="cs"/>
          <w:bCs/>
          <w:sz w:val="27"/>
          <w:szCs w:val="27"/>
          <w:rtl/>
        </w:rPr>
        <w:t xml:space="preserve"> שוטנשטיין</w:t>
      </w:r>
    </w:p>
    <w:p w:rsidR="0089120A" w:rsidRPr="0089120A" w:rsidRDefault="0089120A" w:rsidP="0089120A">
      <w:pPr>
        <w:bidi/>
        <w:rPr>
          <w:rFonts w:ascii="Narkisim" w:eastAsia="Times New Roman" w:hAnsi="Narkisim" w:cs="1ShefaClassic"/>
          <w:sz w:val="27"/>
          <w:szCs w:val="27"/>
          <w:rtl/>
        </w:rPr>
      </w:pPr>
    </w:p>
    <w:p w:rsidR="0089120A" w:rsidRPr="0089120A" w:rsidRDefault="0089120A" w:rsidP="0089120A">
      <w:pPr>
        <w:bidi/>
        <w:rPr>
          <w:rFonts w:ascii="Narkisim" w:eastAsia="Times New Roman" w:hAnsi="Narkisim" w:cs="1ShefaClassic"/>
          <w:sz w:val="27"/>
          <w:szCs w:val="27"/>
          <w:rtl/>
        </w:rPr>
      </w:pPr>
    </w:p>
    <w:p w:rsidR="0089120A" w:rsidRPr="0089120A" w:rsidRDefault="0089120A" w:rsidP="0089120A">
      <w:pPr>
        <w:bidi/>
        <w:rPr>
          <w:rFonts w:ascii="Narkisim" w:eastAsia="Times New Roman" w:hAnsi="Narkisim" w:cs="1ShefaClassic"/>
          <w:sz w:val="27"/>
          <w:szCs w:val="27"/>
          <w:rtl/>
        </w:rPr>
      </w:pPr>
    </w:p>
    <w:p w:rsidR="0089120A" w:rsidRPr="0089120A" w:rsidRDefault="0089120A" w:rsidP="0089120A">
      <w:pPr>
        <w:bidi/>
        <w:rPr>
          <w:rFonts w:ascii="Narkisim" w:eastAsia="Times New Roman" w:hAnsi="Narkisim" w:cs="1ShefaClassic"/>
          <w:sz w:val="27"/>
          <w:szCs w:val="27"/>
          <w:rtl/>
        </w:rPr>
      </w:pPr>
    </w:p>
    <w:p w:rsidR="0089120A" w:rsidRPr="0089120A" w:rsidRDefault="0089120A" w:rsidP="0089120A">
      <w:pPr>
        <w:bidi/>
        <w:rPr>
          <w:rFonts w:ascii="Narkisim" w:eastAsia="Times New Roman" w:hAnsi="Narkisim" w:cs="1ShefaClassic"/>
          <w:sz w:val="27"/>
          <w:szCs w:val="27"/>
          <w:rtl/>
        </w:rPr>
      </w:pPr>
    </w:p>
    <w:p w:rsidR="0089120A" w:rsidRDefault="0089120A" w:rsidP="0089120A">
      <w:pPr>
        <w:bidi/>
        <w:rPr>
          <w:rFonts w:ascii="Narkisim" w:eastAsia="Times New Roman" w:hAnsi="Narkisim" w:cs="1ShefaClassic"/>
          <w:sz w:val="27"/>
          <w:szCs w:val="27"/>
          <w:rtl/>
        </w:rPr>
      </w:pPr>
    </w:p>
    <w:p w:rsidR="0089120A" w:rsidRDefault="0089120A">
      <w:pPr>
        <w:rPr>
          <w:rFonts w:ascii="Narkisim" w:eastAsia="Times New Roman" w:hAnsi="Narkisim" w:cs="1ShefaClassic"/>
          <w:sz w:val="27"/>
          <w:szCs w:val="27"/>
          <w:rtl/>
        </w:rPr>
      </w:pPr>
      <w:r>
        <w:rPr>
          <w:rFonts w:ascii="Narkisim" w:eastAsia="Times New Roman" w:hAnsi="Narkisim" w:cs="1ShefaClassic"/>
          <w:sz w:val="27"/>
          <w:szCs w:val="27"/>
          <w:rtl/>
        </w:rPr>
        <w:br w:type="page"/>
      </w:r>
    </w:p>
    <w:p w:rsidR="0089120A" w:rsidRDefault="0089120A" w:rsidP="0089120A">
      <w:pPr>
        <w:bidi/>
        <w:spacing w:after="0" w:line="360" w:lineRule="auto"/>
        <w:jc w:val="center"/>
        <w:rPr>
          <w:rFonts w:ascii="Calibri" w:eastAsia="Calibri" w:hAnsi="Calibri" w:cs="1ShefaClassic"/>
          <w:sz w:val="28"/>
          <w:szCs w:val="28"/>
          <w:rtl/>
        </w:rPr>
      </w:pPr>
    </w:p>
    <w:p w:rsidR="0089120A" w:rsidRDefault="0089120A" w:rsidP="0089120A">
      <w:pPr>
        <w:bidi/>
        <w:spacing w:after="0" w:line="360" w:lineRule="auto"/>
        <w:jc w:val="center"/>
        <w:rPr>
          <w:rFonts w:ascii="Calibri" w:eastAsia="Calibri" w:hAnsi="Calibri" w:cs="1ShefaClassic"/>
          <w:sz w:val="28"/>
          <w:szCs w:val="28"/>
          <w:rtl/>
        </w:rPr>
      </w:pPr>
    </w:p>
    <w:p w:rsidR="00A20842" w:rsidRDefault="00A20842" w:rsidP="00A20842">
      <w:pPr>
        <w:bidi/>
        <w:spacing w:after="0" w:line="360" w:lineRule="auto"/>
        <w:jc w:val="center"/>
        <w:rPr>
          <w:rFonts w:ascii="Calibri" w:eastAsia="Calibri" w:hAnsi="Calibri" w:cs="1ShefaClassic"/>
          <w:sz w:val="28"/>
          <w:szCs w:val="28"/>
          <w:rtl/>
        </w:rPr>
      </w:pPr>
    </w:p>
    <w:p w:rsidR="00A20842" w:rsidRDefault="00A20842" w:rsidP="00A20842">
      <w:pPr>
        <w:bidi/>
        <w:spacing w:after="0" w:line="360" w:lineRule="auto"/>
        <w:jc w:val="center"/>
        <w:rPr>
          <w:rFonts w:ascii="Calibri" w:eastAsia="Calibri" w:hAnsi="Calibri" w:cs="1ShefaClassic"/>
          <w:sz w:val="28"/>
          <w:szCs w:val="28"/>
          <w:rtl/>
        </w:rPr>
      </w:pPr>
    </w:p>
    <w:p w:rsidR="0089120A" w:rsidRPr="00B02DEC" w:rsidRDefault="0089120A" w:rsidP="0089120A">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מוקדש</w:t>
      </w:r>
    </w:p>
    <w:p w:rsidR="0089120A" w:rsidRPr="00B02DEC" w:rsidRDefault="0089120A" w:rsidP="0089120A">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לחיזוק ההתקשרות לכ"ק אדמו"ר</w:t>
      </w:r>
    </w:p>
    <w:p w:rsidR="0089120A" w:rsidRPr="00B02DEC" w:rsidRDefault="0089120A" w:rsidP="0089120A">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בקשר עם יום הקדוש</w:t>
      </w:r>
    </w:p>
    <w:p w:rsidR="0089120A" w:rsidRPr="00B02DEC" w:rsidRDefault="0089120A" w:rsidP="0089120A">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ג' תמוז</w:t>
      </w:r>
    </w:p>
    <w:p w:rsidR="0089120A" w:rsidRPr="00B02DEC" w:rsidRDefault="0089120A" w:rsidP="0089120A">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שבקרוב ממש נזכה לגאולה האמיתית והשלימה ומלכנו בראשינו</w:t>
      </w:r>
    </w:p>
    <w:p w:rsidR="0089120A" w:rsidRPr="00B02DEC" w:rsidRDefault="0089120A" w:rsidP="0089120A">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Pr>
        <w:sym w:font="Wingdings 2" w:char="F0B2"/>
      </w:r>
    </w:p>
    <w:p w:rsidR="0089120A" w:rsidRPr="008F409D" w:rsidRDefault="0089120A" w:rsidP="0089120A">
      <w:pPr>
        <w:tabs>
          <w:tab w:val="center" w:pos="4680"/>
          <w:tab w:val="right" w:pos="9360"/>
        </w:tabs>
        <w:bidi/>
        <w:spacing w:after="0" w:line="360" w:lineRule="auto"/>
        <w:jc w:val="center"/>
        <w:rPr>
          <w:rFonts w:cs="1ShefaClassic"/>
          <w:sz w:val="27"/>
          <w:szCs w:val="27"/>
        </w:rPr>
      </w:pPr>
      <w:r w:rsidRPr="008F409D">
        <w:rPr>
          <w:rFonts w:cs="1ShefaClassic" w:hint="cs"/>
          <w:sz w:val="27"/>
          <w:szCs w:val="27"/>
          <w:rtl/>
        </w:rPr>
        <w:t>נדפס</w:t>
      </w:r>
      <w:r w:rsidRPr="008F409D">
        <w:rPr>
          <w:rFonts w:cs="1ShefaClassic"/>
          <w:sz w:val="27"/>
          <w:szCs w:val="27"/>
          <w:rtl/>
        </w:rPr>
        <w:t xml:space="preserve"> </w:t>
      </w:r>
      <w:r w:rsidRPr="008F409D">
        <w:rPr>
          <w:rFonts w:cs="1ShefaClassic" w:hint="cs"/>
          <w:sz w:val="27"/>
          <w:szCs w:val="27"/>
          <w:rtl/>
        </w:rPr>
        <w:t>ע</w:t>
      </w:r>
      <w:r w:rsidRPr="008F409D">
        <w:rPr>
          <w:rFonts w:cs="1ShefaClassic"/>
          <w:sz w:val="27"/>
          <w:szCs w:val="27"/>
          <w:rtl/>
        </w:rPr>
        <w:t>"</w:t>
      </w:r>
      <w:r w:rsidRPr="008F409D">
        <w:rPr>
          <w:rFonts w:cs="1ShefaClassic" w:hint="cs"/>
          <w:sz w:val="27"/>
          <w:szCs w:val="27"/>
          <w:rtl/>
        </w:rPr>
        <w:t>י</w:t>
      </w:r>
      <w:r w:rsidRPr="008F409D">
        <w:rPr>
          <w:rFonts w:cs="1ShefaClassic"/>
          <w:sz w:val="27"/>
          <w:szCs w:val="27"/>
          <w:rtl/>
        </w:rPr>
        <w:t xml:space="preserve"> </w:t>
      </w:r>
      <w:r w:rsidRPr="008F409D">
        <w:rPr>
          <w:rFonts w:cs="1ShefaClassic" w:hint="cs"/>
          <w:sz w:val="27"/>
          <w:szCs w:val="27"/>
          <w:rtl/>
        </w:rPr>
        <w:t>ולזכות</w:t>
      </w:r>
    </w:p>
    <w:p w:rsidR="0089120A" w:rsidRDefault="0089120A" w:rsidP="0089120A">
      <w:pPr>
        <w:bidi/>
        <w:jc w:val="center"/>
        <w:rPr>
          <w:rFonts w:ascii="Narkisim" w:eastAsia="Times New Roman" w:hAnsi="Narkisim" w:cs="1ShefaClassic"/>
          <w:sz w:val="27"/>
          <w:szCs w:val="27"/>
          <w:rtl/>
        </w:rPr>
      </w:pPr>
      <w:r>
        <w:rPr>
          <w:rFonts w:ascii="Narkisim" w:eastAsia="Times New Roman" w:hAnsi="Narkisim" w:cs="1ShefaClassic" w:hint="cs"/>
          <w:sz w:val="27"/>
          <w:szCs w:val="27"/>
          <w:rtl/>
        </w:rPr>
        <w:t xml:space="preserve">הרה"ח הרה"ת ר' </w:t>
      </w:r>
      <w:r w:rsidRPr="0089120A">
        <w:rPr>
          <w:rFonts w:ascii="Narkisim" w:eastAsia="Times New Roman" w:hAnsi="Narkisim" w:cs="1ShefaClassic" w:hint="cs"/>
          <w:b/>
          <w:bCs/>
          <w:sz w:val="27"/>
          <w:szCs w:val="27"/>
          <w:rtl/>
        </w:rPr>
        <w:t>שרגא פייביש רימלער</w:t>
      </w:r>
      <w:r>
        <w:rPr>
          <w:rFonts w:ascii="Narkisim" w:eastAsia="Times New Roman" w:hAnsi="Narkisim" w:cs="1ShefaClassic" w:hint="cs"/>
          <w:sz w:val="27"/>
          <w:szCs w:val="27"/>
          <w:rtl/>
        </w:rPr>
        <w:t xml:space="preserve"> </w:t>
      </w:r>
    </w:p>
    <w:p w:rsidR="0089120A" w:rsidRDefault="0089120A" w:rsidP="0089120A">
      <w:pPr>
        <w:bidi/>
        <w:jc w:val="center"/>
        <w:rPr>
          <w:rFonts w:ascii="Narkisim" w:eastAsia="Times New Roman" w:hAnsi="Narkisim" w:cs="1ShefaClassic"/>
          <w:sz w:val="27"/>
          <w:szCs w:val="27"/>
          <w:rtl/>
        </w:rPr>
      </w:pPr>
      <w:r>
        <w:rPr>
          <w:rFonts w:ascii="Narkisim" w:eastAsia="Times New Roman" w:hAnsi="Narkisim" w:cs="1ShefaClassic" w:hint="cs"/>
          <w:sz w:val="27"/>
          <w:szCs w:val="27"/>
          <w:rtl/>
        </w:rPr>
        <w:t>ומשפחתו שיחיו</w:t>
      </w:r>
    </w:p>
    <w:p w:rsidR="0089120A" w:rsidRPr="0089120A" w:rsidRDefault="0089120A" w:rsidP="0089120A">
      <w:pPr>
        <w:bidi/>
        <w:rPr>
          <w:rFonts w:ascii="Narkisim" w:eastAsia="Times New Roman" w:hAnsi="Narkisim" w:cs="1ShefaClassic"/>
          <w:sz w:val="27"/>
          <w:szCs w:val="27"/>
          <w:rtl/>
        </w:rPr>
      </w:pPr>
    </w:p>
    <w:p w:rsidR="0089120A" w:rsidRPr="0089120A" w:rsidRDefault="0089120A" w:rsidP="0089120A">
      <w:pPr>
        <w:bidi/>
        <w:rPr>
          <w:rFonts w:ascii="Narkisim" w:eastAsia="Times New Roman" w:hAnsi="Narkisim" w:cs="1ShefaClassic"/>
          <w:sz w:val="27"/>
          <w:szCs w:val="27"/>
          <w:rtl/>
        </w:rPr>
      </w:pPr>
    </w:p>
    <w:p w:rsidR="0089120A" w:rsidRDefault="0089120A" w:rsidP="0089120A">
      <w:pPr>
        <w:bidi/>
        <w:rPr>
          <w:rFonts w:ascii="Narkisim" w:eastAsia="Times New Roman" w:hAnsi="Narkisim" w:cs="1ShefaClassic"/>
          <w:sz w:val="27"/>
          <w:szCs w:val="27"/>
          <w:rtl/>
        </w:rPr>
      </w:pPr>
    </w:p>
    <w:p w:rsidR="0089120A" w:rsidRDefault="0089120A" w:rsidP="0089120A">
      <w:pPr>
        <w:bidi/>
        <w:rPr>
          <w:rFonts w:ascii="Narkisim" w:eastAsia="Times New Roman" w:hAnsi="Narkisim" w:cs="1ShefaClassic"/>
          <w:sz w:val="27"/>
          <w:szCs w:val="27"/>
          <w:rtl/>
        </w:rPr>
      </w:pPr>
    </w:p>
    <w:p w:rsidR="0013361F" w:rsidRDefault="0089120A" w:rsidP="0013361F">
      <w:pPr>
        <w:bidi/>
        <w:spacing w:after="0" w:line="360" w:lineRule="auto"/>
        <w:jc w:val="center"/>
        <w:rPr>
          <w:rFonts w:ascii="Narkisim" w:eastAsia="Times New Roman" w:hAnsi="Narkisim" w:cs="1ShefaClassic"/>
          <w:sz w:val="27"/>
          <w:szCs w:val="27"/>
          <w:rtl/>
        </w:rPr>
      </w:pPr>
      <w:r>
        <w:rPr>
          <w:rFonts w:ascii="Narkisim" w:eastAsia="Times New Roman" w:hAnsi="Narkisim" w:cs="1ShefaClassic"/>
          <w:sz w:val="27"/>
          <w:szCs w:val="27"/>
          <w:rtl/>
        </w:rPr>
        <w:br w:type="page"/>
      </w:r>
    </w:p>
    <w:p w:rsidR="0013361F" w:rsidRDefault="0013361F" w:rsidP="0013361F">
      <w:pPr>
        <w:bidi/>
        <w:spacing w:after="0" w:line="360" w:lineRule="auto"/>
        <w:jc w:val="center"/>
        <w:rPr>
          <w:rFonts w:ascii="Narkisim" w:eastAsia="Times New Roman" w:hAnsi="Narkisim" w:cs="1ShefaClassic"/>
          <w:sz w:val="27"/>
          <w:szCs w:val="27"/>
          <w:rtl/>
        </w:rPr>
      </w:pPr>
    </w:p>
    <w:p w:rsidR="00A20842" w:rsidRDefault="00A20842" w:rsidP="00A20842">
      <w:pPr>
        <w:bidi/>
        <w:spacing w:after="0" w:line="360" w:lineRule="auto"/>
        <w:jc w:val="center"/>
        <w:rPr>
          <w:rFonts w:ascii="Narkisim" w:eastAsia="Times New Roman" w:hAnsi="Narkisim" w:cs="1ShefaClassic"/>
          <w:sz w:val="27"/>
          <w:szCs w:val="27"/>
          <w:rtl/>
        </w:rPr>
      </w:pPr>
    </w:p>
    <w:p w:rsidR="00A20842" w:rsidRDefault="00A20842" w:rsidP="00A20842">
      <w:pPr>
        <w:bidi/>
        <w:spacing w:after="0" w:line="360" w:lineRule="auto"/>
        <w:jc w:val="center"/>
        <w:rPr>
          <w:rFonts w:ascii="Narkisim" w:eastAsia="Times New Roman" w:hAnsi="Narkisim" w:cs="1ShefaClassic"/>
          <w:sz w:val="27"/>
          <w:szCs w:val="27"/>
          <w:rtl/>
        </w:rPr>
      </w:pPr>
    </w:p>
    <w:p w:rsidR="00A20842" w:rsidRDefault="00A20842" w:rsidP="00A20842">
      <w:pPr>
        <w:bidi/>
        <w:spacing w:after="0" w:line="360" w:lineRule="auto"/>
        <w:jc w:val="center"/>
        <w:rPr>
          <w:rFonts w:ascii="Narkisim" w:eastAsia="Times New Roman" w:hAnsi="Narkisim" w:cs="1ShefaClassic"/>
          <w:sz w:val="27"/>
          <w:szCs w:val="27"/>
          <w:rtl/>
        </w:rPr>
      </w:pPr>
    </w:p>
    <w:p w:rsidR="00A20842" w:rsidRDefault="00A20842" w:rsidP="00A20842">
      <w:pPr>
        <w:bidi/>
        <w:spacing w:after="0" w:line="360" w:lineRule="auto"/>
        <w:jc w:val="center"/>
        <w:rPr>
          <w:rFonts w:ascii="Narkisim" w:eastAsia="Times New Roman" w:hAnsi="Narkisim" w:cs="1ShefaClassic"/>
          <w:sz w:val="27"/>
          <w:szCs w:val="27"/>
          <w:rtl/>
        </w:rPr>
      </w:pPr>
    </w:p>
    <w:p w:rsidR="0013361F" w:rsidRDefault="0013361F" w:rsidP="0013361F">
      <w:pPr>
        <w:bidi/>
        <w:spacing w:after="0" w:line="360" w:lineRule="auto"/>
        <w:jc w:val="center"/>
        <w:rPr>
          <w:rFonts w:ascii="Narkisim" w:eastAsia="Times New Roman" w:hAnsi="Narkisim" w:cs="1ShefaClassic"/>
          <w:sz w:val="27"/>
          <w:szCs w:val="27"/>
          <w:rtl/>
        </w:rPr>
      </w:pPr>
    </w:p>
    <w:p w:rsidR="0013361F" w:rsidRPr="00B02DEC" w:rsidRDefault="0013361F" w:rsidP="0013361F">
      <w:pPr>
        <w:bidi/>
        <w:spacing w:after="0" w:line="360" w:lineRule="auto"/>
        <w:jc w:val="center"/>
        <w:rPr>
          <w:rFonts w:cs="1ShefaClassic"/>
          <w:sz w:val="28"/>
          <w:szCs w:val="28"/>
          <w:rtl/>
        </w:rPr>
      </w:pPr>
      <w:r w:rsidRPr="00B02DEC">
        <w:rPr>
          <w:rFonts w:cs="1ShefaClassic"/>
          <w:sz w:val="28"/>
          <w:szCs w:val="28"/>
          <w:rtl/>
        </w:rPr>
        <w:t>מוקדש</w:t>
      </w:r>
    </w:p>
    <w:p w:rsidR="0013361F" w:rsidRPr="00B02DEC" w:rsidRDefault="0013361F" w:rsidP="0013361F">
      <w:pPr>
        <w:bidi/>
        <w:spacing w:after="0" w:line="360" w:lineRule="auto"/>
        <w:jc w:val="center"/>
        <w:rPr>
          <w:rFonts w:cs="1ShefaClassic"/>
          <w:sz w:val="28"/>
          <w:szCs w:val="28"/>
          <w:rtl/>
        </w:rPr>
      </w:pPr>
      <w:r w:rsidRPr="00B02DEC">
        <w:rPr>
          <w:rFonts w:cs="1ShefaClassic"/>
          <w:sz w:val="28"/>
          <w:szCs w:val="28"/>
          <w:rtl/>
        </w:rPr>
        <w:t>לחיזוק ההתקשרות לכ"ק אדמו"ר</w:t>
      </w:r>
    </w:p>
    <w:p w:rsidR="0013361F" w:rsidRPr="00B02DEC" w:rsidRDefault="0013361F" w:rsidP="0013361F">
      <w:pPr>
        <w:bidi/>
        <w:spacing w:after="0" w:line="360" w:lineRule="auto"/>
        <w:jc w:val="center"/>
        <w:rPr>
          <w:rFonts w:cs="1ShefaClassic"/>
          <w:sz w:val="28"/>
          <w:szCs w:val="28"/>
          <w:rtl/>
        </w:rPr>
      </w:pPr>
      <w:r w:rsidRPr="00B02DEC">
        <w:rPr>
          <w:rFonts w:cs="1ShefaClassic"/>
          <w:sz w:val="28"/>
          <w:szCs w:val="28"/>
          <w:rtl/>
        </w:rPr>
        <w:t>בקשר עם יום הקדוש</w:t>
      </w:r>
    </w:p>
    <w:p w:rsidR="0013361F" w:rsidRPr="00B02DEC" w:rsidRDefault="0013361F" w:rsidP="0013361F">
      <w:pPr>
        <w:bidi/>
        <w:spacing w:after="0" w:line="360" w:lineRule="auto"/>
        <w:jc w:val="center"/>
        <w:rPr>
          <w:rFonts w:cs="1ShefaClassic"/>
          <w:sz w:val="28"/>
          <w:szCs w:val="28"/>
          <w:rtl/>
        </w:rPr>
      </w:pPr>
      <w:r w:rsidRPr="00B02DEC">
        <w:rPr>
          <w:rFonts w:cs="1ShefaClassic"/>
          <w:sz w:val="28"/>
          <w:szCs w:val="28"/>
          <w:rtl/>
        </w:rPr>
        <w:t>ג' תמוז</w:t>
      </w:r>
    </w:p>
    <w:p w:rsidR="0013361F" w:rsidRPr="00B02DEC" w:rsidRDefault="0013361F" w:rsidP="0013361F">
      <w:pPr>
        <w:bidi/>
        <w:spacing w:after="0" w:line="360" w:lineRule="auto"/>
        <w:jc w:val="center"/>
        <w:rPr>
          <w:rFonts w:cs="1ShefaClassic"/>
          <w:sz w:val="28"/>
          <w:szCs w:val="28"/>
          <w:rtl/>
        </w:rPr>
      </w:pPr>
      <w:r w:rsidRPr="00B02DEC">
        <w:rPr>
          <w:rFonts w:cs="1ShefaClassic"/>
          <w:sz w:val="28"/>
          <w:szCs w:val="28"/>
          <w:rtl/>
        </w:rPr>
        <w:t>שבקרוב ממש נזכה לגאולה האמיתית והשלימה ומלכנו בראשינו</w:t>
      </w:r>
    </w:p>
    <w:p w:rsidR="0013361F" w:rsidRPr="00B02DEC" w:rsidRDefault="0013361F" w:rsidP="0013361F">
      <w:pPr>
        <w:bidi/>
        <w:spacing w:after="0" w:line="360" w:lineRule="auto"/>
        <w:jc w:val="center"/>
        <w:rPr>
          <w:rFonts w:cs="1ShefaClassic"/>
          <w:sz w:val="28"/>
          <w:szCs w:val="28"/>
          <w:rtl/>
        </w:rPr>
      </w:pPr>
      <w:r w:rsidRPr="00B02DEC">
        <w:rPr>
          <w:rFonts w:cs="1ShefaClassic"/>
          <w:sz w:val="28"/>
          <w:szCs w:val="28"/>
        </w:rPr>
        <w:sym w:font="Wingdings 2" w:char="F0B2"/>
      </w:r>
    </w:p>
    <w:p w:rsidR="0013361F" w:rsidRPr="00B02DEC" w:rsidRDefault="0013361F" w:rsidP="0013361F">
      <w:pPr>
        <w:bidi/>
        <w:spacing w:after="0" w:line="360" w:lineRule="auto"/>
        <w:jc w:val="center"/>
        <w:rPr>
          <w:rFonts w:cs="1ShefaClassic"/>
          <w:b/>
          <w:sz w:val="28"/>
          <w:szCs w:val="28"/>
          <w:rtl/>
        </w:rPr>
      </w:pPr>
      <w:r w:rsidRPr="00B02DEC">
        <w:rPr>
          <w:rFonts w:cs="1ShefaClassic"/>
          <w:b/>
          <w:sz w:val="28"/>
          <w:szCs w:val="28"/>
          <w:rtl/>
        </w:rPr>
        <w:t>נדפס ע"י ולזכות</w:t>
      </w:r>
    </w:p>
    <w:p w:rsidR="0013361F" w:rsidRPr="00B02DEC" w:rsidRDefault="0013361F" w:rsidP="0013361F">
      <w:pPr>
        <w:bidi/>
        <w:spacing w:after="0" w:line="360" w:lineRule="auto"/>
        <w:jc w:val="center"/>
        <w:rPr>
          <w:rFonts w:cs="1ShefaClassic"/>
          <w:b/>
          <w:bCs/>
          <w:sz w:val="28"/>
          <w:szCs w:val="28"/>
          <w:rtl/>
        </w:rPr>
      </w:pPr>
      <w:r w:rsidRPr="00B02DEC">
        <w:rPr>
          <w:rFonts w:cs="1ShefaClassic"/>
          <w:sz w:val="28"/>
          <w:szCs w:val="28"/>
          <w:rtl/>
        </w:rPr>
        <w:t xml:space="preserve">הרה"ח הרה"ת ר' </w:t>
      </w:r>
      <w:r w:rsidRPr="00B02DEC">
        <w:rPr>
          <w:rFonts w:cs="1ShefaClassic"/>
          <w:b/>
          <w:bCs/>
          <w:sz w:val="28"/>
          <w:szCs w:val="28"/>
          <w:rtl/>
        </w:rPr>
        <w:t>משה</w:t>
      </w:r>
      <w:r w:rsidRPr="00B02DEC">
        <w:rPr>
          <w:rFonts w:cs="1ShefaClassic"/>
          <w:sz w:val="28"/>
          <w:szCs w:val="28"/>
          <w:rtl/>
        </w:rPr>
        <w:t xml:space="preserve"> הלוי וזוגתו מרת </w:t>
      </w:r>
      <w:r w:rsidRPr="00B02DEC">
        <w:rPr>
          <w:rFonts w:cs="1ShefaClassic"/>
          <w:b/>
          <w:bCs/>
          <w:sz w:val="28"/>
          <w:szCs w:val="28"/>
          <w:rtl/>
        </w:rPr>
        <w:t>מנוחה</w:t>
      </w:r>
      <w:r w:rsidRPr="00B02DEC">
        <w:rPr>
          <w:rFonts w:cs="1ShefaClassic"/>
          <w:sz w:val="28"/>
          <w:szCs w:val="28"/>
          <w:rtl/>
        </w:rPr>
        <w:t xml:space="preserve"> </w:t>
      </w:r>
      <w:r w:rsidRPr="00B02DEC">
        <w:rPr>
          <w:rFonts w:cs="1ShefaClassic"/>
          <w:b/>
          <w:bCs/>
          <w:sz w:val="28"/>
          <w:szCs w:val="28"/>
          <w:rtl/>
        </w:rPr>
        <w:t xml:space="preserve">קריינדל </w:t>
      </w:r>
      <w:r w:rsidRPr="00B02DEC">
        <w:rPr>
          <w:rFonts w:cs="1ShefaClassic"/>
          <w:sz w:val="28"/>
          <w:szCs w:val="28"/>
          <w:rtl/>
        </w:rPr>
        <w:t>שיחיו</w:t>
      </w:r>
    </w:p>
    <w:p w:rsidR="0013361F" w:rsidRPr="00B02DEC" w:rsidRDefault="0013361F" w:rsidP="0013361F">
      <w:pPr>
        <w:bidi/>
        <w:spacing w:after="0" w:line="360" w:lineRule="auto"/>
        <w:jc w:val="center"/>
        <w:rPr>
          <w:rFonts w:cs="1ShefaClassic"/>
          <w:b/>
          <w:bCs/>
          <w:sz w:val="28"/>
          <w:szCs w:val="28"/>
          <w:rtl/>
        </w:rPr>
      </w:pPr>
      <w:r w:rsidRPr="00B02DEC">
        <w:rPr>
          <w:rFonts w:cs="1ShefaClassic"/>
          <w:b/>
          <w:bCs/>
          <w:sz w:val="28"/>
          <w:szCs w:val="28"/>
          <w:rtl/>
        </w:rPr>
        <w:t>קליין</w:t>
      </w:r>
    </w:p>
    <w:p w:rsidR="0089120A" w:rsidRDefault="0089120A">
      <w:pPr>
        <w:rPr>
          <w:rFonts w:ascii="Narkisim" w:eastAsia="Times New Roman" w:hAnsi="Narkisim" w:cs="1ShefaClassic"/>
          <w:sz w:val="27"/>
          <w:szCs w:val="27"/>
          <w:rtl/>
        </w:rPr>
      </w:pPr>
    </w:p>
    <w:p w:rsidR="0089120A" w:rsidRDefault="0089120A" w:rsidP="0089120A">
      <w:pPr>
        <w:bidi/>
        <w:spacing w:after="0" w:line="360" w:lineRule="auto"/>
        <w:jc w:val="center"/>
        <w:rPr>
          <w:rFonts w:ascii="Narkisim" w:eastAsia="Times New Roman" w:hAnsi="Narkisim" w:cs="1ShefaClassic"/>
          <w:sz w:val="27"/>
          <w:szCs w:val="27"/>
          <w:rtl/>
        </w:rPr>
      </w:pPr>
    </w:p>
    <w:p w:rsidR="0089120A" w:rsidRDefault="0089120A" w:rsidP="0089120A">
      <w:pPr>
        <w:bidi/>
        <w:spacing w:after="0" w:line="360" w:lineRule="auto"/>
        <w:jc w:val="center"/>
        <w:rPr>
          <w:rFonts w:ascii="Narkisim" w:eastAsia="Times New Roman" w:hAnsi="Narkisim" w:cs="1ShefaClassic"/>
          <w:sz w:val="27"/>
          <w:szCs w:val="27"/>
          <w:rtl/>
        </w:rPr>
      </w:pPr>
    </w:p>
    <w:p w:rsidR="0013361F" w:rsidRDefault="0013361F">
      <w:pPr>
        <w:rPr>
          <w:rFonts w:ascii="Narkisim" w:eastAsia="Times New Roman" w:hAnsi="Narkisim" w:cs="1ShefaClassic"/>
          <w:sz w:val="27"/>
          <w:szCs w:val="27"/>
          <w:rtl/>
        </w:rPr>
      </w:pPr>
      <w:r>
        <w:rPr>
          <w:rFonts w:ascii="Narkisim" w:eastAsia="Times New Roman" w:hAnsi="Narkisim" w:cs="1ShefaClassic"/>
          <w:sz w:val="27"/>
          <w:szCs w:val="27"/>
          <w:rtl/>
        </w:rPr>
        <w:br w:type="page"/>
      </w:r>
    </w:p>
    <w:p w:rsidR="0089120A" w:rsidRDefault="0089120A" w:rsidP="0089120A">
      <w:pPr>
        <w:bidi/>
        <w:spacing w:after="0" w:line="360" w:lineRule="auto"/>
        <w:jc w:val="center"/>
        <w:rPr>
          <w:rFonts w:ascii="Narkisim" w:eastAsia="Times New Roman" w:hAnsi="Narkisim" w:cs="1ShefaClassic"/>
          <w:sz w:val="27"/>
          <w:szCs w:val="27"/>
          <w:rtl/>
        </w:rPr>
      </w:pPr>
    </w:p>
    <w:p w:rsidR="00A20842" w:rsidRDefault="00A20842" w:rsidP="00A20842">
      <w:pPr>
        <w:bidi/>
        <w:spacing w:after="0" w:line="360" w:lineRule="auto"/>
        <w:jc w:val="center"/>
        <w:rPr>
          <w:rFonts w:ascii="Narkisim" w:eastAsia="Times New Roman" w:hAnsi="Narkisim" w:cs="1ShefaClassic"/>
          <w:sz w:val="27"/>
          <w:szCs w:val="27"/>
          <w:rtl/>
        </w:rPr>
      </w:pPr>
    </w:p>
    <w:p w:rsidR="00A20842" w:rsidRDefault="00A20842" w:rsidP="00A20842">
      <w:pPr>
        <w:bidi/>
        <w:spacing w:after="0" w:line="360" w:lineRule="auto"/>
        <w:jc w:val="center"/>
        <w:rPr>
          <w:rFonts w:ascii="Narkisim" w:eastAsia="Times New Roman" w:hAnsi="Narkisim" w:cs="1ShefaClassic"/>
          <w:sz w:val="27"/>
          <w:szCs w:val="27"/>
          <w:rtl/>
        </w:rPr>
      </w:pPr>
    </w:p>
    <w:p w:rsidR="00A20842" w:rsidRDefault="00A20842" w:rsidP="00A20842">
      <w:pPr>
        <w:bidi/>
        <w:spacing w:after="0" w:line="360" w:lineRule="auto"/>
        <w:jc w:val="center"/>
        <w:rPr>
          <w:rFonts w:ascii="Narkisim" w:eastAsia="Times New Roman" w:hAnsi="Narkisim" w:cs="1ShefaClassic"/>
          <w:sz w:val="27"/>
          <w:szCs w:val="27"/>
          <w:rtl/>
        </w:rPr>
      </w:pPr>
    </w:p>
    <w:p w:rsidR="0089120A" w:rsidRDefault="0089120A" w:rsidP="0089120A">
      <w:pPr>
        <w:bidi/>
        <w:spacing w:after="0" w:line="360" w:lineRule="auto"/>
        <w:jc w:val="center"/>
        <w:rPr>
          <w:rFonts w:ascii="Narkisim" w:eastAsia="Times New Roman" w:hAnsi="Narkisim" w:cs="1ShefaClassic"/>
          <w:sz w:val="27"/>
          <w:szCs w:val="27"/>
          <w:rtl/>
        </w:rPr>
      </w:pPr>
    </w:p>
    <w:p w:rsidR="0089120A" w:rsidRPr="0089120A" w:rsidRDefault="0089120A" w:rsidP="0089120A">
      <w:pPr>
        <w:bidi/>
        <w:spacing w:after="0" w:line="360" w:lineRule="auto"/>
        <w:jc w:val="center"/>
        <w:rPr>
          <w:rFonts w:ascii="Calibri" w:eastAsia="Calibri" w:hAnsi="Calibri" w:cs="1ShefaClassic"/>
          <w:sz w:val="28"/>
          <w:szCs w:val="28"/>
          <w:rtl/>
        </w:rPr>
      </w:pPr>
      <w:r w:rsidRPr="0089120A">
        <w:rPr>
          <w:rFonts w:ascii="Narkisim" w:eastAsia="Times New Roman" w:hAnsi="Narkisim" w:cs="1ShefaClassic" w:hint="cs"/>
          <w:sz w:val="27"/>
          <w:szCs w:val="27"/>
          <w:rtl/>
        </w:rPr>
        <w:t>לע</w:t>
      </w:r>
      <w:r w:rsidRPr="0089120A">
        <w:rPr>
          <w:rFonts w:ascii="Narkisim" w:eastAsia="Times New Roman" w:hAnsi="Narkisim" w:cs="1ShefaClassic"/>
          <w:sz w:val="27"/>
          <w:szCs w:val="27"/>
          <w:rtl/>
        </w:rPr>
        <w:t>"</w:t>
      </w:r>
      <w:r w:rsidRPr="0089120A">
        <w:rPr>
          <w:rFonts w:ascii="Narkisim" w:eastAsia="Times New Roman" w:hAnsi="Narkisim" w:cs="1ShefaClassic" w:hint="cs"/>
          <w:sz w:val="27"/>
          <w:szCs w:val="27"/>
          <w:rtl/>
        </w:rPr>
        <w:t>נ</w:t>
      </w:r>
    </w:p>
    <w:p w:rsidR="0089120A" w:rsidRPr="0089120A" w:rsidRDefault="0089120A" w:rsidP="0089120A">
      <w:pPr>
        <w:bidi/>
        <w:spacing w:after="0" w:line="360" w:lineRule="auto"/>
        <w:jc w:val="center"/>
        <w:rPr>
          <w:rFonts w:ascii="Calibri" w:eastAsia="Calibri" w:hAnsi="Calibri" w:cs="1ShefaClassic"/>
          <w:sz w:val="28"/>
          <w:szCs w:val="28"/>
          <w:rtl/>
        </w:rPr>
      </w:pPr>
      <w:r w:rsidRPr="0089120A">
        <w:rPr>
          <w:rFonts w:ascii="Calibri" w:eastAsia="Calibri" w:hAnsi="Calibri" w:cs="1ShefaClassic" w:hint="cs"/>
          <w:sz w:val="28"/>
          <w:szCs w:val="28"/>
          <w:rtl/>
        </w:rPr>
        <w:t>איש</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בעל</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מס</w:t>
      </w:r>
      <w:r w:rsidRPr="0089120A">
        <w:rPr>
          <w:rFonts w:ascii="Calibri" w:eastAsia="Calibri" w:hAnsi="Calibri" w:cs="1ShefaClassic"/>
          <w:sz w:val="28"/>
          <w:szCs w:val="28"/>
          <w:rtl/>
        </w:rPr>
        <w:t>"</w:t>
      </w:r>
      <w:r w:rsidRPr="0089120A">
        <w:rPr>
          <w:rFonts w:ascii="Calibri" w:eastAsia="Calibri" w:hAnsi="Calibri" w:cs="1ShefaClassic" w:hint="cs"/>
          <w:sz w:val="28"/>
          <w:szCs w:val="28"/>
          <w:rtl/>
        </w:rPr>
        <w:t>נ</w:t>
      </w:r>
    </w:p>
    <w:p w:rsidR="0089120A" w:rsidRPr="0089120A" w:rsidRDefault="0089120A" w:rsidP="0089120A">
      <w:pPr>
        <w:bidi/>
        <w:spacing w:after="0" w:line="360" w:lineRule="auto"/>
        <w:jc w:val="center"/>
        <w:rPr>
          <w:rFonts w:ascii="Calibri" w:eastAsia="Calibri" w:hAnsi="Calibri" w:cs="1ShefaClassic"/>
          <w:sz w:val="28"/>
          <w:szCs w:val="28"/>
          <w:rtl/>
        </w:rPr>
      </w:pPr>
      <w:r w:rsidRPr="0089120A">
        <w:rPr>
          <w:rFonts w:ascii="Calibri" w:eastAsia="Calibri" w:hAnsi="Calibri" w:cs="1ShefaClassic" w:hint="cs"/>
          <w:sz w:val="28"/>
          <w:szCs w:val="28"/>
          <w:rtl/>
        </w:rPr>
        <w:t>ר</w:t>
      </w:r>
      <w:r w:rsidRPr="0089120A">
        <w:rPr>
          <w:rFonts w:ascii="Calibri" w:eastAsia="Calibri" w:hAnsi="Calibri" w:cs="1ShefaClassic"/>
          <w:sz w:val="28"/>
          <w:szCs w:val="28"/>
          <w:rtl/>
        </w:rPr>
        <w:t xml:space="preserve">' </w:t>
      </w:r>
      <w:r w:rsidRPr="0089120A">
        <w:rPr>
          <w:rFonts w:ascii="Calibri" w:eastAsia="Calibri" w:hAnsi="Calibri" w:cs="1ShefaClassic" w:hint="cs"/>
          <w:b/>
          <w:bCs/>
          <w:sz w:val="28"/>
          <w:szCs w:val="28"/>
          <w:rtl/>
        </w:rPr>
        <w:t>שמואל</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ע</w:t>
      </w:r>
      <w:r w:rsidRPr="0089120A">
        <w:rPr>
          <w:rFonts w:ascii="Calibri" w:eastAsia="Calibri" w:hAnsi="Calibri" w:cs="1ShefaClassic"/>
          <w:sz w:val="28"/>
          <w:szCs w:val="28"/>
          <w:rtl/>
        </w:rPr>
        <w:t>"</w:t>
      </w:r>
      <w:r w:rsidRPr="0089120A">
        <w:rPr>
          <w:rFonts w:ascii="Calibri" w:eastAsia="Calibri" w:hAnsi="Calibri" w:cs="1ShefaClassic" w:hint="cs"/>
          <w:sz w:val="28"/>
          <w:szCs w:val="28"/>
          <w:rtl/>
        </w:rPr>
        <w:t>ה</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ב</w:t>
      </w:r>
      <w:r w:rsidRPr="0089120A">
        <w:rPr>
          <w:rFonts w:ascii="Calibri" w:eastAsia="Calibri" w:hAnsi="Calibri" w:cs="1ShefaClassic"/>
          <w:sz w:val="28"/>
          <w:szCs w:val="28"/>
          <w:rtl/>
        </w:rPr>
        <w:t>"</w:t>
      </w:r>
      <w:r w:rsidRPr="0089120A">
        <w:rPr>
          <w:rFonts w:ascii="Calibri" w:eastAsia="Calibri" w:hAnsi="Calibri" w:cs="1ShefaClassic" w:hint="cs"/>
          <w:sz w:val="28"/>
          <w:szCs w:val="28"/>
          <w:rtl/>
        </w:rPr>
        <w:t>ר</w:t>
      </w:r>
      <w:r w:rsidRPr="0089120A">
        <w:rPr>
          <w:rFonts w:ascii="Calibri" w:eastAsia="Calibri" w:hAnsi="Calibri" w:cs="1ShefaClassic"/>
          <w:sz w:val="28"/>
          <w:szCs w:val="28"/>
          <w:rtl/>
        </w:rPr>
        <w:t xml:space="preserve"> </w:t>
      </w:r>
      <w:r w:rsidRPr="0089120A">
        <w:rPr>
          <w:rFonts w:ascii="Calibri" w:eastAsia="Calibri" w:hAnsi="Calibri" w:cs="1ShefaClassic" w:hint="cs"/>
          <w:b/>
          <w:bCs/>
          <w:sz w:val="28"/>
          <w:szCs w:val="28"/>
          <w:rtl/>
        </w:rPr>
        <w:t>צבי</w:t>
      </w:r>
      <w:r w:rsidRPr="0089120A">
        <w:rPr>
          <w:rFonts w:ascii="Calibri" w:eastAsia="Calibri" w:hAnsi="Calibri" w:cs="1ShefaClassic"/>
          <w:b/>
          <w:bCs/>
          <w:sz w:val="28"/>
          <w:szCs w:val="28"/>
          <w:rtl/>
        </w:rPr>
        <w:t xml:space="preserve"> </w:t>
      </w:r>
      <w:r w:rsidRPr="0089120A">
        <w:rPr>
          <w:rFonts w:ascii="Calibri" w:eastAsia="Calibri" w:hAnsi="Calibri" w:cs="1ShefaClassic" w:hint="cs"/>
          <w:b/>
          <w:bCs/>
          <w:sz w:val="28"/>
          <w:szCs w:val="28"/>
          <w:rtl/>
        </w:rPr>
        <w:t>הירש</w:t>
      </w:r>
      <w:r w:rsidRPr="0089120A">
        <w:rPr>
          <w:rFonts w:ascii="Calibri" w:eastAsia="Calibri" w:hAnsi="Calibri" w:cs="1ShefaClassic"/>
          <w:b/>
          <w:bCs/>
          <w:sz w:val="28"/>
          <w:szCs w:val="28"/>
          <w:rtl/>
        </w:rPr>
        <w:t xml:space="preserve"> </w:t>
      </w:r>
      <w:r w:rsidRPr="0089120A">
        <w:rPr>
          <w:rFonts w:ascii="Calibri" w:eastAsia="Calibri" w:hAnsi="Calibri" w:cs="1ShefaClassic" w:hint="cs"/>
          <w:sz w:val="28"/>
          <w:szCs w:val="28"/>
          <w:rtl/>
        </w:rPr>
        <w:t>הי</w:t>
      </w:r>
      <w:r w:rsidRPr="0089120A">
        <w:rPr>
          <w:rFonts w:ascii="Calibri" w:eastAsia="Calibri" w:hAnsi="Calibri" w:cs="1ShefaClassic"/>
          <w:sz w:val="28"/>
          <w:szCs w:val="28"/>
          <w:rtl/>
        </w:rPr>
        <w:t>"</w:t>
      </w:r>
      <w:r w:rsidRPr="0089120A">
        <w:rPr>
          <w:rFonts w:ascii="Calibri" w:eastAsia="Calibri" w:hAnsi="Calibri" w:cs="1ShefaClassic" w:hint="cs"/>
          <w:sz w:val="28"/>
          <w:szCs w:val="28"/>
          <w:rtl/>
        </w:rPr>
        <w:t>ד</w:t>
      </w:r>
      <w:r w:rsidRPr="0089120A">
        <w:rPr>
          <w:rFonts w:ascii="Calibri" w:eastAsia="Calibri" w:hAnsi="Calibri" w:cs="1ShefaClassic"/>
          <w:sz w:val="28"/>
          <w:szCs w:val="28"/>
        </w:rPr>
        <w:t xml:space="preserve"> </w:t>
      </w:r>
    </w:p>
    <w:p w:rsidR="0089120A" w:rsidRPr="0089120A" w:rsidRDefault="0089120A" w:rsidP="0089120A">
      <w:pPr>
        <w:bidi/>
        <w:spacing w:after="0" w:line="360" w:lineRule="auto"/>
        <w:jc w:val="center"/>
        <w:rPr>
          <w:rFonts w:ascii="Calibri" w:eastAsia="Calibri" w:hAnsi="Calibri" w:cs="1ShefaClassic"/>
          <w:b/>
          <w:bCs/>
          <w:sz w:val="28"/>
          <w:szCs w:val="28"/>
          <w:rtl/>
        </w:rPr>
      </w:pPr>
      <w:r w:rsidRPr="0089120A">
        <w:rPr>
          <w:rFonts w:ascii="Calibri" w:eastAsia="Calibri" w:hAnsi="Calibri" w:cs="1ShefaClassic"/>
          <w:sz w:val="28"/>
          <w:szCs w:val="28"/>
        </w:rPr>
        <w:t xml:space="preserve"> </w:t>
      </w:r>
      <w:r w:rsidRPr="0089120A">
        <w:rPr>
          <w:rFonts w:ascii="Calibri" w:eastAsia="Calibri" w:hAnsi="Calibri" w:cs="1ShefaClassic" w:hint="cs"/>
          <w:b/>
          <w:bCs/>
          <w:sz w:val="28"/>
          <w:szCs w:val="28"/>
          <w:rtl/>
        </w:rPr>
        <w:t>נירענבערג</w:t>
      </w:r>
      <w:r w:rsidRPr="0089120A">
        <w:rPr>
          <w:rFonts w:ascii="Calibri" w:eastAsia="Calibri" w:hAnsi="Calibri" w:cs="1ShefaClassic"/>
          <w:b/>
          <w:bCs/>
          <w:sz w:val="28"/>
          <w:szCs w:val="28"/>
        </w:rPr>
        <w:t xml:space="preserve"> </w:t>
      </w:r>
    </w:p>
    <w:p w:rsidR="0089120A" w:rsidRPr="0089120A" w:rsidRDefault="0089120A" w:rsidP="0089120A">
      <w:pPr>
        <w:bidi/>
        <w:spacing w:after="0" w:line="360" w:lineRule="auto"/>
        <w:jc w:val="center"/>
        <w:rPr>
          <w:rFonts w:ascii="Calibri" w:eastAsia="Calibri" w:hAnsi="Calibri" w:cs="1ShefaClassic"/>
          <w:sz w:val="28"/>
          <w:szCs w:val="28"/>
          <w:rtl/>
        </w:rPr>
      </w:pPr>
      <w:r w:rsidRPr="0089120A">
        <w:rPr>
          <w:rFonts w:ascii="Calibri" w:eastAsia="Calibri" w:hAnsi="Calibri" w:cs="1ShefaClassic" w:hint="cs"/>
          <w:sz w:val="28"/>
          <w:szCs w:val="28"/>
          <w:rtl/>
        </w:rPr>
        <w:t>נאסר</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על</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קיום</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המצות</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והחזקת</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היהדות</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מאחורי</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מסך</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ברזל</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ועזר</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אחב</w:t>
      </w:r>
      <w:r w:rsidRPr="0089120A">
        <w:rPr>
          <w:rFonts w:ascii="Calibri" w:eastAsia="Calibri" w:hAnsi="Calibri" w:cs="1ShefaClassic"/>
          <w:sz w:val="28"/>
          <w:szCs w:val="28"/>
          <w:rtl/>
        </w:rPr>
        <w:t>"</w:t>
      </w:r>
      <w:r w:rsidRPr="0089120A">
        <w:rPr>
          <w:rFonts w:ascii="Calibri" w:eastAsia="Calibri" w:hAnsi="Calibri" w:cs="1ShefaClassic" w:hint="cs"/>
          <w:sz w:val="28"/>
          <w:szCs w:val="28"/>
          <w:rtl/>
        </w:rPr>
        <w:t>י</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ביציאתם</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מרוסיא</w:t>
      </w:r>
      <w:r w:rsidRPr="0089120A">
        <w:rPr>
          <w:rFonts w:ascii="Calibri" w:eastAsia="Calibri" w:hAnsi="Calibri" w:cs="1ShefaClassic"/>
          <w:sz w:val="28"/>
          <w:szCs w:val="28"/>
        </w:rPr>
        <w:t xml:space="preserve"> </w:t>
      </w:r>
    </w:p>
    <w:p w:rsidR="0089120A" w:rsidRPr="0089120A" w:rsidRDefault="0089120A" w:rsidP="0089120A">
      <w:pPr>
        <w:bidi/>
        <w:spacing w:after="0" w:line="360" w:lineRule="auto"/>
        <w:jc w:val="center"/>
        <w:rPr>
          <w:rFonts w:ascii="Calibri" w:eastAsia="Calibri" w:hAnsi="Calibri" w:cs="1ShefaClassic"/>
          <w:sz w:val="28"/>
          <w:szCs w:val="28"/>
          <w:rtl/>
        </w:rPr>
      </w:pPr>
      <w:r w:rsidRPr="0089120A">
        <w:rPr>
          <w:rFonts w:ascii="Calibri" w:eastAsia="Calibri" w:hAnsi="Calibri" w:cs="1ShefaClassic"/>
          <w:sz w:val="28"/>
          <w:szCs w:val="28"/>
        </w:rPr>
        <w:t xml:space="preserve"> </w:t>
      </w:r>
      <w:r w:rsidRPr="0089120A">
        <w:rPr>
          <w:rFonts w:ascii="Calibri" w:eastAsia="Calibri" w:hAnsi="Calibri" w:cs="1ShefaClassic" w:hint="cs"/>
          <w:sz w:val="28"/>
          <w:szCs w:val="28"/>
          <w:rtl/>
        </w:rPr>
        <w:t>נפטר</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ערש</w:t>
      </w:r>
      <w:r w:rsidRPr="0089120A">
        <w:rPr>
          <w:rFonts w:ascii="Calibri" w:eastAsia="Calibri" w:hAnsi="Calibri" w:cs="1ShefaClassic"/>
          <w:sz w:val="28"/>
          <w:szCs w:val="28"/>
          <w:rtl/>
        </w:rPr>
        <w:t>"</w:t>
      </w:r>
      <w:r w:rsidRPr="0089120A">
        <w:rPr>
          <w:rFonts w:ascii="Calibri" w:eastAsia="Calibri" w:hAnsi="Calibri" w:cs="1ShefaClassic" w:hint="cs"/>
          <w:sz w:val="28"/>
          <w:szCs w:val="28"/>
          <w:rtl/>
        </w:rPr>
        <w:t>ק</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ט</w:t>
      </w:r>
      <w:r w:rsidRPr="0089120A">
        <w:rPr>
          <w:rFonts w:ascii="Calibri" w:eastAsia="Calibri" w:hAnsi="Calibri" w:cs="1ShefaClassic"/>
          <w:sz w:val="28"/>
          <w:szCs w:val="28"/>
          <w:rtl/>
        </w:rPr>
        <w:t>"</w:t>
      </w:r>
      <w:r w:rsidRPr="0089120A">
        <w:rPr>
          <w:rFonts w:ascii="Calibri" w:eastAsia="Calibri" w:hAnsi="Calibri" w:cs="1ShefaClassic" w:hint="cs"/>
          <w:sz w:val="28"/>
          <w:szCs w:val="28"/>
          <w:rtl/>
        </w:rPr>
        <w:t>ז</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תמוז</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ה</w:t>
      </w:r>
      <w:r w:rsidRPr="0089120A">
        <w:rPr>
          <w:rFonts w:ascii="Calibri" w:eastAsia="Calibri" w:hAnsi="Calibri" w:cs="1ShefaClassic"/>
          <w:sz w:val="28"/>
          <w:szCs w:val="28"/>
          <w:rtl/>
        </w:rPr>
        <w:t>'</w:t>
      </w:r>
      <w:r w:rsidRPr="0089120A">
        <w:rPr>
          <w:rFonts w:ascii="Calibri" w:eastAsia="Calibri" w:hAnsi="Calibri" w:cs="1ShefaClassic" w:hint="cs"/>
          <w:sz w:val="28"/>
          <w:szCs w:val="28"/>
          <w:rtl/>
        </w:rPr>
        <w:t>תשנ</w:t>
      </w:r>
      <w:r w:rsidRPr="0089120A">
        <w:rPr>
          <w:rFonts w:ascii="Calibri" w:eastAsia="Calibri" w:hAnsi="Calibri" w:cs="1ShefaClassic"/>
          <w:sz w:val="28"/>
          <w:szCs w:val="28"/>
          <w:rtl/>
        </w:rPr>
        <w:t>"</w:t>
      </w:r>
      <w:r w:rsidRPr="0089120A">
        <w:rPr>
          <w:rFonts w:ascii="Calibri" w:eastAsia="Calibri" w:hAnsi="Calibri" w:cs="1ShefaClassic" w:hint="cs"/>
          <w:sz w:val="28"/>
          <w:szCs w:val="28"/>
          <w:rtl/>
        </w:rPr>
        <w:t>ה</w:t>
      </w:r>
    </w:p>
    <w:p w:rsidR="0089120A" w:rsidRDefault="0089120A" w:rsidP="0089120A">
      <w:pPr>
        <w:bidi/>
        <w:spacing w:after="0" w:line="360" w:lineRule="auto"/>
        <w:jc w:val="center"/>
        <w:rPr>
          <w:rFonts w:ascii="Calibri" w:eastAsia="Calibri" w:hAnsi="Calibri" w:cs="1ShefaClassic"/>
          <w:sz w:val="28"/>
          <w:szCs w:val="28"/>
          <w:rtl/>
        </w:rPr>
      </w:pPr>
      <w:r w:rsidRPr="0089120A">
        <w:rPr>
          <w:rFonts w:ascii="Calibri" w:eastAsia="Calibri" w:hAnsi="Calibri" w:cs="1ShefaClassic" w:hint="cs"/>
          <w:sz w:val="28"/>
          <w:szCs w:val="28"/>
          <w:rtl/>
        </w:rPr>
        <w:t>ת</w:t>
      </w:r>
      <w:r>
        <w:rPr>
          <w:rFonts w:ascii="Calibri" w:eastAsia="Calibri" w:hAnsi="Calibri" w:cs="1ShefaClassic" w:hint="cs"/>
          <w:sz w:val="28"/>
          <w:szCs w:val="28"/>
          <w:rtl/>
        </w:rPr>
        <w:t>.</w:t>
      </w:r>
      <w:r w:rsidRPr="0089120A">
        <w:rPr>
          <w:rFonts w:ascii="Calibri" w:eastAsia="Calibri" w:hAnsi="Calibri" w:cs="1ShefaClassic" w:hint="cs"/>
          <w:sz w:val="28"/>
          <w:szCs w:val="28"/>
          <w:rtl/>
        </w:rPr>
        <w:t>נ</w:t>
      </w:r>
      <w:r>
        <w:rPr>
          <w:rFonts w:ascii="Calibri" w:eastAsia="Calibri" w:hAnsi="Calibri" w:cs="1ShefaClassic" w:hint="cs"/>
          <w:sz w:val="28"/>
          <w:szCs w:val="28"/>
          <w:rtl/>
        </w:rPr>
        <w:t>.</w:t>
      </w:r>
      <w:r w:rsidRPr="0089120A">
        <w:rPr>
          <w:rFonts w:ascii="Calibri" w:eastAsia="Calibri" w:hAnsi="Calibri" w:cs="1ShefaClassic" w:hint="cs"/>
          <w:sz w:val="28"/>
          <w:szCs w:val="28"/>
          <w:rtl/>
        </w:rPr>
        <w:t>צ</w:t>
      </w:r>
      <w:r>
        <w:rPr>
          <w:rFonts w:ascii="Calibri" w:eastAsia="Calibri" w:hAnsi="Calibri" w:cs="1ShefaClassic" w:hint="cs"/>
          <w:sz w:val="28"/>
          <w:szCs w:val="28"/>
          <w:rtl/>
        </w:rPr>
        <w:t>.</w:t>
      </w:r>
      <w:r w:rsidRPr="0089120A">
        <w:rPr>
          <w:rFonts w:ascii="Calibri" w:eastAsia="Calibri" w:hAnsi="Calibri" w:cs="1ShefaClassic" w:hint="cs"/>
          <w:sz w:val="28"/>
          <w:szCs w:val="28"/>
          <w:rtl/>
        </w:rPr>
        <w:t>ב</w:t>
      </w:r>
      <w:r>
        <w:rPr>
          <w:rFonts w:ascii="Calibri" w:eastAsia="Calibri" w:hAnsi="Calibri" w:cs="1ShefaClassic" w:hint="cs"/>
          <w:sz w:val="28"/>
          <w:szCs w:val="28"/>
          <w:rtl/>
        </w:rPr>
        <w:t>.</w:t>
      </w:r>
      <w:r w:rsidRPr="0089120A">
        <w:rPr>
          <w:rFonts w:ascii="Calibri" w:eastAsia="Calibri" w:hAnsi="Calibri" w:cs="1ShefaClassic" w:hint="cs"/>
          <w:sz w:val="28"/>
          <w:szCs w:val="28"/>
          <w:rtl/>
        </w:rPr>
        <w:t>ה</w:t>
      </w:r>
    </w:p>
    <w:p w:rsidR="0089120A" w:rsidRPr="00B02DEC" w:rsidRDefault="0089120A" w:rsidP="0089120A">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Pr>
        <w:sym w:font="Wingdings 2" w:char="F0B2"/>
      </w:r>
    </w:p>
    <w:p w:rsidR="00237479" w:rsidRDefault="0089120A" w:rsidP="0089120A">
      <w:pPr>
        <w:bidi/>
        <w:spacing w:after="0" w:line="360" w:lineRule="auto"/>
        <w:jc w:val="center"/>
        <w:rPr>
          <w:rFonts w:ascii="Calibri" w:eastAsia="Calibri" w:hAnsi="Calibri" w:cs="1ShefaClassic"/>
          <w:sz w:val="28"/>
          <w:szCs w:val="28"/>
          <w:rtl/>
        </w:rPr>
      </w:pPr>
      <w:r w:rsidRPr="0089120A">
        <w:rPr>
          <w:rFonts w:ascii="Calibri" w:eastAsia="Calibri" w:hAnsi="Calibri" w:cs="1ShefaClassic" w:hint="cs"/>
          <w:sz w:val="28"/>
          <w:szCs w:val="28"/>
          <w:rtl/>
        </w:rPr>
        <w:t>נדפס</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ע</w:t>
      </w:r>
      <w:r w:rsidRPr="0089120A">
        <w:rPr>
          <w:rFonts w:ascii="Calibri" w:eastAsia="Calibri" w:hAnsi="Calibri" w:cs="1ShefaClassic"/>
          <w:sz w:val="28"/>
          <w:szCs w:val="28"/>
          <w:rtl/>
        </w:rPr>
        <w:t>"</w:t>
      </w:r>
      <w:r w:rsidRPr="0089120A">
        <w:rPr>
          <w:rFonts w:ascii="Calibri" w:eastAsia="Calibri" w:hAnsi="Calibri" w:cs="1ShefaClassic" w:hint="cs"/>
          <w:sz w:val="28"/>
          <w:szCs w:val="28"/>
          <w:rtl/>
        </w:rPr>
        <w:t>י</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ולזכות</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יוצ</w:t>
      </w:r>
      <w:r w:rsidRPr="0089120A">
        <w:rPr>
          <w:rFonts w:ascii="Calibri" w:eastAsia="Calibri" w:hAnsi="Calibri" w:cs="1ShefaClassic"/>
          <w:sz w:val="28"/>
          <w:szCs w:val="28"/>
          <w:rtl/>
        </w:rPr>
        <w:t>"</w:t>
      </w:r>
      <w:r w:rsidRPr="0089120A">
        <w:rPr>
          <w:rFonts w:ascii="Calibri" w:eastAsia="Calibri" w:hAnsi="Calibri" w:cs="1ShefaClassic" w:hint="cs"/>
          <w:sz w:val="28"/>
          <w:szCs w:val="28"/>
          <w:rtl/>
        </w:rPr>
        <w:t>ח</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למשפחת</w:t>
      </w:r>
      <w:r w:rsidRPr="0089120A">
        <w:rPr>
          <w:rFonts w:ascii="Calibri" w:eastAsia="Calibri" w:hAnsi="Calibri" w:cs="1ShefaClassic"/>
          <w:sz w:val="28"/>
          <w:szCs w:val="28"/>
          <w:rtl/>
        </w:rPr>
        <w:t xml:space="preserve"> </w:t>
      </w:r>
      <w:r w:rsidRPr="0089120A">
        <w:rPr>
          <w:rFonts w:ascii="Calibri" w:eastAsia="Calibri" w:hAnsi="Calibri" w:cs="1ShefaClassic" w:hint="cs"/>
          <w:b/>
          <w:bCs/>
          <w:sz w:val="28"/>
          <w:szCs w:val="28"/>
          <w:rtl/>
        </w:rPr>
        <w:t>באטלער</w:t>
      </w:r>
      <w:r w:rsidRPr="0089120A">
        <w:rPr>
          <w:rFonts w:ascii="Calibri" w:eastAsia="Calibri" w:hAnsi="Calibri" w:cs="1ShefaClassic"/>
          <w:sz w:val="28"/>
          <w:szCs w:val="28"/>
          <w:rtl/>
        </w:rPr>
        <w:t xml:space="preserve"> </w:t>
      </w:r>
      <w:r w:rsidRPr="0089120A">
        <w:rPr>
          <w:rFonts w:ascii="Calibri" w:eastAsia="Calibri" w:hAnsi="Calibri" w:cs="1ShefaClassic" w:hint="cs"/>
          <w:sz w:val="28"/>
          <w:szCs w:val="28"/>
          <w:rtl/>
        </w:rPr>
        <w:t>שיחיו</w:t>
      </w:r>
    </w:p>
    <w:p w:rsidR="00237479" w:rsidRPr="00237479" w:rsidRDefault="00237479" w:rsidP="00237479">
      <w:pPr>
        <w:bidi/>
        <w:rPr>
          <w:rFonts w:ascii="Calibri" w:eastAsia="Calibri" w:hAnsi="Calibri" w:cs="1ShefaClassic"/>
          <w:sz w:val="28"/>
          <w:szCs w:val="28"/>
          <w:rtl/>
        </w:rPr>
      </w:pPr>
    </w:p>
    <w:p w:rsidR="00237479" w:rsidRDefault="00237479" w:rsidP="00237479">
      <w:pPr>
        <w:bidi/>
        <w:rPr>
          <w:rFonts w:ascii="Calibri" w:eastAsia="Calibri" w:hAnsi="Calibri" w:cs="1ShefaClassic"/>
          <w:sz w:val="28"/>
          <w:szCs w:val="28"/>
          <w:rtl/>
        </w:rPr>
      </w:pPr>
    </w:p>
    <w:p w:rsidR="00237479" w:rsidRDefault="00237479">
      <w:pPr>
        <w:rPr>
          <w:rFonts w:ascii="Calibri" w:eastAsia="Calibri" w:hAnsi="Calibri" w:cs="1ShefaClassic"/>
          <w:sz w:val="28"/>
          <w:szCs w:val="28"/>
          <w:rtl/>
        </w:rPr>
      </w:pPr>
      <w:r>
        <w:rPr>
          <w:rFonts w:ascii="Calibri" w:eastAsia="Calibri" w:hAnsi="Calibri" w:cs="1ShefaClassic"/>
          <w:sz w:val="28"/>
          <w:szCs w:val="28"/>
          <w:rtl/>
        </w:rPr>
        <w:br w:type="page"/>
      </w:r>
    </w:p>
    <w:p w:rsidR="00237479" w:rsidRPr="00237479" w:rsidRDefault="00237479" w:rsidP="00237479">
      <w:pPr>
        <w:bidi/>
        <w:spacing w:after="0" w:line="360" w:lineRule="auto"/>
        <w:jc w:val="center"/>
        <w:rPr>
          <w:rFonts w:ascii="Calibri" w:eastAsia="Calibri" w:hAnsi="Calibri" w:cs="1ShefaClassic"/>
          <w:sz w:val="23"/>
          <w:szCs w:val="23"/>
          <w:rtl/>
        </w:rPr>
      </w:pPr>
      <w:r w:rsidRPr="00237479">
        <w:rPr>
          <w:rFonts w:ascii="Calibri" w:eastAsia="Calibri" w:hAnsi="Calibri" w:cs="1ShefaClassic" w:hint="cs"/>
          <w:sz w:val="23"/>
          <w:szCs w:val="23"/>
          <w:rtl/>
        </w:rPr>
        <w:lastRenderedPageBreak/>
        <w:t>ל</w:t>
      </w:r>
      <w:r w:rsidRPr="00237479">
        <w:rPr>
          <w:rFonts w:ascii="Calibri" w:eastAsia="Calibri" w:hAnsi="Calibri" w:cs="1ShefaClassic"/>
          <w:sz w:val="23"/>
          <w:szCs w:val="23"/>
          <w:rtl/>
        </w:rPr>
        <w:t xml:space="preserve">חיזוק התקשרות </w:t>
      </w:r>
      <w:r w:rsidRPr="00237479">
        <w:rPr>
          <w:rFonts w:ascii="Calibri" w:eastAsia="Calibri" w:hAnsi="Calibri" w:cs="1ShefaClassic" w:hint="cs"/>
          <w:sz w:val="23"/>
          <w:szCs w:val="23"/>
          <w:rtl/>
        </w:rPr>
        <w:t>כ</w:t>
      </w:r>
      <w:r w:rsidRPr="00237479">
        <w:rPr>
          <w:rFonts w:ascii="Calibri" w:eastAsia="Calibri" w:hAnsi="Calibri" w:cs="1ShefaClassic"/>
          <w:sz w:val="23"/>
          <w:szCs w:val="23"/>
          <w:rtl/>
        </w:rPr>
        <w:t>"ק אדמו"ר נשיא דורנו</w:t>
      </w:r>
    </w:p>
    <w:p w:rsidR="00237479" w:rsidRPr="00237479" w:rsidRDefault="00237479" w:rsidP="00237479">
      <w:pPr>
        <w:bidi/>
        <w:spacing w:after="0" w:line="360" w:lineRule="auto"/>
        <w:jc w:val="center"/>
        <w:rPr>
          <w:rFonts w:ascii="Calibri" w:eastAsia="Calibri" w:hAnsi="Calibri" w:cs="1ShefaClassic"/>
          <w:sz w:val="23"/>
          <w:szCs w:val="23"/>
          <w:rtl/>
        </w:rPr>
      </w:pPr>
      <w:r w:rsidRPr="00237479">
        <w:rPr>
          <w:rFonts w:ascii="Calibri" w:eastAsia="Calibri" w:hAnsi="Calibri" w:cs="1ShefaClassic"/>
          <w:sz w:val="23"/>
          <w:szCs w:val="23"/>
          <w:rtl/>
        </w:rPr>
        <w:t>בקשר עם יום הגדול והקדוש</w:t>
      </w:r>
    </w:p>
    <w:p w:rsidR="00237479" w:rsidRPr="00237479" w:rsidRDefault="00237479" w:rsidP="00237479">
      <w:pPr>
        <w:bidi/>
        <w:spacing w:after="0" w:line="360" w:lineRule="auto"/>
        <w:jc w:val="center"/>
        <w:rPr>
          <w:rFonts w:ascii="Calibri" w:eastAsia="Calibri" w:hAnsi="Calibri" w:cs="1ShefaClassic"/>
          <w:sz w:val="23"/>
          <w:szCs w:val="23"/>
          <w:rtl/>
        </w:rPr>
      </w:pPr>
      <w:r w:rsidRPr="00237479">
        <w:rPr>
          <w:rFonts w:ascii="Calibri" w:eastAsia="Calibri" w:hAnsi="Calibri" w:cs="1ShefaClassic"/>
          <w:sz w:val="23"/>
          <w:szCs w:val="23"/>
          <w:rtl/>
        </w:rPr>
        <w:t>ג' תמוז</w:t>
      </w:r>
    </w:p>
    <w:p w:rsidR="00237479" w:rsidRPr="00237479" w:rsidRDefault="00237479" w:rsidP="00237479">
      <w:pPr>
        <w:bidi/>
        <w:spacing w:after="0" w:line="360" w:lineRule="auto"/>
        <w:jc w:val="center"/>
        <w:rPr>
          <w:rFonts w:ascii="Calibri" w:eastAsia="Calibri" w:hAnsi="Calibri" w:cs="1ShefaClassic"/>
          <w:sz w:val="23"/>
          <w:szCs w:val="23"/>
          <w:rtl/>
        </w:rPr>
      </w:pPr>
      <w:r w:rsidRPr="00237479">
        <w:rPr>
          <w:rFonts w:ascii="Calibri" w:eastAsia="Calibri" w:hAnsi="Calibri" w:cs="1ShefaClassic"/>
          <w:sz w:val="23"/>
          <w:szCs w:val="23"/>
          <w:rtl/>
        </w:rPr>
        <w:t>ולגאולה האמיתית והשלימה בקרוב ממש</w:t>
      </w:r>
    </w:p>
    <w:p w:rsidR="00237479" w:rsidRPr="00237479" w:rsidRDefault="00237479" w:rsidP="00237479">
      <w:pPr>
        <w:bidi/>
        <w:spacing w:after="0" w:line="360" w:lineRule="auto"/>
        <w:jc w:val="center"/>
        <w:rPr>
          <w:rFonts w:ascii="Calibri" w:eastAsia="Calibri" w:hAnsi="Calibri" w:cs="1ShefaClassic"/>
          <w:sz w:val="23"/>
          <w:szCs w:val="23"/>
          <w:rtl/>
        </w:rPr>
      </w:pPr>
      <w:r w:rsidRPr="00237479">
        <w:rPr>
          <w:rFonts w:ascii="Calibri" w:eastAsia="Calibri" w:hAnsi="Calibri" w:cs="1ShefaClassic"/>
          <w:sz w:val="23"/>
          <w:szCs w:val="23"/>
        </w:rPr>
        <w:sym w:font="Wingdings 2" w:char="F0B2"/>
      </w:r>
    </w:p>
    <w:p w:rsidR="00237479" w:rsidRPr="00237479" w:rsidRDefault="00237479" w:rsidP="00237479">
      <w:pPr>
        <w:bidi/>
        <w:spacing w:after="0" w:line="360" w:lineRule="auto"/>
        <w:jc w:val="center"/>
        <w:rPr>
          <w:rFonts w:ascii="Calibri" w:eastAsia="Calibri" w:hAnsi="Calibri" w:cs="1ShefaClassic"/>
          <w:sz w:val="23"/>
          <w:szCs w:val="23"/>
          <w:rtl/>
        </w:rPr>
      </w:pPr>
      <w:r w:rsidRPr="00237479">
        <w:rPr>
          <w:rFonts w:ascii="Calibri" w:eastAsia="Calibri" w:hAnsi="Calibri" w:cs="1ShefaClassic"/>
          <w:sz w:val="23"/>
          <w:szCs w:val="23"/>
          <w:rtl/>
        </w:rPr>
        <w:t xml:space="preserve">ולזכות </w:t>
      </w:r>
    </w:p>
    <w:p w:rsidR="00237479" w:rsidRPr="00237479" w:rsidRDefault="00237479" w:rsidP="00237479">
      <w:pPr>
        <w:bidi/>
        <w:spacing w:after="0" w:line="360" w:lineRule="auto"/>
        <w:jc w:val="center"/>
        <w:rPr>
          <w:rFonts w:ascii="Calibri" w:eastAsia="Calibri" w:hAnsi="Calibri" w:cs="1ShefaClassic"/>
          <w:sz w:val="23"/>
          <w:szCs w:val="23"/>
          <w:rtl/>
        </w:rPr>
      </w:pPr>
      <w:r w:rsidRPr="00237479">
        <w:rPr>
          <w:rFonts w:ascii="Calibri" w:eastAsia="Calibri" w:hAnsi="Calibri" w:cs="1ShefaClassic"/>
          <w:sz w:val="23"/>
          <w:szCs w:val="23"/>
          <w:rtl/>
        </w:rPr>
        <w:t xml:space="preserve">הרה"ת הרה"ח ר' </w:t>
      </w:r>
      <w:r w:rsidRPr="00237479">
        <w:rPr>
          <w:rFonts w:ascii="Calibri" w:eastAsia="Calibri" w:hAnsi="Calibri" w:cs="1ShefaClassic"/>
          <w:b/>
          <w:bCs/>
          <w:sz w:val="23"/>
          <w:szCs w:val="23"/>
          <w:rtl/>
        </w:rPr>
        <w:t>יוסף</w:t>
      </w:r>
      <w:r w:rsidRPr="00237479">
        <w:rPr>
          <w:rFonts w:ascii="Calibri" w:eastAsia="Calibri" w:hAnsi="Calibri" w:cs="1ShefaClassic"/>
          <w:sz w:val="23"/>
          <w:szCs w:val="23"/>
          <w:rtl/>
        </w:rPr>
        <w:t xml:space="preserve"> שי' </w:t>
      </w:r>
      <w:r w:rsidRPr="00237479">
        <w:rPr>
          <w:rFonts w:ascii="Calibri" w:eastAsia="Calibri" w:hAnsi="Calibri" w:cs="1ShefaClassic"/>
          <w:b/>
          <w:bCs/>
          <w:sz w:val="23"/>
          <w:szCs w:val="23"/>
          <w:rtl/>
        </w:rPr>
        <w:t>זאקאן</w:t>
      </w:r>
      <w:r w:rsidRPr="00237479">
        <w:rPr>
          <w:rFonts w:ascii="Calibri" w:eastAsia="Calibri" w:hAnsi="Calibri" w:cs="1ShefaClassic"/>
          <w:sz w:val="23"/>
          <w:szCs w:val="23"/>
          <w:rtl/>
        </w:rPr>
        <w:t xml:space="preserve"> לרגל יום הולדתו</w:t>
      </w:r>
    </w:p>
    <w:p w:rsidR="00237479" w:rsidRPr="00237479" w:rsidRDefault="00237479" w:rsidP="00237479">
      <w:pPr>
        <w:bidi/>
        <w:spacing w:after="0" w:line="360" w:lineRule="auto"/>
        <w:jc w:val="center"/>
        <w:rPr>
          <w:rFonts w:ascii="Calibri" w:eastAsia="Calibri" w:hAnsi="Calibri" w:cs="1ShefaClassic"/>
          <w:sz w:val="23"/>
          <w:szCs w:val="23"/>
          <w:rtl/>
        </w:rPr>
      </w:pPr>
      <w:r w:rsidRPr="00237479">
        <w:rPr>
          <w:rFonts w:ascii="Calibri" w:eastAsia="Calibri" w:hAnsi="Calibri" w:cs="1ShefaClassic"/>
          <w:sz w:val="23"/>
          <w:szCs w:val="23"/>
          <w:rtl/>
        </w:rPr>
        <w:t xml:space="preserve"> ביום</w:t>
      </w:r>
      <w:r w:rsidRPr="00237479">
        <w:rPr>
          <w:rFonts w:ascii="Calibri" w:eastAsia="Calibri" w:hAnsi="Calibri" w:cs="1ShefaClassic" w:hint="cs"/>
          <w:sz w:val="23"/>
          <w:szCs w:val="23"/>
          <w:rtl/>
        </w:rPr>
        <w:t xml:space="preserve"> </w:t>
      </w:r>
      <w:r w:rsidRPr="00237479">
        <w:rPr>
          <w:rFonts w:ascii="Calibri" w:eastAsia="Calibri" w:hAnsi="Calibri" w:cs="1ShefaClassic"/>
          <w:sz w:val="23"/>
          <w:szCs w:val="23"/>
          <w:rtl/>
        </w:rPr>
        <w:t>י"א תמוז</w:t>
      </w:r>
    </w:p>
    <w:p w:rsidR="00237479" w:rsidRPr="00237479" w:rsidRDefault="00237479" w:rsidP="00237479">
      <w:pPr>
        <w:bidi/>
        <w:spacing w:after="0" w:line="360" w:lineRule="auto"/>
        <w:jc w:val="center"/>
        <w:rPr>
          <w:rFonts w:ascii="Calibri" w:eastAsia="Calibri" w:hAnsi="Calibri" w:cs="1ShefaClassic"/>
          <w:sz w:val="23"/>
          <w:szCs w:val="23"/>
          <w:rtl/>
        </w:rPr>
      </w:pPr>
      <w:r w:rsidRPr="00237479">
        <w:rPr>
          <w:rFonts w:ascii="Calibri" w:eastAsia="Calibri" w:hAnsi="Calibri" w:cs="1ShefaClassic"/>
          <w:sz w:val="23"/>
          <w:szCs w:val="23"/>
          <w:rtl/>
        </w:rPr>
        <w:t>לאורך ימים ושנים טובות ולשנת ברכה והצלחה רבה ומופלגה בגו"ר</w:t>
      </w:r>
    </w:p>
    <w:p w:rsidR="00237479" w:rsidRPr="00237479" w:rsidRDefault="00237479" w:rsidP="00237479">
      <w:pPr>
        <w:bidi/>
        <w:spacing w:after="0" w:line="360" w:lineRule="auto"/>
        <w:jc w:val="center"/>
        <w:rPr>
          <w:rFonts w:ascii="Calibri" w:eastAsia="Calibri" w:hAnsi="Calibri" w:cs="1ShefaClassic"/>
          <w:sz w:val="23"/>
          <w:szCs w:val="23"/>
          <w:rtl/>
        </w:rPr>
      </w:pPr>
      <w:r w:rsidRPr="00237479">
        <w:rPr>
          <w:rFonts w:ascii="Calibri" w:eastAsia="Calibri" w:hAnsi="Calibri" w:cs="1ShefaClassic"/>
          <w:sz w:val="23"/>
          <w:szCs w:val="23"/>
          <w:rtl/>
        </w:rPr>
        <w:t xml:space="preserve">זוגתו החשובה </w:t>
      </w:r>
      <w:r w:rsidRPr="00237479">
        <w:rPr>
          <w:rFonts w:ascii="Calibri" w:eastAsia="Calibri" w:hAnsi="Calibri" w:cs="1ShefaClassic" w:hint="cs"/>
          <w:sz w:val="23"/>
          <w:szCs w:val="23"/>
          <w:rtl/>
        </w:rPr>
        <w:t xml:space="preserve">והמהוללה </w:t>
      </w:r>
      <w:r w:rsidRPr="00237479">
        <w:rPr>
          <w:rFonts w:ascii="Calibri" w:eastAsia="Calibri" w:hAnsi="Calibri" w:cs="1ShefaClassic"/>
          <w:sz w:val="23"/>
          <w:szCs w:val="23"/>
          <w:rtl/>
        </w:rPr>
        <w:t xml:space="preserve">מרת </w:t>
      </w:r>
      <w:r w:rsidRPr="00237479">
        <w:rPr>
          <w:rFonts w:ascii="Calibri" w:eastAsia="Calibri" w:hAnsi="Calibri" w:cs="1ShefaClassic"/>
          <w:b/>
          <w:bCs/>
          <w:sz w:val="23"/>
          <w:szCs w:val="23"/>
          <w:rtl/>
        </w:rPr>
        <w:t>מישל</w:t>
      </w:r>
      <w:r w:rsidRPr="00237479">
        <w:rPr>
          <w:rFonts w:ascii="Calibri" w:eastAsia="Calibri" w:hAnsi="Calibri" w:cs="1ShefaClassic"/>
          <w:sz w:val="23"/>
          <w:szCs w:val="23"/>
          <w:rtl/>
        </w:rPr>
        <w:t xml:space="preserve"> תחי' </w:t>
      </w:r>
    </w:p>
    <w:p w:rsidR="00237479" w:rsidRPr="00237479" w:rsidRDefault="00237479" w:rsidP="00237479">
      <w:pPr>
        <w:bidi/>
        <w:spacing w:after="0" w:line="360" w:lineRule="auto"/>
        <w:jc w:val="center"/>
        <w:rPr>
          <w:rFonts w:ascii="Calibri" w:eastAsia="Calibri" w:hAnsi="Calibri" w:cs="1ShefaClassic"/>
          <w:sz w:val="23"/>
          <w:szCs w:val="23"/>
          <w:rtl/>
        </w:rPr>
      </w:pPr>
      <w:r w:rsidRPr="00237479">
        <w:rPr>
          <w:rFonts w:ascii="Calibri" w:eastAsia="Calibri" w:hAnsi="Calibri" w:cs="1ShefaClassic" w:hint="cs"/>
          <w:sz w:val="23"/>
          <w:szCs w:val="23"/>
          <w:rtl/>
        </w:rPr>
        <w:t>שימלא ה' כל משאלות לבבם לטובה ולברכה</w:t>
      </w:r>
    </w:p>
    <w:p w:rsidR="00237479" w:rsidRPr="00237479" w:rsidRDefault="00237479" w:rsidP="00237479">
      <w:pPr>
        <w:bidi/>
        <w:spacing w:after="0" w:line="360" w:lineRule="auto"/>
        <w:jc w:val="center"/>
        <w:rPr>
          <w:rFonts w:ascii="Calibri" w:eastAsia="Calibri" w:hAnsi="Calibri" w:cs="1ShefaClassic"/>
          <w:sz w:val="23"/>
          <w:szCs w:val="23"/>
          <w:rtl/>
        </w:rPr>
      </w:pPr>
      <w:r w:rsidRPr="00237479">
        <w:rPr>
          <w:rFonts w:ascii="Calibri" w:eastAsia="Calibri" w:hAnsi="Calibri" w:cs="1ShefaClassic"/>
          <w:sz w:val="23"/>
          <w:szCs w:val="23"/>
        </w:rPr>
        <w:sym w:font="Wingdings 2" w:char="F0B2"/>
      </w:r>
    </w:p>
    <w:p w:rsidR="00237479" w:rsidRPr="00237479" w:rsidRDefault="00237479" w:rsidP="00237479">
      <w:pPr>
        <w:bidi/>
        <w:spacing w:after="0" w:line="480" w:lineRule="auto"/>
        <w:jc w:val="center"/>
        <w:rPr>
          <w:rFonts w:ascii="Calibri" w:eastAsia="Calibri" w:hAnsi="Calibri" w:cs="1ShefaClassic"/>
          <w:sz w:val="23"/>
          <w:szCs w:val="23"/>
          <w:rtl/>
        </w:rPr>
      </w:pPr>
      <w:r w:rsidRPr="00237479">
        <w:rPr>
          <w:rFonts w:ascii="Calibri" w:eastAsia="Calibri" w:hAnsi="Calibri" w:cs="1ShefaClassic"/>
          <w:sz w:val="23"/>
          <w:szCs w:val="23"/>
          <w:rtl/>
        </w:rPr>
        <w:t>ולזכות יו"ח</w:t>
      </w:r>
    </w:p>
    <w:p w:rsidR="00237479" w:rsidRPr="00237479" w:rsidRDefault="00237479" w:rsidP="00237479">
      <w:pPr>
        <w:bidi/>
        <w:spacing w:after="0" w:line="480" w:lineRule="auto"/>
        <w:jc w:val="center"/>
        <w:rPr>
          <w:rFonts w:ascii="Calibri" w:eastAsia="Calibri" w:hAnsi="Calibri" w:cs="1ShefaClassic"/>
          <w:sz w:val="23"/>
          <w:szCs w:val="23"/>
          <w:rtl/>
        </w:rPr>
      </w:pPr>
      <w:r w:rsidRPr="00237479">
        <w:rPr>
          <w:rFonts w:ascii="Calibri" w:eastAsia="Calibri" w:hAnsi="Calibri" w:cs="1ShefaClassic"/>
          <w:sz w:val="23"/>
          <w:szCs w:val="23"/>
          <w:rtl/>
        </w:rPr>
        <w:t xml:space="preserve">הרה"ת ר' </w:t>
      </w:r>
      <w:r w:rsidRPr="00237479">
        <w:rPr>
          <w:rFonts w:ascii="Calibri" w:eastAsia="Calibri" w:hAnsi="Calibri" w:cs="1ShefaClassic"/>
          <w:b/>
          <w:bCs/>
          <w:sz w:val="23"/>
          <w:szCs w:val="23"/>
          <w:rtl/>
        </w:rPr>
        <w:t>נפתלי</w:t>
      </w:r>
      <w:r w:rsidRPr="00237479">
        <w:rPr>
          <w:rFonts w:ascii="Calibri" w:eastAsia="Calibri" w:hAnsi="Calibri" w:cs="1ShefaClassic"/>
          <w:sz w:val="23"/>
          <w:szCs w:val="23"/>
          <w:rtl/>
        </w:rPr>
        <w:t xml:space="preserve"> וזוגתו מרת </w:t>
      </w:r>
      <w:r w:rsidRPr="00237479">
        <w:rPr>
          <w:rFonts w:ascii="Calibri" w:eastAsia="Calibri" w:hAnsi="Calibri" w:cs="1ShefaClassic"/>
          <w:b/>
          <w:bCs/>
          <w:sz w:val="23"/>
          <w:szCs w:val="23"/>
          <w:rtl/>
        </w:rPr>
        <w:t>מושקא</w:t>
      </w:r>
      <w:r w:rsidRPr="00237479">
        <w:rPr>
          <w:rFonts w:ascii="Calibri" w:eastAsia="Calibri" w:hAnsi="Calibri" w:cs="1ShefaClassic"/>
          <w:sz w:val="23"/>
          <w:szCs w:val="23"/>
          <w:rtl/>
        </w:rPr>
        <w:t xml:space="preserve"> שיחיו</w:t>
      </w:r>
    </w:p>
    <w:p w:rsidR="00237479" w:rsidRPr="00237479" w:rsidRDefault="00237479" w:rsidP="00237479">
      <w:pPr>
        <w:bidi/>
        <w:spacing w:after="0" w:line="480" w:lineRule="auto"/>
        <w:jc w:val="center"/>
        <w:rPr>
          <w:rFonts w:ascii="Calibri" w:eastAsia="Calibri" w:hAnsi="Calibri" w:cs="1ShefaClassic"/>
          <w:sz w:val="23"/>
          <w:szCs w:val="23"/>
          <w:rtl/>
        </w:rPr>
      </w:pPr>
      <w:r w:rsidRPr="00237479">
        <w:rPr>
          <w:rFonts w:ascii="Calibri" w:eastAsia="Calibri" w:hAnsi="Calibri" w:cs="1ShefaClassic"/>
          <w:sz w:val="23"/>
          <w:szCs w:val="23"/>
          <w:rtl/>
        </w:rPr>
        <w:t xml:space="preserve">בתם </w:t>
      </w:r>
      <w:r w:rsidRPr="00237479">
        <w:rPr>
          <w:rFonts w:ascii="Calibri" w:eastAsia="Calibri" w:hAnsi="Calibri" w:cs="1ShefaClassic"/>
          <w:b/>
          <w:bCs/>
          <w:sz w:val="23"/>
          <w:szCs w:val="23"/>
          <w:rtl/>
        </w:rPr>
        <w:t>לונא</w:t>
      </w:r>
      <w:r w:rsidRPr="00237479">
        <w:rPr>
          <w:rFonts w:ascii="Calibri" w:eastAsia="Calibri" w:hAnsi="Calibri" w:cs="1ShefaClassic"/>
          <w:sz w:val="23"/>
          <w:szCs w:val="23"/>
          <w:rtl/>
        </w:rPr>
        <w:t xml:space="preserve"> תחי' בנם </w:t>
      </w:r>
      <w:r w:rsidRPr="00237479">
        <w:rPr>
          <w:rFonts w:ascii="Calibri" w:eastAsia="Calibri" w:hAnsi="Calibri" w:cs="1ShefaClassic"/>
          <w:b/>
          <w:bCs/>
          <w:sz w:val="23"/>
          <w:szCs w:val="23"/>
          <w:rtl/>
        </w:rPr>
        <w:t>אהרן</w:t>
      </w:r>
      <w:r w:rsidRPr="00237479">
        <w:rPr>
          <w:rFonts w:ascii="Calibri" w:eastAsia="Calibri" w:hAnsi="Calibri" w:cs="1ShefaClassic"/>
          <w:sz w:val="23"/>
          <w:szCs w:val="23"/>
          <w:rtl/>
        </w:rPr>
        <w:t xml:space="preserve"> שי'</w:t>
      </w:r>
      <w:r w:rsidRPr="00237479">
        <w:rPr>
          <w:rFonts w:ascii="Calibri" w:eastAsia="Calibri" w:hAnsi="Calibri" w:cs="1ShefaClassic" w:hint="cs"/>
          <w:sz w:val="23"/>
          <w:szCs w:val="23"/>
          <w:rtl/>
        </w:rPr>
        <w:t xml:space="preserve"> בתם </w:t>
      </w:r>
      <w:r w:rsidRPr="00237479">
        <w:rPr>
          <w:rFonts w:ascii="Calibri" w:eastAsia="Calibri" w:hAnsi="Calibri" w:cs="1ShefaClassic" w:hint="cs"/>
          <w:b/>
          <w:bCs/>
          <w:sz w:val="23"/>
          <w:szCs w:val="23"/>
          <w:rtl/>
        </w:rPr>
        <w:t>אדל רחל</w:t>
      </w:r>
      <w:r w:rsidRPr="00237479">
        <w:rPr>
          <w:rFonts w:ascii="Calibri" w:eastAsia="Calibri" w:hAnsi="Calibri" w:cs="1ShefaClassic" w:hint="cs"/>
          <w:sz w:val="23"/>
          <w:szCs w:val="23"/>
          <w:rtl/>
        </w:rPr>
        <w:t xml:space="preserve"> תחי' </w:t>
      </w:r>
    </w:p>
    <w:p w:rsidR="00237479" w:rsidRPr="00237479" w:rsidRDefault="00237479" w:rsidP="00237479">
      <w:pPr>
        <w:bidi/>
        <w:spacing w:after="0" w:line="480" w:lineRule="auto"/>
        <w:jc w:val="center"/>
        <w:rPr>
          <w:rFonts w:ascii="Calibri" w:eastAsia="Calibri" w:hAnsi="Calibri" w:cs="1ShefaClassic"/>
          <w:sz w:val="23"/>
          <w:szCs w:val="23"/>
          <w:rtl/>
        </w:rPr>
      </w:pPr>
      <w:r w:rsidRPr="00237479">
        <w:rPr>
          <w:rFonts w:ascii="Calibri" w:eastAsia="Calibri" w:hAnsi="Calibri" w:cs="1ShefaClassic"/>
          <w:sz w:val="23"/>
          <w:szCs w:val="23"/>
          <w:rtl/>
        </w:rPr>
        <w:t xml:space="preserve">מרת </w:t>
      </w:r>
      <w:r w:rsidRPr="00237479">
        <w:rPr>
          <w:rFonts w:ascii="Calibri" w:eastAsia="Calibri" w:hAnsi="Calibri" w:cs="1ShefaClassic"/>
          <w:b/>
          <w:bCs/>
          <w:sz w:val="23"/>
          <w:szCs w:val="23"/>
          <w:rtl/>
        </w:rPr>
        <w:t>לונ</w:t>
      </w:r>
      <w:r w:rsidRPr="00237479">
        <w:rPr>
          <w:rFonts w:ascii="Calibri" w:eastAsia="Calibri" w:hAnsi="Calibri" w:cs="1ShefaClassic" w:hint="cs"/>
          <w:b/>
          <w:bCs/>
          <w:sz w:val="23"/>
          <w:szCs w:val="23"/>
          <w:rtl/>
        </w:rPr>
        <w:t>א</w:t>
      </w:r>
      <w:r w:rsidRPr="00237479">
        <w:rPr>
          <w:rFonts w:ascii="Calibri" w:eastAsia="Calibri" w:hAnsi="Calibri" w:cs="1ShefaClassic"/>
          <w:sz w:val="23"/>
          <w:szCs w:val="23"/>
          <w:rtl/>
        </w:rPr>
        <w:t xml:space="preserve"> תחי' לרגל יום הולדתה ביום כ"ב תמוז</w:t>
      </w:r>
    </w:p>
    <w:p w:rsidR="00237479" w:rsidRPr="00237479" w:rsidRDefault="00237479" w:rsidP="00237479">
      <w:pPr>
        <w:bidi/>
        <w:spacing w:after="0" w:line="480" w:lineRule="auto"/>
        <w:jc w:val="center"/>
        <w:rPr>
          <w:rFonts w:ascii="Calibri" w:eastAsia="Calibri" w:hAnsi="Calibri" w:cs="1ShefaClassic"/>
          <w:sz w:val="23"/>
          <w:szCs w:val="23"/>
          <w:rtl/>
        </w:rPr>
      </w:pPr>
      <w:r w:rsidRPr="00237479">
        <w:rPr>
          <w:rFonts w:ascii="Calibri" w:eastAsia="Calibri" w:hAnsi="Calibri" w:cs="1ShefaClassic"/>
          <w:sz w:val="23"/>
          <w:szCs w:val="23"/>
          <w:rtl/>
        </w:rPr>
        <w:t xml:space="preserve">בעלה הרה"ת השליח ר' </w:t>
      </w:r>
      <w:r w:rsidRPr="00237479">
        <w:rPr>
          <w:rFonts w:ascii="Calibri" w:eastAsia="Calibri" w:hAnsi="Calibri" w:cs="1ShefaClassic"/>
          <w:b/>
          <w:bCs/>
          <w:sz w:val="23"/>
          <w:szCs w:val="23"/>
          <w:rtl/>
        </w:rPr>
        <w:t>אברהם</w:t>
      </w:r>
      <w:r w:rsidRPr="00237479">
        <w:rPr>
          <w:rFonts w:ascii="Calibri" w:eastAsia="Calibri" w:hAnsi="Calibri" w:cs="1ShefaClassic"/>
          <w:sz w:val="23"/>
          <w:szCs w:val="23"/>
          <w:rtl/>
        </w:rPr>
        <w:t xml:space="preserve"> </w:t>
      </w:r>
      <w:r w:rsidRPr="00237479">
        <w:rPr>
          <w:rFonts w:ascii="Calibri" w:eastAsia="Calibri" w:hAnsi="Calibri" w:cs="1ShefaClassic"/>
          <w:b/>
          <w:bCs/>
          <w:sz w:val="23"/>
          <w:szCs w:val="23"/>
          <w:rtl/>
        </w:rPr>
        <w:t>שמואל</w:t>
      </w:r>
      <w:r w:rsidRPr="00237479">
        <w:rPr>
          <w:rFonts w:ascii="Calibri" w:eastAsia="Calibri" w:hAnsi="Calibri" w:cs="1ShefaClassic"/>
          <w:sz w:val="23"/>
          <w:szCs w:val="23"/>
          <w:rtl/>
        </w:rPr>
        <w:t xml:space="preserve"> שי' </w:t>
      </w:r>
      <w:r w:rsidRPr="00237479">
        <w:rPr>
          <w:rFonts w:ascii="Calibri" w:eastAsia="Calibri" w:hAnsi="Calibri" w:cs="1ShefaClassic"/>
          <w:b/>
          <w:bCs/>
          <w:sz w:val="23"/>
          <w:szCs w:val="23"/>
          <w:rtl/>
        </w:rPr>
        <w:t>בוקיעט</w:t>
      </w:r>
    </w:p>
    <w:p w:rsidR="00237479" w:rsidRPr="00237479" w:rsidRDefault="00237479" w:rsidP="00237479">
      <w:pPr>
        <w:bidi/>
        <w:spacing w:after="0" w:line="480" w:lineRule="auto"/>
        <w:jc w:val="center"/>
        <w:rPr>
          <w:rFonts w:ascii="Calibri" w:eastAsia="Calibri" w:hAnsi="Calibri" w:cs="1ShefaClassic"/>
          <w:sz w:val="23"/>
          <w:szCs w:val="23"/>
          <w:rtl/>
        </w:rPr>
      </w:pPr>
      <w:r w:rsidRPr="00237479">
        <w:rPr>
          <w:rFonts w:ascii="Calibri" w:eastAsia="Calibri" w:hAnsi="Calibri" w:cs="1ShefaClassic"/>
          <w:sz w:val="23"/>
          <w:szCs w:val="23"/>
          <w:rtl/>
        </w:rPr>
        <w:t xml:space="preserve">בתם חנה תחי' בנם </w:t>
      </w:r>
      <w:r w:rsidRPr="00237479">
        <w:rPr>
          <w:rFonts w:ascii="Calibri" w:eastAsia="Calibri" w:hAnsi="Calibri" w:cs="1ShefaClassic"/>
          <w:b/>
          <w:bCs/>
          <w:sz w:val="23"/>
          <w:szCs w:val="23"/>
          <w:rtl/>
        </w:rPr>
        <w:t>אהרן</w:t>
      </w:r>
      <w:r w:rsidRPr="00237479">
        <w:rPr>
          <w:rFonts w:ascii="Calibri" w:eastAsia="Calibri" w:hAnsi="Calibri" w:cs="1ShefaClassic"/>
          <w:sz w:val="23"/>
          <w:szCs w:val="23"/>
          <w:rtl/>
        </w:rPr>
        <w:t xml:space="preserve"> שי' בנם </w:t>
      </w:r>
      <w:r w:rsidRPr="00237479">
        <w:rPr>
          <w:rFonts w:ascii="Calibri" w:eastAsia="Calibri" w:hAnsi="Calibri" w:cs="1ShefaClassic"/>
          <w:b/>
          <w:bCs/>
          <w:sz w:val="23"/>
          <w:szCs w:val="23"/>
          <w:rtl/>
        </w:rPr>
        <w:t>חיים מאיר</w:t>
      </w:r>
      <w:r w:rsidRPr="00237479">
        <w:rPr>
          <w:rFonts w:ascii="Calibri" w:eastAsia="Calibri" w:hAnsi="Calibri" w:cs="1ShefaClassic"/>
          <w:sz w:val="23"/>
          <w:szCs w:val="23"/>
          <w:rtl/>
        </w:rPr>
        <w:t xml:space="preserve"> שי' </w:t>
      </w:r>
    </w:p>
    <w:p w:rsidR="00237479" w:rsidRPr="00237479" w:rsidRDefault="00237479" w:rsidP="00237479">
      <w:pPr>
        <w:bidi/>
        <w:spacing w:after="0" w:line="480" w:lineRule="auto"/>
        <w:jc w:val="center"/>
        <w:rPr>
          <w:rFonts w:ascii="Calibri" w:eastAsia="Calibri" w:hAnsi="Calibri" w:cs="1ShefaClassic"/>
          <w:sz w:val="23"/>
          <w:szCs w:val="23"/>
        </w:rPr>
      </w:pPr>
      <w:r w:rsidRPr="00237479">
        <w:rPr>
          <w:rFonts w:ascii="Calibri" w:eastAsia="Calibri" w:hAnsi="Calibri" w:cs="1ShefaClassic"/>
          <w:sz w:val="23"/>
          <w:szCs w:val="23"/>
          <w:rtl/>
        </w:rPr>
        <w:t xml:space="preserve">הרה"ת ר' </w:t>
      </w:r>
      <w:r w:rsidRPr="00237479">
        <w:rPr>
          <w:rFonts w:ascii="Calibri" w:eastAsia="Calibri" w:hAnsi="Calibri" w:cs="1ShefaClassic"/>
          <w:b/>
          <w:bCs/>
          <w:sz w:val="23"/>
          <w:szCs w:val="23"/>
          <w:rtl/>
        </w:rPr>
        <w:t>יצחק</w:t>
      </w:r>
      <w:r w:rsidRPr="00237479">
        <w:rPr>
          <w:rFonts w:ascii="Calibri" w:eastAsia="Calibri" w:hAnsi="Calibri" w:cs="1ShefaClassic"/>
          <w:sz w:val="23"/>
          <w:szCs w:val="23"/>
          <w:rtl/>
        </w:rPr>
        <w:t xml:space="preserve"> שי' לרגל יום הולדתו ביום ט' תמוז</w:t>
      </w:r>
    </w:p>
    <w:p w:rsidR="00237479" w:rsidRPr="00237479" w:rsidRDefault="00237479" w:rsidP="00237479">
      <w:pPr>
        <w:bidi/>
        <w:spacing w:after="0" w:line="480" w:lineRule="auto"/>
        <w:jc w:val="center"/>
        <w:rPr>
          <w:rFonts w:ascii="Calibri" w:eastAsia="Calibri" w:hAnsi="Calibri" w:cs="1ShefaClassic"/>
          <w:sz w:val="23"/>
          <w:szCs w:val="23"/>
        </w:rPr>
      </w:pPr>
      <w:r w:rsidRPr="00237479">
        <w:rPr>
          <w:rFonts w:ascii="Calibri" w:eastAsia="Calibri" w:hAnsi="Calibri" w:cs="1ShefaClassic"/>
          <w:sz w:val="23"/>
          <w:szCs w:val="23"/>
          <w:rtl/>
        </w:rPr>
        <w:t xml:space="preserve">זוגתו מרת </w:t>
      </w:r>
      <w:r w:rsidRPr="00237479">
        <w:rPr>
          <w:rFonts w:ascii="Calibri" w:eastAsia="Calibri" w:hAnsi="Calibri" w:cs="1ShefaClassic"/>
          <w:b/>
          <w:bCs/>
          <w:sz w:val="23"/>
          <w:szCs w:val="23"/>
          <w:rtl/>
        </w:rPr>
        <w:t>רחל פייא</w:t>
      </w:r>
      <w:r w:rsidRPr="00237479">
        <w:rPr>
          <w:rFonts w:ascii="Calibri" w:eastAsia="Calibri" w:hAnsi="Calibri" w:cs="1ShefaClassic"/>
          <w:sz w:val="23"/>
          <w:szCs w:val="23"/>
          <w:rtl/>
        </w:rPr>
        <w:t xml:space="preserve"> תחי'</w:t>
      </w:r>
    </w:p>
    <w:p w:rsidR="00237479" w:rsidRPr="00237479" w:rsidRDefault="00237479" w:rsidP="00237479">
      <w:pPr>
        <w:bidi/>
        <w:spacing w:after="0" w:line="480" w:lineRule="auto"/>
        <w:jc w:val="center"/>
        <w:rPr>
          <w:rFonts w:ascii="Calibri" w:eastAsia="Calibri" w:hAnsi="Calibri" w:cs="1ShefaClassic"/>
          <w:sz w:val="23"/>
          <w:szCs w:val="23"/>
          <w:rtl/>
        </w:rPr>
      </w:pPr>
      <w:r w:rsidRPr="00237479">
        <w:rPr>
          <w:rFonts w:ascii="Calibri" w:eastAsia="Calibri" w:hAnsi="Calibri" w:cs="1ShefaClassic" w:hint="cs"/>
          <w:sz w:val="23"/>
          <w:szCs w:val="23"/>
          <w:rtl/>
        </w:rPr>
        <w:t xml:space="preserve">בתם לונא תחי' בנם </w:t>
      </w:r>
      <w:r w:rsidRPr="00237479">
        <w:rPr>
          <w:rFonts w:ascii="Calibri" w:eastAsia="Calibri" w:hAnsi="Calibri" w:cs="1ShefaClassic" w:hint="cs"/>
          <w:b/>
          <w:bCs/>
          <w:sz w:val="23"/>
          <w:szCs w:val="23"/>
          <w:rtl/>
        </w:rPr>
        <w:t>נטע משה</w:t>
      </w:r>
      <w:r w:rsidRPr="00237479">
        <w:rPr>
          <w:rFonts w:ascii="Calibri" w:eastAsia="Calibri" w:hAnsi="Calibri" w:cs="1ShefaClassic" w:hint="cs"/>
          <w:sz w:val="23"/>
          <w:szCs w:val="23"/>
          <w:rtl/>
        </w:rPr>
        <w:t xml:space="preserve"> שי'</w:t>
      </w:r>
    </w:p>
    <w:p w:rsidR="00237479" w:rsidRPr="00237479" w:rsidRDefault="00237479" w:rsidP="00237479">
      <w:pPr>
        <w:bidi/>
        <w:spacing w:after="0" w:line="480" w:lineRule="auto"/>
        <w:jc w:val="center"/>
        <w:rPr>
          <w:rFonts w:ascii="Calibri" w:eastAsia="Calibri" w:hAnsi="Calibri" w:cs="1ShefaClassic"/>
          <w:sz w:val="23"/>
          <w:szCs w:val="23"/>
          <w:rtl/>
        </w:rPr>
      </w:pPr>
      <w:r w:rsidRPr="00237479">
        <w:rPr>
          <w:rFonts w:ascii="Calibri" w:eastAsia="Calibri" w:hAnsi="Calibri" w:cs="1ShefaClassic"/>
          <w:sz w:val="23"/>
          <w:szCs w:val="23"/>
          <w:rtl/>
        </w:rPr>
        <w:t>ה</w:t>
      </w:r>
      <w:r w:rsidRPr="00237479">
        <w:rPr>
          <w:rFonts w:ascii="Calibri" w:eastAsia="Calibri" w:hAnsi="Calibri" w:cs="1ShefaClassic" w:hint="cs"/>
          <w:sz w:val="23"/>
          <w:szCs w:val="23"/>
          <w:rtl/>
        </w:rPr>
        <w:t>רה"</w:t>
      </w:r>
      <w:r w:rsidRPr="00237479">
        <w:rPr>
          <w:rFonts w:ascii="Calibri" w:eastAsia="Calibri" w:hAnsi="Calibri" w:cs="1ShefaClassic"/>
          <w:sz w:val="23"/>
          <w:szCs w:val="23"/>
          <w:rtl/>
        </w:rPr>
        <w:t>ת</w:t>
      </w:r>
      <w:r w:rsidRPr="00237479">
        <w:rPr>
          <w:rFonts w:ascii="Calibri" w:eastAsia="Calibri" w:hAnsi="Calibri" w:cs="1ShefaClassic" w:hint="cs"/>
          <w:sz w:val="23"/>
          <w:szCs w:val="23"/>
          <w:rtl/>
        </w:rPr>
        <w:t xml:space="preserve"> </w:t>
      </w:r>
      <w:r w:rsidRPr="00237479">
        <w:rPr>
          <w:rFonts w:ascii="Calibri" w:eastAsia="Calibri" w:hAnsi="Calibri" w:cs="1ShefaClassic"/>
          <w:sz w:val="23"/>
          <w:szCs w:val="23"/>
          <w:rtl/>
        </w:rPr>
        <w:t>מנחם מענדל שי' לרגל יום הולדתו ביום כ"ט תמוז</w:t>
      </w:r>
    </w:p>
    <w:p w:rsidR="00237479" w:rsidRPr="00237479" w:rsidRDefault="00237479" w:rsidP="00237479">
      <w:pPr>
        <w:bidi/>
        <w:spacing w:after="0" w:line="480" w:lineRule="auto"/>
        <w:jc w:val="center"/>
        <w:rPr>
          <w:rFonts w:ascii="Calibri" w:eastAsia="Calibri" w:hAnsi="Calibri" w:cs="1ShefaClassic"/>
          <w:sz w:val="23"/>
          <w:szCs w:val="23"/>
        </w:rPr>
      </w:pPr>
      <w:r w:rsidRPr="00237479">
        <w:rPr>
          <w:rFonts w:ascii="Calibri" w:eastAsia="Calibri" w:hAnsi="Calibri" w:cs="1ShefaClassic" w:hint="cs"/>
          <w:sz w:val="23"/>
          <w:szCs w:val="23"/>
          <w:rtl/>
        </w:rPr>
        <w:t xml:space="preserve">וזוגתו מרת </w:t>
      </w:r>
      <w:r w:rsidRPr="00237479">
        <w:rPr>
          <w:rFonts w:ascii="Calibri" w:eastAsia="Calibri" w:hAnsi="Calibri" w:cs="1ShefaClassic" w:hint="cs"/>
          <w:b/>
          <w:bCs/>
          <w:sz w:val="23"/>
          <w:szCs w:val="23"/>
          <w:rtl/>
        </w:rPr>
        <w:t>דאבא פייגא</w:t>
      </w:r>
      <w:r w:rsidRPr="00237479">
        <w:rPr>
          <w:rFonts w:ascii="Calibri" w:eastAsia="Calibri" w:hAnsi="Calibri" w:cs="1ShefaClassic" w:hint="cs"/>
          <w:sz w:val="23"/>
          <w:szCs w:val="23"/>
          <w:rtl/>
        </w:rPr>
        <w:t xml:space="preserve"> תחי' </w:t>
      </w:r>
    </w:p>
    <w:p w:rsidR="00237479" w:rsidRPr="00237479" w:rsidRDefault="00237479" w:rsidP="00237479">
      <w:pPr>
        <w:bidi/>
        <w:spacing w:after="0" w:line="480" w:lineRule="auto"/>
        <w:jc w:val="center"/>
        <w:rPr>
          <w:rFonts w:ascii="Calibri" w:eastAsia="Calibri" w:hAnsi="Calibri" w:cs="1ShefaClassic"/>
          <w:sz w:val="23"/>
          <w:szCs w:val="23"/>
          <w:rtl/>
        </w:rPr>
      </w:pPr>
      <w:r w:rsidRPr="00237479">
        <w:rPr>
          <w:rFonts w:ascii="Calibri" w:eastAsia="Calibri" w:hAnsi="Calibri" w:cs="1ShefaClassic"/>
          <w:sz w:val="23"/>
          <w:szCs w:val="23"/>
          <w:rtl/>
        </w:rPr>
        <w:t>הת' ישעיהו שי' לרגל יום הולדתו ביום כ"א תמוז</w:t>
      </w:r>
    </w:p>
    <w:p w:rsidR="00237479" w:rsidRPr="00237479" w:rsidRDefault="00237479" w:rsidP="00237479">
      <w:pPr>
        <w:bidi/>
        <w:spacing w:after="0" w:line="480" w:lineRule="auto"/>
        <w:jc w:val="center"/>
        <w:rPr>
          <w:rFonts w:ascii="Calibri" w:eastAsia="Calibri" w:hAnsi="Calibri" w:cs="1ShefaClassic"/>
          <w:sz w:val="23"/>
          <w:szCs w:val="23"/>
          <w:rtl/>
        </w:rPr>
      </w:pPr>
      <w:r w:rsidRPr="00237479">
        <w:rPr>
          <w:rFonts w:ascii="Calibri" w:eastAsia="Calibri" w:hAnsi="Calibri" w:cs="1ShefaClassic" w:hint="cs"/>
          <w:sz w:val="23"/>
          <w:szCs w:val="23"/>
          <w:rtl/>
        </w:rPr>
        <w:t xml:space="preserve">הנערה </w:t>
      </w:r>
      <w:r w:rsidRPr="00237479">
        <w:rPr>
          <w:rFonts w:ascii="Calibri" w:eastAsia="Calibri" w:hAnsi="Calibri" w:cs="1ShefaClassic"/>
          <w:b/>
          <w:bCs/>
          <w:sz w:val="23"/>
          <w:szCs w:val="23"/>
          <w:rtl/>
        </w:rPr>
        <w:t>גיסא נעמי</w:t>
      </w:r>
      <w:r w:rsidRPr="00237479">
        <w:rPr>
          <w:rFonts w:ascii="Calibri" w:eastAsia="Calibri" w:hAnsi="Calibri" w:cs="1ShefaClassic"/>
          <w:sz w:val="23"/>
          <w:szCs w:val="23"/>
          <w:rtl/>
        </w:rPr>
        <w:t xml:space="preserve"> תחי'</w:t>
      </w:r>
      <w:r w:rsidRPr="00237479">
        <w:rPr>
          <w:rFonts w:ascii="Calibri" w:eastAsia="Calibri" w:hAnsi="Calibri" w:cs="1ShefaClassic"/>
          <w:sz w:val="23"/>
          <w:szCs w:val="23"/>
        </w:rPr>
        <w:t xml:space="preserve"> </w:t>
      </w:r>
    </w:p>
    <w:p w:rsidR="00237479" w:rsidRPr="00237479" w:rsidRDefault="00237479" w:rsidP="00237479">
      <w:pPr>
        <w:bidi/>
        <w:spacing w:after="0" w:line="360" w:lineRule="auto"/>
        <w:jc w:val="center"/>
        <w:rPr>
          <w:rFonts w:ascii="Calibri" w:eastAsia="Calibri" w:hAnsi="Calibri" w:cs="1ShefaClassic"/>
          <w:sz w:val="23"/>
          <w:szCs w:val="23"/>
          <w:rtl/>
        </w:rPr>
      </w:pPr>
      <w:r w:rsidRPr="00237479">
        <w:rPr>
          <w:rFonts w:ascii="Calibri" w:eastAsia="Calibri" w:hAnsi="Calibri" w:cs="1ShefaClassic"/>
          <w:sz w:val="23"/>
          <w:szCs w:val="23"/>
          <w:rtl/>
        </w:rPr>
        <w:t>שיתברכו בקייץ בריא ושמח  ו</w:t>
      </w:r>
      <w:r w:rsidRPr="00237479">
        <w:rPr>
          <w:rFonts w:ascii="Calibri" w:eastAsia="Calibri" w:hAnsi="Calibri" w:cs="1ShefaClassic" w:hint="cs"/>
          <w:sz w:val="23"/>
          <w:szCs w:val="23"/>
          <w:rtl/>
        </w:rPr>
        <w:t>כ</w:t>
      </w:r>
      <w:r w:rsidRPr="00237479">
        <w:rPr>
          <w:rFonts w:ascii="Calibri" w:eastAsia="Calibri" w:hAnsi="Calibri" w:cs="1ShefaClassic"/>
          <w:sz w:val="23"/>
          <w:szCs w:val="23"/>
          <w:rtl/>
        </w:rPr>
        <w:t>ל טוב גשמי ורוחני גם יחד</w:t>
      </w:r>
    </w:p>
    <w:sectPr w:rsidR="00237479" w:rsidRPr="00237479" w:rsidSect="00970EBE">
      <w:headerReference w:type="even" r:id="rId17"/>
      <w:headerReference w:type="default" r:id="rId18"/>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0B50" w:rsidRDefault="00CC0B50" w:rsidP="000836F8">
      <w:pPr>
        <w:spacing w:after="0" w:line="240" w:lineRule="auto"/>
      </w:pPr>
      <w:r>
        <w:separator/>
      </w:r>
    </w:p>
  </w:endnote>
  <w:endnote w:type="continuationSeparator" w:id="0">
    <w:p w:rsidR="00CC0B50" w:rsidRDefault="00CC0B50" w:rsidP="00083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0A87" w:usb1="00000000" w:usb2="00000000" w:usb3="00000000" w:csb0="000001B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ankReal">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1" w:usb1="00000000" w:usb2="00000000" w:usb3="00000000" w:csb0="00000020" w:csb1="00000000"/>
  </w:font>
  <w:font w:name="AAd_Livorna">
    <w:panose1 w:val="00000000000000000000"/>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panose1 w:val="00000000000000000000"/>
    <w:charset w:val="B1"/>
    <w:family w:val="auto"/>
    <w:pitch w:val="variable"/>
    <w:sig w:usb0="00000801" w:usb1="00000000" w:usb2="00000000" w:usb3="00000000" w:csb0="00000020" w:csb1="00000000"/>
  </w:font>
  <w:font w:name="Hadassa Bold">
    <w:panose1 w:val="00000000000000000000"/>
    <w:charset w:val="B1"/>
    <w:family w:val="auto"/>
    <w:pitch w:val="variable"/>
    <w:sig w:usb0="00000801" w:usb1="00000000" w:usb2="00000000" w:usb3="00000000" w:csb0="00000020" w:csb1="00000000"/>
  </w:font>
  <w:font w:name="Monotype Hadassah">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FbVilna Bold">
    <w:panose1 w:val="020208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Rod">
    <w:panose1 w:val="02030509050101010101"/>
    <w:charset w:val="B1"/>
    <w:family w:val="modern"/>
    <w:pitch w:val="fixed"/>
    <w:sig w:usb0="00000801" w:usb1="00000000" w:usb2="00000000" w:usb3="00000000" w:csb0="00000020" w:csb1="00000000"/>
  </w:font>
  <w:font w:name="SR_FontbitDavid">
    <w:altName w:val="Times New Roman"/>
    <w:charset w:val="00"/>
    <w:family w:val="roman"/>
    <w:pitch w:val="variable"/>
    <w:sig w:usb0="00000000" w:usb1="50000000" w:usb2="00000000" w:usb3="00000000" w:csb0="00000021"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Ad_LivornaB4">
    <w:panose1 w:val="00000000000000000000"/>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0B50" w:rsidRDefault="00CC0B50" w:rsidP="00A20842">
      <w:pPr>
        <w:bidi/>
        <w:spacing w:after="0" w:line="240" w:lineRule="auto"/>
      </w:pPr>
      <w:r>
        <w:separator/>
      </w:r>
    </w:p>
  </w:footnote>
  <w:footnote w:type="continuationSeparator" w:id="0">
    <w:p w:rsidR="00CC0B50" w:rsidRDefault="00CC0B50" w:rsidP="000836F8">
      <w:pPr>
        <w:spacing w:after="0" w:line="240" w:lineRule="auto"/>
      </w:pPr>
      <w:r>
        <w:continuationSeparator/>
      </w:r>
    </w:p>
  </w:footnote>
  <w:footnote w:id="1">
    <w:p w:rsidR="004820B2" w:rsidRPr="00FC0EFF" w:rsidRDefault="004820B2" w:rsidP="00346413">
      <w:pPr>
        <w:pStyle w:val="FootnoteText"/>
        <w:rPr>
          <w:rtl/>
        </w:rPr>
      </w:pPr>
      <w:r>
        <w:rPr>
          <w:rFonts w:hint="cs"/>
          <w:rtl/>
        </w:rPr>
        <w:t xml:space="preserve"> </w:t>
      </w:r>
      <w:r w:rsidRPr="00346413">
        <w:footnoteRef/>
      </w:r>
      <w:r>
        <w:rPr>
          <w:rFonts w:hint="cs"/>
          <w:rtl/>
        </w:rPr>
        <w:t>)</w:t>
      </w:r>
      <w:r>
        <w:t xml:space="preserve"> </w:t>
      </w:r>
      <w:r>
        <w:rPr>
          <w:rFonts w:hint="cs"/>
          <w:rtl/>
        </w:rPr>
        <w:t>וראה גם הספר צפית לישועה (הרב ח"י ליבוביץ, תשנ"ב) מה שליקט מכ"מ בגדר חיוב הציפי' לישועה.</w:t>
      </w:r>
    </w:p>
  </w:footnote>
  <w:footnote w:id="2">
    <w:p w:rsidR="004820B2" w:rsidRDefault="004820B2" w:rsidP="00346413">
      <w:pPr>
        <w:pStyle w:val="FootnoteText"/>
        <w:rPr>
          <w:rtl/>
        </w:rPr>
      </w:pPr>
      <w:r w:rsidRPr="00346413">
        <w:footnoteRef/>
      </w:r>
      <w:r>
        <w:t xml:space="preserve"> </w:t>
      </w:r>
      <w:r>
        <w:rPr>
          <w:rFonts w:hint="cs"/>
          <w:rtl/>
        </w:rPr>
        <w:t>) ראה בסה"ש תשמ"ח ח"ב ע' 534 הע' 95, שענין הציפי' לביאת המשיח הוא דוקא בזמן הגלות ולא קודם לכן בזמן דוד ומלכות בית דוד. ע"ש. (ועיין בפי' המלבי"ם על ישעי' י"א בתחילתו). אמנם בכ"מ משמע שהענין של ציפי' לביאת המשיח הי' כבר הרבה זמן לפנ"ז. ראה בס' בית אלקים להמבי"ט שער היסודות פ"נ קרות לתחילתו, שמשמע שם שהאמונה בעיקר זו הוא מעת נתינת התורה. ועוד ממבואר בכ"מ שכבר יעקב אבינו חיכה לביאת המשיח (ראה בראשית רבה צח, יד ובמפרשים שם, שם פרשה פד, יא, תורה אור פ' וישלח). ולכאורה יש לחלק בין החיוב לחכות לביאת המשיח, מזמן שהתחיל אפשריות בואו, שזהו דוקא מזמן התחלת הגלות (או גלות עשרת השבטים וכו'), לענין האמונה בביאת המשיח בכלל. ועוד יש להאריך בזה ואכ"מ.</w:t>
      </w:r>
    </w:p>
    <w:p w:rsidR="004820B2" w:rsidRPr="00F51D41" w:rsidRDefault="004820B2" w:rsidP="00346413">
      <w:pPr>
        <w:pStyle w:val="FootnoteText"/>
        <w:rPr>
          <w:rtl/>
        </w:rPr>
      </w:pPr>
      <w:r>
        <w:rPr>
          <w:rFonts w:hint="cs"/>
          <w:rtl/>
        </w:rPr>
        <w:t xml:space="preserve">ויש גם כעין סתירה לאידך גיסא: האם לאחרי ביאת המשיח (בתקופה הראשונה) יהי' ענין של ציפי' לתחיית המתים ולתקופה השני', שבסה"ש תשמ"ח שם מבואר שלאחרי ביאת המשיח לא יהי' החיוב לחכות לביאתו, אמנם מצינו בכ"מ הענין של מחכה לביאתו גם לגבי תחיית המתים, </w:t>
      </w:r>
      <w:r w:rsidRPr="00346413">
        <w:rPr>
          <w:rtl/>
        </w:rPr>
        <w:t>ראה מנורת המאור נר ד' כלל ב' ח"ג סופ"ב</w:t>
      </w:r>
      <w:r w:rsidRPr="00346413">
        <w:rPr>
          <w:rFonts w:hint="cs"/>
          <w:rtl/>
        </w:rPr>
        <w:t>, פי' נזר הקודש על דברי הבראשית רבה פרשה פד, יא "</w:t>
      </w:r>
      <w:r w:rsidRPr="00346413">
        <w:rPr>
          <w:rtl/>
        </w:rPr>
        <w:t>היה אבינו יעקב סבור שתחיית המתים מגעת בימיו</w:t>
      </w:r>
      <w:r w:rsidRPr="00346413">
        <w:rPr>
          <w:rFonts w:hint="cs"/>
          <w:rtl/>
        </w:rPr>
        <w:t>", וראה ג"כ תורת מנחם תשמ"ה ח"ד 2212 ואילך. ויש ליישב בכמה אופנים ואכ"מ.</w:t>
      </w:r>
      <w:r>
        <w:rPr>
          <w:rFonts w:hint="cs"/>
          <w:rtl/>
        </w:rPr>
        <w:t xml:space="preserve">    </w:t>
      </w:r>
    </w:p>
  </w:footnote>
  <w:footnote w:id="3">
    <w:p w:rsidR="004820B2" w:rsidRPr="00346413" w:rsidRDefault="004820B2" w:rsidP="00346413">
      <w:pPr>
        <w:pStyle w:val="FootnoteText"/>
        <w:rPr>
          <w:rtl/>
        </w:rPr>
      </w:pPr>
      <w:r w:rsidRPr="00346413">
        <w:footnoteRef/>
      </w:r>
      <w:r>
        <w:t xml:space="preserve"> </w:t>
      </w:r>
      <w:r>
        <w:rPr>
          <w:rFonts w:hint="cs"/>
          <w:rtl/>
        </w:rPr>
        <w:t>) ראה לדוגמא לקו"ש ח"</w:t>
      </w:r>
      <w:r w:rsidRPr="005D0645">
        <w:rPr>
          <w:rFonts w:hint="cs"/>
          <w:rtl/>
        </w:rPr>
        <w:t xml:space="preserve">כ ע' 461 ובריבוי שיחות. </w:t>
      </w:r>
      <w:r w:rsidRPr="00346413">
        <w:rPr>
          <w:rFonts w:hint="cs"/>
          <w:rtl/>
        </w:rPr>
        <w:t xml:space="preserve">דברי תורה (להרה"צ ממונקאטש) מהדורא תניינא אות צ"ה. </w:t>
      </w:r>
      <w:r w:rsidRPr="005D0645">
        <w:rPr>
          <w:rFonts w:hint="cs"/>
          <w:rtl/>
        </w:rPr>
        <w:t xml:space="preserve">ס' </w:t>
      </w:r>
      <w:r w:rsidRPr="00346413">
        <w:rPr>
          <w:rtl/>
        </w:rPr>
        <w:t>שם עולם לבעל החפץ</w:t>
      </w:r>
      <w:r w:rsidRPr="00346413">
        <w:rPr>
          <w:rFonts w:ascii="Cambria" w:hAnsi="Cambria" w:cs="Cambria" w:hint="cs"/>
          <w:rtl/>
        </w:rPr>
        <w:t> </w:t>
      </w:r>
      <w:r w:rsidRPr="00346413">
        <w:rPr>
          <w:rtl/>
        </w:rPr>
        <w:t>חיים</w:t>
      </w:r>
      <w:r w:rsidRPr="00346413">
        <w:t xml:space="preserve"> </w:t>
      </w:r>
      <w:r w:rsidRPr="00346413">
        <w:rPr>
          <w:rtl/>
        </w:rPr>
        <w:t>ח"ב שער ההתחזקות פי"ב</w:t>
      </w:r>
      <w:r w:rsidRPr="00346413">
        <w:rPr>
          <w:rFonts w:hint="cs"/>
          <w:rtl/>
        </w:rPr>
        <w:t>, ובספרו צפית לישועה פ"א. קונטרס עקבתא דמשיחא להרב אלחנן ווסרמן. ועוד.</w:t>
      </w:r>
    </w:p>
    <w:p w:rsidR="004820B2" w:rsidRPr="00346413" w:rsidRDefault="004820B2" w:rsidP="00346413">
      <w:pPr>
        <w:pStyle w:val="FootnoteText"/>
        <w:rPr>
          <w:rtl/>
        </w:rPr>
      </w:pPr>
      <w:r w:rsidRPr="00346413">
        <w:rPr>
          <w:rFonts w:hint="cs"/>
          <w:rtl/>
        </w:rPr>
        <w:t xml:space="preserve">והנה כבר לפני כמה מאות שנים כתב </w:t>
      </w:r>
      <w:r w:rsidRPr="00346413">
        <w:rPr>
          <w:rtl/>
        </w:rPr>
        <w:t>בס' יד רמה לסנהדרין צז</w:t>
      </w:r>
      <w:r w:rsidRPr="00346413">
        <w:rPr>
          <w:rFonts w:hint="cs"/>
          <w:rtl/>
        </w:rPr>
        <w:t>,</w:t>
      </w:r>
      <w:r w:rsidRPr="00346413">
        <w:rPr>
          <w:rtl/>
        </w:rPr>
        <w:t xml:space="preserve"> א קטע ד"ה תניא ר' יודה אומר "ותמה אני לפי סימנין הללו מפני מה אין בן דוד בא בדורנו זה</w:t>
      </w:r>
      <w:r w:rsidRPr="00346413">
        <w:t>"</w:t>
      </w:r>
      <w:r w:rsidRPr="00346413">
        <w:rPr>
          <w:rFonts w:hint="cs"/>
          <w:rtl/>
        </w:rPr>
        <w:t xml:space="preserve">. וראה בס' </w:t>
      </w:r>
      <w:r w:rsidRPr="00346413">
        <w:rPr>
          <w:rtl/>
        </w:rPr>
        <w:t xml:space="preserve">עטרת צבי על זח"ב י, א, </w:t>
      </w:r>
      <w:r w:rsidRPr="00346413">
        <w:rPr>
          <w:rFonts w:hint="cs"/>
          <w:rtl/>
        </w:rPr>
        <w:t>"</w:t>
      </w:r>
      <w:r w:rsidRPr="00346413">
        <w:rPr>
          <w:rtl/>
        </w:rPr>
        <w:t>והנה היום אנחנו שנת תק"ץ לאלף הששי … ונתקיים ממש כל המשנה המספרת בענין עקבות משיחא</w:t>
      </w:r>
      <w:r w:rsidRPr="00346413">
        <w:rPr>
          <w:rFonts w:hint="cs"/>
          <w:rtl/>
        </w:rPr>
        <w:t xml:space="preserve">". (ולהעיר ממה שכתב רש"י סוטה מט, ב (שהושמט ע"י הצנזור) על מה שמובא שם שא' מהסימנים על ביאת המשיח הוא שהמלכות תהפך למינות, "המלכות. השולטת על רוב העולם תהא למינות נמשכים אחר טעות שלו (וי"ג: ישו) ותלמידיו נקראו מינים". והרי ענין זה נתקיים לפני הרבה זמן. אמנם להעיר מפירוש נוסף שמביא האברבנאל בישועות משיחו ח"ב </w:t>
      </w:r>
      <w:r w:rsidRPr="00346413">
        <w:rPr>
          <w:rtl/>
        </w:rPr>
        <w:t>העיון הראשון פ"ה</w:t>
      </w:r>
      <w:r w:rsidRPr="00346413">
        <w:rPr>
          <w:rFonts w:hint="cs"/>
          <w:rtl/>
        </w:rPr>
        <w:t xml:space="preserve">, שישאר המלכות בלי דת בכלל. וענין זה נתקיים רק בדורות האחרונים. ואכ"מ). </w:t>
      </w:r>
    </w:p>
    <w:p w:rsidR="004820B2" w:rsidRPr="00346413" w:rsidRDefault="004820B2" w:rsidP="00346413">
      <w:pPr>
        <w:pStyle w:val="FootnoteText"/>
        <w:rPr>
          <w:rtl/>
        </w:rPr>
      </w:pPr>
      <w:r w:rsidRPr="00346413">
        <w:rPr>
          <w:rFonts w:hint="cs"/>
          <w:rtl/>
        </w:rPr>
        <w:t>אלא שמ"מ קיום הסימנים בזמן היד רמה וכו' אינו דומה לכפי שנתקיימו כמה מהסימנים בדורותינו אלו, ראה שיחות קודש תשל"ח ח"ג ע' 153, שאז התחילו הסימנים להתקיים בדקות דדקות, משא"כ עכשיו. ע"ש. ולהעיר גם מלקו"ש ח"כ ע' 384. וכן מובן זה מהמבואר בכ"מ (ראה שיחות קודש תשל"ו ח"ב ע' 242, ועוד), שהתחלת הענין והסימנים של עקבתא דמשיחא התחילו כבר מזמן החורבן. ע"ש. אלא שמובן שככל שניתוסף בהזמן ניתוסף יותר בהירידה ובהתגשמות הסימנים במילואם. ולהעיר מתורת לוי"צ ס"ע קפ"ב ואילך בביאור ענין הגדיל עלי עקב.</w:t>
      </w:r>
    </w:p>
    <w:p w:rsidR="004820B2" w:rsidRDefault="004820B2" w:rsidP="00346413">
      <w:pPr>
        <w:pStyle w:val="FootnoteText"/>
        <w:rPr>
          <w:rtl/>
        </w:rPr>
      </w:pPr>
      <w:r w:rsidRPr="00346413">
        <w:rPr>
          <w:rFonts w:hint="cs"/>
          <w:rtl/>
        </w:rPr>
        <w:t>ועוד יש להעיר שלכאו' אין הפשט שכל הסימנים (כמו כמה מהסימנים שעליהם דיבר הח"ח שם וכו') צריכים להתקיים עד הרגע האחרון של ביאת המשיח ח"ו, אלא שיצאנו יי"ח במה שכבר נתקיימו הסימנים לפנ"ז. וע"פ המבואר בנצח ישראל למהר"ל פל"ב, בביאור מחז"ל (סנהדרין צז, א)</w:t>
      </w:r>
      <w:r w:rsidRPr="00346413">
        <w:rPr>
          <w:rFonts w:hint="cs"/>
        </w:rPr>
        <w:t xml:space="preserve"> </w:t>
      </w:r>
      <w:r w:rsidRPr="00346413">
        <w:rPr>
          <w:rFonts w:hint="cs"/>
          <w:rtl/>
        </w:rPr>
        <w:t>"בחמישית שובע גדול", ראה מה שכתבתי בגליון א'קעח אות ב'. ולהעיר ג"כ מלקו"ש חכ"ה ע' 373 ובכ"מ עד"ז. ואכ"מ.</w:t>
      </w:r>
    </w:p>
  </w:footnote>
  <w:footnote w:id="4">
    <w:p w:rsidR="004820B2" w:rsidRDefault="004820B2" w:rsidP="00346413">
      <w:pPr>
        <w:pStyle w:val="FootnoteText"/>
        <w:rPr>
          <w:rtl/>
        </w:rPr>
      </w:pPr>
      <w:r w:rsidRPr="00346413">
        <w:footnoteRef/>
      </w:r>
      <w:r>
        <w:t xml:space="preserve"> </w:t>
      </w:r>
      <w:r>
        <w:rPr>
          <w:rFonts w:hint="cs"/>
          <w:rtl/>
        </w:rPr>
        <w:t>) ראה לדוגמא בלקו"ש חכ"ז ע' 297, ובריבוי מקומות.</w:t>
      </w:r>
    </w:p>
  </w:footnote>
  <w:footnote w:id="5">
    <w:p w:rsidR="004820B2" w:rsidRDefault="004820B2" w:rsidP="00346413">
      <w:pPr>
        <w:pStyle w:val="FootnoteText"/>
        <w:rPr>
          <w:rtl/>
        </w:rPr>
      </w:pPr>
      <w:r w:rsidRPr="00346413">
        <w:footnoteRef/>
      </w:r>
      <w:r>
        <w:t xml:space="preserve"> </w:t>
      </w:r>
      <w:r>
        <w:rPr>
          <w:rFonts w:hint="cs"/>
          <w:rtl/>
        </w:rPr>
        <w:t>) שיחת ש"פ משפטים תשנ"ב. וראה השיחות שנלקטו בס' בשורת הגאולה. ועוד.</w:t>
      </w:r>
    </w:p>
  </w:footnote>
  <w:footnote w:id="6">
    <w:p w:rsidR="004820B2" w:rsidRDefault="004820B2" w:rsidP="00346413">
      <w:pPr>
        <w:pStyle w:val="FootnoteText"/>
        <w:rPr>
          <w:rtl/>
        </w:rPr>
      </w:pPr>
      <w:r w:rsidRPr="00346413">
        <w:footnoteRef/>
      </w:r>
      <w:r>
        <w:t xml:space="preserve"> </w:t>
      </w:r>
      <w:r>
        <w:rPr>
          <w:rFonts w:hint="cs"/>
          <w:rtl/>
        </w:rPr>
        <w:t>) כמובן מנוסח האני מאמין "אחכה לו בכל יום שיבוא". ומנוסח התפילה "לישועתך קוינו כל היום". וראה ג"כ לקו"ש חכ"ב ע' 77, חכ"ח ע' 136, סה"ש תשמ"ח ח"ב ע' 534 שם, סה"ש תשנ"א ח"א ע' 204, ובכ"מ.</w:t>
      </w:r>
    </w:p>
  </w:footnote>
  <w:footnote w:id="7">
    <w:p w:rsidR="004820B2" w:rsidRDefault="004820B2" w:rsidP="00346413">
      <w:pPr>
        <w:pStyle w:val="FootnoteText"/>
        <w:rPr>
          <w:rtl/>
        </w:rPr>
      </w:pPr>
      <w:r w:rsidRPr="00346413">
        <w:footnoteRef/>
      </w:r>
      <w:r>
        <w:t xml:space="preserve"> </w:t>
      </w:r>
      <w:r>
        <w:rPr>
          <w:rFonts w:hint="cs"/>
          <w:rtl/>
        </w:rPr>
        <w:t>) ראה לדוגמא תורת מנחם תשכ"ב ח"ב ע' 379, סה"ש תש"נ ח"א ע' 366, ח"ב ע' 409.</w:t>
      </w:r>
    </w:p>
    <w:p w:rsidR="004820B2" w:rsidRPr="0066723C" w:rsidRDefault="004820B2" w:rsidP="00346413">
      <w:pPr>
        <w:pStyle w:val="FootnoteText"/>
        <w:rPr>
          <w:rtl/>
        </w:rPr>
      </w:pPr>
      <w:r>
        <w:rPr>
          <w:rFonts w:hint="cs"/>
          <w:rtl/>
        </w:rPr>
        <w:t>ודבר זה מובן גם מדברי הגמ' והמדרשים, "אם ראית דור שצרות רבות באות עליו כנהר חכה לו" (סנהדרין צח, א), "</w:t>
      </w:r>
      <w:r w:rsidRPr="00346413">
        <w:rPr>
          <w:rtl/>
        </w:rPr>
        <w:t>אם ראית מלכיות מתגרות אלו באלו צפה לרגלו של משיח</w:t>
      </w:r>
      <w:r w:rsidRPr="00346413">
        <w:rPr>
          <w:rFonts w:hint="cs"/>
          <w:rtl/>
        </w:rPr>
        <w:t xml:space="preserve">" (בראשית רבה מב, ד), וכיו"ב, דלכאורה הרי החיוב לחכות לביאת המשיח הוא דבר תמידי כנ"ל, ומהו פשר הלשון ש"אם ראית" אז דוקא "חכה לו" </w:t>
      </w:r>
      <w:r w:rsidRPr="00346413">
        <w:rPr>
          <w:rtl/>
        </w:rPr>
        <w:t>–</w:t>
      </w:r>
      <w:r w:rsidRPr="00346413">
        <w:rPr>
          <w:rFonts w:hint="cs"/>
          <w:rtl/>
        </w:rPr>
        <w:t xml:space="preserve"> (משא"כ בדברי הגמ' סנהדין צז, ב "</w:t>
      </w:r>
      <w:r w:rsidRPr="00346413">
        <w:rPr>
          <w:rtl/>
        </w:rPr>
        <w:t>עד הכא לא תיסתכי לי</w:t>
      </w:r>
      <w:r w:rsidRPr="00346413">
        <w:rPr>
          <w:rFonts w:hint="cs"/>
          <w:rtl/>
        </w:rPr>
        <w:t>',</w:t>
      </w:r>
      <w:r w:rsidRPr="00346413">
        <w:rPr>
          <w:rtl/>
        </w:rPr>
        <w:t xml:space="preserve"> מכאן ואילך איסתכי לי</w:t>
      </w:r>
      <w:r w:rsidRPr="00346413">
        <w:rPr>
          <w:rFonts w:hint="cs"/>
          <w:rtl/>
        </w:rPr>
        <w:t>'", ששם הפירוש הוא אכן שרק מזמן זה ואילך יש לחכות לביאת המשיח, כמבואר במפרשים שם, משא"כ במאחז"ל הנ"ל) - ? אלא מובן ופשוט שהכוונה היא שבזמנים אלו הציפי' היא ביתר שאת ויתר עז, כדבר שקרוב הרבה יותר לקרות ולהתגשם בפועל ממש. וראה דברי תורה (להרה"צ ממונקאטש) ח"ה אות כב.</w:t>
      </w:r>
    </w:p>
  </w:footnote>
  <w:footnote w:id="8">
    <w:p w:rsidR="004820B2" w:rsidRDefault="004820B2" w:rsidP="00346413">
      <w:pPr>
        <w:pStyle w:val="FootnoteText"/>
        <w:rPr>
          <w:rtl/>
        </w:rPr>
      </w:pPr>
      <w:r w:rsidRPr="00346413">
        <w:footnoteRef/>
      </w:r>
      <w:r>
        <w:t xml:space="preserve"> </w:t>
      </w:r>
      <w:r>
        <w:rPr>
          <w:rFonts w:hint="cs"/>
          <w:rtl/>
        </w:rPr>
        <w:t xml:space="preserve">) ראה לדוגמא לקו"ש חכ"ב ע' 78, חכ"ז ע' 54. סה"ש תשנ"א ח"ב ע' 721, 761. </w:t>
      </w:r>
    </w:p>
  </w:footnote>
  <w:footnote w:id="9">
    <w:p w:rsidR="004820B2" w:rsidRDefault="004820B2" w:rsidP="00346413">
      <w:pPr>
        <w:pStyle w:val="FootnoteText"/>
        <w:rPr>
          <w:rtl/>
        </w:rPr>
      </w:pPr>
      <w:r>
        <w:rPr>
          <w:rFonts w:hint="cs"/>
          <w:rtl/>
        </w:rPr>
        <w:t xml:space="preserve"> </w:t>
      </w:r>
      <w:r w:rsidRPr="00346413">
        <w:footnoteRef/>
      </w:r>
      <w:r>
        <w:rPr>
          <w:rFonts w:hint="cs"/>
          <w:rtl/>
        </w:rPr>
        <w:t xml:space="preserve">) </w:t>
      </w:r>
      <w:r>
        <w:t xml:space="preserve"> </w:t>
      </w:r>
      <w:r>
        <w:rPr>
          <w:rFonts w:hint="cs"/>
          <w:rtl/>
        </w:rPr>
        <w:t>ראה לקו"ש חל"ח ע' 52 ובהע' 32, שענין הציפי' לביאת המשיח צ"ל מעומק הלב. וראה גם בס' פלא יועץ ערך ציפוי "שלא די באמר בפה שהוא מצפה לישועה, אלא צריך להיות מצפה לישועה בלב שלם". אלא שבזה גופא לכאו' יש עומק לפנים מעומק כו'. וע"ד הרמז יש להעיר ממאחז"ל (סנהדרין צז, ב) אודות הצפי' לביאת המשיח "נוקב ויורד עד התהום", ע"פ המבואר בסה"ש תרצ"ו ע' 36, תש"ז ע' 136, תהומא דליבא. וראה בס' שפתי צדיקים פ' ואתחנן בשם הרה"צ הרב נחום מטשרנוביל.</w:t>
      </w:r>
    </w:p>
  </w:footnote>
  <w:footnote w:id="10">
    <w:p w:rsidR="004820B2" w:rsidRDefault="004820B2" w:rsidP="00346413">
      <w:pPr>
        <w:pStyle w:val="FootnoteText"/>
        <w:rPr>
          <w:rtl/>
        </w:rPr>
      </w:pPr>
      <w:r w:rsidRPr="00346413">
        <w:footnoteRef/>
      </w:r>
      <w:r>
        <w:rPr>
          <w:rFonts w:hint="cs"/>
          <w:rtl/>
        </w:rPr>
        <w:t xml:space="preserve">) ראה  דברי תורה (להרה"צ ממונקאטש) ח"ה אות כב. וראה בספרי האדמו"ר מאוזרוב במה שמאריך בהחילוק בין צפי' בעלמא לביאת המשיח, ל"מחכה", שזהו כל מאווייו וגעגועי לבו: אש דת ח"ט ע' קצ"ד ואילך. באר משה דברים ח"א ע' צט ואילך. בראשית ח"ב ס"ע תתל ואילך.   </w:t>
      </w:r>
    </w:p>
  </w:footnote>
  <w:footnote w:id="11">
    <w:p w:rsidR="004820B2" w:rsidRPr="002846B5" w:rsidRDefault="004820B2" w:rsidP="00DC59FD">
      <w:pPr>
        <w:pStyle w:val="FootnoteText"/>
        <w:rPr>
          <w:rtl/>
        </w:rPr>
      </w:pPr>
      <w:r w:rsidRPr="00346413">
        <w:footnoteRef/>
      </w:r>
      <w:r>
        <w:rPr>
          <w:rFonts w:hint="cs"/>
          <w:rtl/>
        </w:rPr>
        <w:t>) חבקוק ב, ג.</w:t>
      </w:r>
    </w:p>
  </w:footnote>
  <w:footnote w:id="12">
    <w:p w:rsidR="004820B2" w:rsidRPr="00FF7D04" w:rsidRDefault="004820B2" w:rsidP="00346413">
      <w:pPr>
        <w:pStyle w:val="FootnoteText"/>
        <w:rPr>
          <w:rtl/>
        </w:rPr>
      </w:pPr>
      <w:r w:rsidRPr="00346413">
        <w:footnoteRef/>
      </w:r>
      <w:r>
        <w:rPr>
          <w:rFonts w:hint="cs"/>
          <w:rtl/>
        </w:rPr>
        <w:t xml:space="preserve">) </w:t>
      </w:r>
      <w:r>
        <w:t xml:space="preserve"> </w:t>
      </w:r>
      <w:r w:rsidRPr="002846B5">
        <w:rPr>
          <w:rFonts w:hint="cs"/>
          <w:rtl/>
        </w:rPr>
        <w:t>ו</w:t>
      </w:r>
      <w:r w:rsidRPr="00346413">
        <w:rPr>
          <w:rtl/>
        </w:rPr>
        <w:t xml:space="preserve">בראש ס' ראש אמנה להאברבנאל (מהעתקת ר' שמואל תבון): </w:t>
      </w:r>
      <w:r w:rsidRPr="00346413">
        <w:rPr>
          <w:rFonts w:hint="cs"/>
          <w:rtl/>
        </w:rPr>
        <w:t>"</w:t>
      </w:r>
      <w:r w:rsidRPr="00346413">
        <w:rPr>
          <w:rtl/>
        </w:rPr>
        <w:t>והיסוד השנים עשר ימות המשיח והוא שצריך להאמין שבא יבא ולא יאחר ואם יתמהמה חכה לו (חבקוק ב')</w:t>
      </w:r>
      <w:r w:rsidRPr="00346413">
        <w:rPr>
          <w:rFonts w:hint="cs"/>
          <w:rtl/>
        </w:rPr>
        <w:t>…</w:t>
      </w:r>
      <w:r>
        <w:rPr>
          <w:rFonts w:hint="cs"/>
          <w:rtl/>
        </w:rPr>
        <w:t>"</w:t>
      </w:r>
    </w:p>
  </w:footnote>
  <w:footnote w:id="13">
    <w:p w:rsidR="004820B2" w:rsidRPr="00B90999" w:rsidRDefault="004820B2" w:rsidP="00346413">
      <w:pPr>
        <w:pStyle w:val="FootnoteText"/>
        <w:rPr>
          <w:rtl/>
        </w:rPr>
      </w:pPr>
      <w:r w:rsidRPr="00346413">
        <w:footnoteRef/>
      </w:r>
      <w:r>
        <w:rPr>
          <w:rFonts w:hint="cs"/>
          <w:rtl/>
        </w:rPr>
        <w:t>)</w:t>
      </w:r>
      <w:r>
        <w:t xml:space="preserve"> </w:t>
      </w:r>
      <w:r>
        <w:rPr>
          <w:rFonts w:hint="cs"/>
          <w:rtl/>
        </w:rPr>
        <w:t xml:space="preserve"> בית אלקים שער היסודות פ"נ.</w:t>
      </w:r>
    </w:p>
  </w:footnote>
  <w:footnote w:id="14">
    <w:p w:rsidR="004820B2" w:rsidRDefault="004820B2" w:rsidP="00346413">
      <w:pPr>
        <w:pStyle w:val="FootnoteText"/>
        <w:rPr>
          <w:rtl/>
        </w:rPr>
      </w:pPr>
      <w:r w:rsidRPr="00346413">
        <w:footnoteRef/>
      </w:r>
      <w:r>
        <w:t xml:space="preserve"> </w:t>
      </w:r>
      <w:r>
        <w:rPr>
          <w:rFonts w:hint="cs"/>
          <w:rtl/>
        </w:rPr>
        <w:t>) פירוש המשניות להרמב"ם הקדמה לפ' חלק, היסוד הי"ב.</w:t>
      </w:r>
    </w:p>
  </w:footnote>
  <w:footnote w:id="15">
    <w:p w:rsidR="004820B2" w:rsidRDefault="004820B2" w:rsidP="00346413">
      <w:pPr>
        <w:pStyle w:val="FootnoteText"/>
        <w:rPr>
          <w:rtl/>
        </w:rPr>
      </w:pPr>
      <w:r w:rsidRPr="00346413">
        <w:footnoteRef/>
      </w:r>
      <w:r>
        <w:t xml:space="preserve"> </w:t>
      </w:r>
      <w:r>
        <w:rPr>
          <w:rFonts w:hint="cs"/>
          <w:rtl/>
        </w:rPr>
        <w:t>) חבקוק ב, ג.</w:t>
      </w:r>
    </w:p>
  </w:footnote>
  <w:footnote w:id="16">
    <w:p w:rsidR="004820B2" w:rsidRDefault="004820B2" w:rsidP="00346413">
      <w:pPr>
        <w:pStyle w:val="FootnoteText"/>
        <w:rPr>
          <w:rtl/>
        </w:rPr>
      </w:pPr>
      <w:r w:rsidRPr="00346413">
        <w:footnoteRef/>
      </w:r>
      <w:r>
        <w:t xml:space="preserve"> </w:t>
      </w:r>
      <w:r>
        <w:rPr>
          <w:rFonts w:hint="cs"/>
          <w:rtl/>
        </w:rPr>
        <w:t>) עיין גם בנצח ישראל להמהר"ל פמ"ה (מצד המשיח בעצמו אין מניעה כלל ואין לו זמן מוגבל ורק מצד המקבל). תורת מנחם תשכ"ו ח"ב ע' 86. תשד"מ ח"ג ע' 1706. ועוד.</w:t>
      </w:r>
    </w:p>
  </w:footnote>
  <w:footnote w:id="17">
    <w:p w:rsidR="004820B2" w:rsidRPr="005D0645" w:rsidRDefault="004820B2" w:rsidP="00346413">
      <w:pPr>
        <w:pStyle w:val="FootnoteText"/>
        <w:rPr>
          <w:rtl/>
        </w:rPr>
      </w:pPr>
      <w:r w:rsidRPr="00346413">
        <w:footnoteRef/>
      </w:r>
      <w:r>
        <w:t xml:space="preserve"> </w:t>
      </w:r>
      <w:r>
        <w:rPr>
          <w:rFonts w:hint="cs"/>
          <w:rtl/>
        </w:rPr>
        <w:t>) בראשית דף ל"ז טור ב'.</w:t>
      </w:r>
    </w:p>
  </w:footnote>
  <w:footnote w:id="18">
    <w:p w:rsidR="004820B2" w:rsidRPr="00FF7D04" w:rsidRDefault="004820B2" w:rsidP="00346413">
      <w:pPr>
        <w:pStyle w:val="FootnoteText"/>
        <w:rPr>
          <w:rtl/>
        </w:rPr>
      </w:pPr>
      <w:r w:rsidRPr="00346413">
        <w:footnoteRef/>
      </w:r>
      <w:r>
        <w:t xml:space="preserve"> </w:t>
      </w:r>
      <w:r>
        <w:rPr>
          <w:rFonts w:hint="cs"/>
          <w:rtl/>
        </w:rPr>
        <w:t xml:space="preserve">) </w:t>
      </w:r>
      <w:r w:rsidRPr="00346413">
        <w:rPr>
          <w:rtl/>
        </w:rPr>
        <w:t>ולהעיר מלקו"ש חכ"ד ע' 84 שוה"ג להערה 45 "ובידנו רק העתקות - וצ"ע פי' התיבה בערבית בדיוק ואין ללמוד מפי' התיבה עתה - כי כידוע דיוק פי' התיבות בכל לשון - משתנה במשך הזמן. ולהעיר מהכלל אפי' בלה"ק - ל' תורה לחוד ול' חכמים לחוד</w:t>
      </w:r>
      <w:r w:rsidRPr="00FF7D04">
        <w:t>"</w:t>
      </w:r>
      <w:r>
        <w:rPr>
          <w:rFonts w:hint="cs"/>
          <w:rtl/>
        </w:rPr>
        <w:t>.</w:t>
      </w:r>
    </w:p>
  </w:footnote>
  <w:footnote w:id="19">
    <w:p w:rsidR="004820B2" w:rsidRPr="00CC31AB" w:rsidRDefault="004820B2" w:rsidP="00346413">
      <w:pPr>
        <w:pStyle w:val="FootnoteText"/>
        <w:rPr>
          <w:rtl/>
        </w:rPr>
      </w:pPr>
      <w:r w:rsidRPr="00346413">
        <w:footnoteRef/>
      </w:r>
      <w:r>
        <w:rPr>
          <w:rFonts w:hint="cs"/>
          <w:rtl/>
        </w:rPr>
        <w:t>)</w:t>
      </w:r>
      <w:r>
        <w:t xml:space="preserve"> </w:t>
      </w:r>
      <w:r>
        <w:rPr>
          <w:rFonts w:hint="cs"/>
          <w:rtl/>
        </w:rPr>
        <w:t>מאמר ד' סופמ"ט.</w:t>
      </w:r>
    </w:p>
  </w:footnote>
  <w:footnote w:id="20">
    <w:p w:rsidR="004820B2" w:rsidRPr="00203137" w:rsidRDefault="004820B2" w:rsidP="00DC59FD">
      <w:pPr>
        <w:pStyle w:val="FootnoteText"/>
        <w:rPr>
          <w:rtl/>
        </w:rPr>
      </w:pPr>
      <w:r w:rsidRPr="00346413">
        <w:footnoteRef/>
      </w:r>
      <w:r>
        <w:rPr>
          <w:rFonts w:hint="cs"/>
          <w:rtl/>
        </w:rPr>
        <w:t>) וראה גם לקח טוב עה"פ  בלק כד, יז, אראנו ולא עתה וגו'. אברבנאל צפני' ג, ח. ועד"ז בכ"מ.</w:t>
      </w:r>
    </w:p>
  </w:footnote>
  <w:footnote w:id="21">
    <w:p w:rsidR="004820B2" w:rsidRPr="00293402" w:rsidRDefault="004820B2" w:rsidP="00DC59FD">
      <w:pPr>
        <w:pStyle w:val="FootnoteText"/>
        <w:rPr>
          <w:rtl/>
        </w:rPr>
      </w:pPr>
      <w:r w:rsidRPr="00346413">
        <w:footnoteRef/>
      </w:r>
      <w:r>
        <w:rPr>
          <w:rFonts w:hint="cs"/>
          <w:rtl/>
        </w:rPr>
        <w:t>) להרב שלמה צוקער (נכתב בפקודת הרה"צ ממונקאטש) ע' נב.</w:t>
      </w:r>
    </w:p>
  </w:footnote>
  <w:footnote w:id="22">
    <w:p w:rsidR="004820B2" w:rsidRPr="00CD7401" w:rsidRDefault="004820B2" w:rsidP="00346413">
      <w:pPr>
        <w:pStyle w:val="FootnoteText"/>
        <w:rPr>
          <w:rtl/>
        </w:rPr>
      </w:pPr>
      <w:r w:rsidRPr="00346413">
        <w:footnoteRef/>
      </w:r>
      <w:r>
        <w:t xml:space="preserve"> </w:t>
      </w:r>
      <w:r>
        <w:rPr>
          <w:rFonts w:hint="cs"/>
          <w:rtl/>
        </w:rPr>
        <w:t>) הן מצד הגלות הגשמי וחסרון שלימות התומ"צ וכו'.</w:t>
      </w:r>
    </w:p>
  </w:footnote>
  <w:footnote w:id="23">
    <w:p w:rsidR="004820B2" w:rsidRPr="00F82745" w:rsidRDefault="004820B2" w:rsidP="00346413">
      <w:pPr>
        <w:pStyle w:val="FootnoteText"/>
        <w:rPr>
          <w:rtl/>
        </w:rPr>
      </w:pPr>
      <w:r w:rsidRPr="00346413">
        <w:footnoteRef/>
      </w:r>
      <w:r>
        <w:t xml:space="preserve"> </w:t>
      </w:r>
      <w:r>
        <w:rPr>
          <w:rFonts w:hint="cs"/>
          <w:rtl/>
        </w:rPr>
        <w:t>) ראה גם לקו"ש חכ"ח ע' 136 ובכ"מ.</w:t>
      </w:r>
    </w:p>
  </w:footnote>
  <w:footnote w:id="24">
    <w:p w:rsidR="004820B2" w:rsidRPr="001D0C7E" w:rsidRDefault="004820B2" w:rsidP="00346413">
      <w:pPr>
        <w:pStyle w:val="FootnoteText"/>
        <w:rPr>
          <w:rtl/>
        </w:rPr>
      </w:pPr>
      <w:r w:rsidRPr="00346413">
        <w:footnoteRef/>
      </w:r>
      <w:r>
        <w:t xml:space="preserve"> </w:t>
      </w:r>
      <w:r>
        <w:rPr>
          <w:rFonts w:hint="cs"/>
          <w:rtl/>
        </w:rPr>
        <w:t>) או מצד זה שהתייאש מביאתו בכלל מחמת איחור הזמן (ע"ד התרגום הב' בפירוש המשניות הנ"ל), או מאיזה טעם שיהי' הוא חושב שעכשיו א"א למשיח לבוא (ע"ד דברי המבי"ט הנ"ל, ומשמיע ישועה הנ"ל).</w:t>
      </w:r>
    </w:p>
  </w:footnote>
  <w:footnote w:id="25">
    <w:p w:rsidR="004820B2" w:rsidRPr="00F82745" w:rsidRDefault="004820B2" w:rsidP="00346413">
      <w:pPr>
        <w:pStyle w:val="FootnoteText"/>
        <w:rPr>
          <w:rtl/>
        </w:rPr>
      </w:pPr>
      <w:r w:rsidRPr="00346413">
        <w:footnoteRef/>
      </w:r>
      <w:r>
        <w:rPr>
          <w:rFonts w:hint="cs"/>
          <w:rtl/>
        </w:rPr>
        <w:t>) ראה לדוגמא סה"ש תש"נ ח"ב ע' 526, שיחת ש"פ דברים תשנ"א בתחילתו. רשית ד' אייר תשמ"ג (ס' שיח שרפי קודש ע' 111).</w:t>
      </w:r>
    </w:p>
  </w:footnote>
  <w:footnote w:id="26">
    <w:p w:rsidR="004820B2" w:rsidRPr="00F82745" w:rsidRDefault="004820B2" w:rsidP="00346413">
      <w:pPr>
        <w:pStyle w:val="FootnoteText"/>
        <w:rPr>
          <w:rtl/>
        </w:rPr>
      </w:pPr>
      <w:r w:rsidRPr="00346413">
        <w:footnoteRef/>
      </w:r>
      <w:r>
        <w:t xml:space="preserve"> </w:t>
      </w:r>
      <w:r>
        <w:rPr>
          <w:rFonts w:hint="cs"/>
          <w:rtl/>
        </w:rPr>
        <w:t xml:space="preserve">) ראה לדוגמא תורת מנחם תשמ"ב ח"ב ע' 691. </w:t>
      </w:r>
    </w:p>
  </w:footnote>
  <w:footnote w:id="27">
    <w:p w:rsidR="004820B2" w:rsidRPr="00ED72BE" w:rsidRDefault="004820B2" w:rsidP="00346413">
      <w:pPr>
        <w:pStyle w:val="FootnoteText"/>
        <w:rPr>
          <w:rtl/>
        </w:rPr>
      </w:pPr>
      <w:r w:rsidRPr="00346413">
        <w:footnoteRef/>
      </w:r>
      <w:r>
        <w:t xml:space="preserve"> </w:t>
      </w:r>
      <w:r>
        <w:rPr>
          <w:rFonts w:hint="cs"/>
          <w:rtl/>
        </w:rPr>
        <w:t xml:space="preserve">) ראה לדוגמא הלשון בשיחת ש"פ דברים תנש"א ס"ה. ולהעיר משיחות קודש תשל"ט ח"ג ע' 415, שהפירוש הראשון הוא הפירוש העיקרי. ולכאו' יש לבאר הכוונה בזה, שהפירוש השני הוא בא בהמשך ומיוסד על הפירוש הראשון. דהיינו שמכיון שבכל יום הנני מחכה לו שיבוא </w:t>
      </w:r>
      <w:r>
        <w:rPr>
          <w:rtl/>
        </w:rPr>
        <w:t>–</w:t>
      </w:r>
      <w:r>
        <w:rPr>
          <w:rFonts w:hint="cs"/>
          <w:rtl/>
        </w:rPr>
        <w:t xml:space="preserve"> בכלל, לכן ציפי' זו מעוררת אותי שאחכה בכל יום שיבוא באותו יום. </w:t>
      </w:r>
    </w:p>
  </w:footnote>
  <w:footnote w:id="28">
    <w:p w:rsidR="004820B2" w:rsidRPr="006671E0" w:rsidRDefault="004820B2" w:rsidP="00346413">
      <w:pPr>
        <w:pStyle w:val="FootnoteText"/>
        <w:rPr>
          <w:rtl/>
        </w:rPr>
      </w:pPr>
      <w:r w:rsidRPr="00346413">
        <w:footnoteRef/>
      </w:r>
      <w:r>
        <w:t xml:space="preserve"> </w:t>
      </w:r>
      <w:r>
        <w:rPr>
          <w:rFonts w:hint="cs"/>
          <w:rtl/>
        </w:rPr>
        <w:t>) ראה תורת מנחם תשמ"ב ח"ב ע' 674. תשמ"ד ח"ד ע' 2398.</w:t>
      </w:r>
    </w:p>
  </w:footnote>
  <w:footnote w:id="29">
    <w:p w:rsidR="004820B2" w:rsidRPr="005130CA" w:rsidRDefault="004820B2" w:rsidP="00346413">
      <w:pPr>
        <w:pStyle w:val="FootnoteText"/>
        <w:rPr>
          <w:rtl/>
        </w:rPr>
      </w:pPr>
      <w:r w:rsidRPr="00346413">
        <w:footnoteRef/>
      </w:r>
      <w:r>
        <w:t xml:space="preserve"> </w:t>
      </w:r>
      <w:r>
        <w:rPr>
          <w:rFonts w:hint="cs"/>
          <w:rtl/>
        </w:rPr>
        <w:t>) להעיר מהלשון בסרט הקלטה משיחת כ"ד טבת תשמ"ב "אט אט קומט דאס צוגיין".</w:t>
      </w:r>
    </w:p>
  </w:footnote>
  <w:footnote w:id="30">
    <w:p w:rsidR="004820B2" w:rsidRDefault="004820B2" w:rsidP="00346413">
      <w:pPr>
        <w:pStyle w:val="FootnoteText"/>
        <w:rPr>
          <w:rtl/>
        </w:rPr>
      </w:pPr>
      <w:r w:rsidRPr="00346413">
        <w:footnoteRef/>
      </w:r>
      <w:r>
        <w:t xml:space="preserve"> </w:t>
      </w:r>
      <w:r>
        <w:rPr>
          <w:rFonts w:hint="cs"/>
          <w:rtl/>
        </w:rPr>
        <w:t>) אף שכידוע צע"ג אם  זה באמת חידושי הר"ן בעצמו.</w:t>
      </w:r>
    </w:p>
  </w:footnote>
  <w:footnote w:id="31">
    <w:p w:rsidR="004820B2" w:rsidRDefault="004820B2" w:rsidP="00346413">
      <w:pPr>
        <w:pStyle w:val="FootnoteText"/>
        <w:rPr>
          <w:rtl/>
        </w:rPr>
      </w:pPr>
      <w:r w:rsidRPr="00346413">
        <w:footnoteRef/>
      </w:r>
      <w:r>
        <w:t xml:space="preserve"> </w:t>
      </w:r>
      <w:r>
        <w:rPr>
          <w:rFonts w:hint="cs"/>
          <w:rtl/>
        </w:rPr>
        <w:t xml:space="preserve">) </w:t>
      </w:r>
      <w:r w:rsidRPr="00346413">
        <w:rPr>
          <w:rtl/>
        </w:rPr>
        <w:t>נדפס בקובץ חצי גבורים חוברת ו, טבת תשע"ד, ע' כב</w:t>
      </w:r>
      <w:r w:rsidRPr="00346413">
        <w:rPr>
          <w:rFonts w:hint="cs"/>
          <w:rtl/>
        </w:rPr>
        <w:t>.</w:t>
      </w:r>
    </w:p>
  </w:footnote>
  <w:footnote w:id="32">
    <w:p w:rsidR="004820B2" w:rsidRPr="00134008" w:rsidRDefault="004820B2" w:rsidP="00346413">
      <w:pPr>
        <w:pStyle w:val="FootnoteText"/>
        <w:rPr>
          <w:rtl/>
        </w:rPr>
      </w:pPr>
      <w:r w:rsidRPr="00346413">
        <w:footnoteRef/>
      </w:r>
      <w:r>
        <w:t xml:space="preserve"> </w:t>
      </w:r>
      <w:r>
        <w:rPr>
          <w:rFonts w:hint="cs"/>
          <w:rtl/>
        </w:rPr>
        <w:t>) וראה גם ביאור הרמ"ד וואלי לספר תהלים, פרק ע"ח סוף אות ד'. פלא יועץ ערך גאולה. שבט מוסר פנ"א.</w:t>
      </w:r>
    </w:p>
  </w:footnote>
  <w:footnote w:id="33">
    <w:p w:rsidR="004820B2" w:rsidRDefault="004820B2" w:rsidP="00346413">
      <w:pPr>
        <w:pStyle w:val="FootnoteText"/>
        <w:rPr>
          <w:rtl/>
        </w:rPr>
      </w:pPr>
      <w:r w:rsidRPr="00346413">
        <w:footnoteRef/>
      </w:r>
      <w:r>
        <w:rPr>
          <w:rFonts w:hint="cs"/>
          <w:rtl/>
        </w:rPr>
        <w:t xml:space="preserve">) וראה גם בס' צפית לישועה (להחפץ חיים) פ"ג קרוב לתחלתו. </w:t>
      </w:r>
      <w:r>
        <w:t xml:space="preserve"> </w:t>
      </w:r>
      <w:r>
        <w:rPr>
          <w:rFonts w:hint="cs"/>
          <w:rtl/>
        </w:rPr>
        <w:t>בראשית דף לז טור ב.</w:t>
      </w:r>
    </w:p>
  </w:footnote>
  <w:footnote w:id="34">
    <w:p w:rsidR="004820B2" w:rsidRDefault="004820B2" w:rsidP="00346413">
      <w:pPr>
        <w:pStyle w:val="FootnoteText"/>
        <w:rPr>
          <w:rtl/>
        </w:rPr>
      </w:pPr>
      <w:r w:rsidRPr="00346413">
        <w:footnoteRef/>
      </w:r>
      <w:r>
        <w:t xml:space="preserve"> </w:t>
      </w:r>
      <w:r>
        <w:rPr>
          <w:rFonts w:hint="cs"/>
          <w:rtl/>
        </w:rPr>
        <w:t>) יחזקאל ג, יז.</w:t>
      </w:r>
    </w:p>
  </w:footnote>
  <w:footnote w:id="35">
    <w:p w:rsidR="004820B2" w:rsidRPr="00023650" w:rsidRDefault="004820B2" w:rsidP="00346413">
      <w:pPr>
        <w:pStyle w:val="FootnoteText"/>
        <w:rPr>
          <w:rtl/>
        </w:rPr>
      </w:pPr>
      <w:r w:rsidRPr="00346413">
        <w:footnoteRef/>
      </w:r>
      <w:r>
        <w:t xml:space="preserve"> </w:t>
      </w:r>
      <w:r>
        <w:rPr>
          <w:rFonts w:hint="cs"/>
          <w:rtl/>
        </w:rPr>
        <w:t xml:space="preserve">) להעיר מלקו"ש ח"כ ע' 536. </w:t>
      </w:r>
    </w:p>
  </w:footnote>
  <w:footnote w:id="36">
    <w:p w:rsidR="004820B2" w:rsidRDefault="004820B2" w:rsidP="00346413">
      <w:pPr>
        <w:pStyle w:val="FootnoteText"/>
        <w:rPr>
          <w:rtl/>
        </w:rPr>
      </w:pPr>
      <w:r w:rsidRPr="00346413">
        <w:footnoteRef/>
      </w:r>
      <w:r>
        <w:t xml:space="preserve"> </w:t>
      </w:r>
      <w:r>
        <w:rPr>
          <w:rFonts w:hint="cs"/>
          <w:rtl/>
        </w:rPr>
        <w:t>) ראה גם רש"י דברים כח, סה, ד"ה וכליון.</w:t>
      </w:r>
    </w:p>
  </w:footnote>
  <w:footnote w:id="37">
    <w:p w:rsidR="004820B2" w:rsidRDefault="004820B2" w:rsidP="00346413">
      <w:pPr>
        <w:pStyle w:val="FootnoteText"/>
        <w:rPr>
          <w:rtl/>
        </w:rPr>
      </w:pPr>
      <w:r w:rsidRPr="00346413">
        <w:footnoteRef/>
      </w:r>
      <w:r>
        <w:t xml:space="preserve"> </w:t>
      </w:r>
      <w:r>
        <w:rPr>
          <w:rFonts w:hint="cs"/>
          <w:rtl/>
        </w:rPr>
        <w:t>) ראה זח"א ד, א, "</w:t>
      </w:r>
      <w:r w:rsidRPr="0092133D">
        <w:rPr>
          <w:rtl/>
        </w:rPr>
        <w:t xml:space="preserve"> </w:t>
      </w:r>
      <w:r w:rsidRPr="00346413">
        <w:rPr>
          <w:rtl/>
        </w:rPr>
        <w:t>דמחכאן בכל יומא לנהורא דנהיר</w:t>
      </w:r>
      <w:r w:rsidRPr="00346413">
        <w:rPr>
          <w:rFonts w:hint="cs"/>
          <w:rtl/>
        </w:rPr>
        <w:t>…", (</w:t>
      </w:r>
      <w:r w:rsidRPr="00346413">
        <w:rPr>
          <w:rtl/>
        </w:rPr>
        <w:t>ובפי' ר' אברהם גאלאנטי (מובא בס' אור החמה על הזוהר כאן) מבאר "שמחכים ביאת המשיח בכל יום". ועד"ז פי' ר' חיים וויטאל (שם) "הוא מ"ש צפית לישועה, על כן תקנו בי"ח ברכות כי לישועתך קוינו כל היום"</w:t>
      </w:r>
      <w:r w:rsidRPr="00346413">
        <w:rPr>
          <w:rFonts w:hint="cs"/>
          <w:rtl/>
        </w:rPr>
        <w:t>)</w:t>
      </w:r>
      <w:r w:rsidRPr="00346413">
        <w:rPr>
          <w:rtl/>
        </w:rPr>
        <w:t>.</w:t>
      </w:r>
      <w:r w:rsidRPr="006807E3">
        <w:rPr>
          <w:rFonts w:hint="cs"/>
          <w:rtl/>
        </w:rPr>
        <w:t xml:space="preserve"> שם קמ, א. שיר השירים רבה</w:t>
      </w:r>
      <w:r>
        <w:rPr>
          <w:rFonts w:hint="cs"/>
          <w:rtl/>
        </w:rPr>
        <w:t xml:space="preserve"> ז, יא. תדב"א רבה פי"ט קרוב לתחלתו. ס' חרדים פל"ה אות ל"ד</w:t>
      </w:r>
      <w:r>
        <w:rPr>
          <w:rtl/>
        </w:rPr>
        <w:t>.</w:t>
      </w:r>
      <w:r>
        <w:rPr>
          <w:rFonts w:hint="cs"/>
          <w:rtl/>
        </w:rPr>
        <w:t xml:space="preserve"> ועוד. וראה גם מהרש"א מנחות פז, א, ד"ה ואמר מאי אמרי. וראה שמות רבה פרשה ל, כ "צפה לישועה שהיא קרובה לך".</w:t>
      </w:r>
    </w:p>
  </w:footnote>
  <w:footnote w:id="38">
    <w:p w:rsidR="004820B2" w:rsidRDefault="004820B2" w:rsidP="00DC59FD">
      <w:pPr>
        <w:pStyle w:val="FootnoteText"/>
        <w:rPr>
          <w:rtl/>
        </w:rPr>
      </w:pPr>
      <w:r w:rsidRPr="00346413">
        <w:footnoteRef/>
      </w:r>
      <w:r>
        <w:rPr>
          <w:rFonts w:hint="cs"/>
          <w:rtl/>
        </w:rPr>
        <w:t>) ועד"ז זח"א קמ, א "</w:t>
      </w:r>
      <w:r w:rsidRPr="00346413">
        <w:rPr>
          <w:rtl/>
        </w:rPr>
        <w:t>למצפי פורקנא</w:t>
      </w:r>
      <w:r w:rsidRPr="00346413">
        <w:rPr>
          <w:rFonts w:hint="cs"/>
          <w:rtl/>
        </w:rPr>
        <w:t>".</w:t>
      </w:r>
    </w:p>
  </w:footnote>
  <w:footnote w:id="39">
    <w:p w:rsidR="004820B2" w:rsidRDefault="004820B2" w:rsidP="00DC59FD">
      <w:pPr>
        <w:pStyle w:val="FootnoteText"/>
        <w:rPr>
          <w:rtl/>
        </w:rPr>
      </w:pPr>
      <w:r w:rsidRPr="00346413">
        <w:footnoteRef/>
      </w:r>
      <w:r>
        <w:rPr>
          <w:rFonts w:hint="cs"/>
          <w:rtl/>
        </w:rPr>
        <w:t xml:space="preserve">) ראה לשון הרמב"ם בהל' מלכים פי"א ה"ד, בהחלק שנשמט ע"י הצנזור "שהמשיח גואל ישראל ומושיעם ומקבץ נדחיהם ומחזק מצותם". וראה ג"כ אגרת תימן מהדרות קאפח פ"ג "ילכד דברתינו ויאסוף חרפתינו וגלותינו ויגלה דת האמת..". </w:t>
      </w:r>
    </w:p>
  </w:footnote>
  <w:footnote w:id="40">
    <w:p w:rsidR="004820B2" w:rsidRDefault="004820B2" w:rsidP="00346413">
      <w:pPr>
        <w:pStyle w:val="FootnoteText"/>
        <w:rPr>
          <w:rtl/>
        </w:rPr>
      </w:pPr>
      <w:r w:rsidRPr="00346413">
        <w:footnoteRef/>
      </w:r>
      <w:r>
        <w:t xml:space="preserve"> </w:t>
      </w:r>
      <w:r>
        <w:rPr>
          <w:rFonts w:hint="cs"/>
          <w:rtl/>
        </w:rPr>
        <w:t xml:space="preserve">) ראה לקו"ש חי"ח ע' 277 ואילך, בביאור דברי הרמב"ם בהל' מלכים פי"א. סה"ש תשנ"א ח"א ע' 204. וראה גם בפתח עינים להחיד"א ובס' בן יהוידע על שבת לא, א "צפית לישועה". </w:t>
      </w:r>
    </w:p>
  </w:footnote>
  <w:footnote w:id="41">
    <w:p w:rsidR="004820B2" w:rsidRDefault="004820B2" w:rsidP="00DC59FD">
      <w:pPr>
        <w:pStyle w:val="FootnoteText"/>
        <w:rPr>
          <w:rtl/>
        </w:rPr>
      </w:pPr>
      <w:r w:rsidRPr="00346413">
        <w:footnoteRef/>
      </w:r>
      <w:r>
        <w:rPr>
          <w:rFonts w:hint="cs"/>
          <w:rtl/>
        </w:rPr>
        <w:t>) ראה פסיקתא רבתי פל"ה, ב (</w:t>
      </w:r>
      <w:r>
        <w:rPr>
          <w:rtl/>
        </w:rPr>
        <w:t>ובהוצאת מא"ש - פל"ד</w:t>
      </w:r>
      <w:r>
        <w:rPr>
          <w:rFonts w:hint="cs"/>
          <w:rtl/>
        </w:rPr>
        <w:t xml:space="preserve">), הלשון "חיכיתם למלכותי". </w:t>
      </w:r>
      <w:r>
        <w:rPr>
          <w:rtl/>
        </w:rPr>
        <w:t>ו</w:t>
      </w:r>
      <w:r>
        <w:rPr>
          <w:rFonts w:hint="cs"/>
          <w:rtl/>
        </w:rPr>
        <w:t xml:space="preserve">ראה ג"כ </w:t>
      </w:r>
      <w:r>
        <w:rPr>
          <w:rtl/>
        </w:rPr>
        <w:t>חפץ חיים על התורה לבראשית ח, כב.</w:t>
      </w:r>
      <w:r>
        <w:rPr>
          <w:rFonts w:hint="cs"/>
          <w:rtl/>
        </w:rPr>
        <w:t xml:space="preserve"> ובכ"מ. </w:t>
      </w:r>
    </w:p>
  </w:footnote>
  <w:footnote w:id="42">
    <w:p w:rsidR="004820B2" w:rsidRPr="00786C14" w:rsidRDefault="004820B2" w:rsidP="00DC59FD">
      <w:pPr>
        <w:pStyle w:val="FootnoteText"/>
        <w:rPr>
          <w:rtl/>
        </w:rPr>
      </w:pPr>
      <w:r w:rsidRPr="00346413">
        <w:footnoteRef/>
      </w:r>
      <w:r>
        <w:rPr>
          <w:rFonts w:hint="cs"/>
          <w:rtl/>
        </w:rPr>
        <w:t>) ראה בס' פלא יועץ ערך צפוי, ובריבוי מקומות.</w:t>
      </w:r>
    </w:p>
  </w:footnote>
  <w:footnote w:id="43">
    <w:p w:rsidR="004820B2" w:rsidRDefault="004820B2" w:rsidP="00DC59FD">
      <w:pPr>
        <w:pStyle w:val="FootnoteText"/>
        <w:rPr>
          <w:rtl/>
        </w:rPr>
      </w:pPr>
      <w:r w:rsidRPr="00346413">
        <w:footnoteRef/>
      </w:r>
      <w:r>
        <w:rPr>
          <w:rFonts w:hint="cs"/>
          <w:rtl/>
        </w:rPr>
        <w:t>) ראה שיחת ש"פ עקב תשי"ג בארוכה. ולהעיר מלקו"ש ח"ו ע' 85 הערה 39.</w:t>
      </w:r>
    </w:p>
  </w:footnote>
  <w:footnote w:id="44">
    <w:p w:rsidR="004820B2" w:rsidRDefault="004820B2" w:rsidP="00DC59FD">
      <w:pPr>
        <w:pStyle w:val="FootnoteText"/>
        <w:rPr>
          <w:rtl/>
        </w:rPr>
      </w:pPr>
      <w:r w:rsidRPr="00346413">
        <w:footnoteRef/>
      </w:r>
      <w:r>
        <w:rPr>
          <w:rFonts w:hint="cs"/>
          <w:rtl/>
        </w:rPr>
        <w:t>) ראה רמב"ם הלכות תשובה פ"ט ה"ב. הל' מלכים פ"ב ה"ד. ס' הגאולה להרמב"ן שער ב' קרוב לסופו. פירוש יפה תואר השלם על בראשית רבה סוף פרשה פח. שבט מוסר פנ"א. ועוד.</w:t>
      </w:r>
    </w:p>
  </w:footnote>
  <w:footnote w:id="45">
    <w:p w:rsidR="004820B2" w:rsidRDefault="004820B2" w:rsidP="00DC59FD">
      <w:pPr>
        <w:pStyle w:val="FootnoteText"/>
        <w:rPr>
          <w:rtl/>
        </w:rPr>
      </w:pPr>
      <w:r w:rsidRPr="00346413">
        <w:footnoteRef/>
      </w:r>
      <w:r>
        <w:rPr>
          <w:rFonts w:hint="cs"/>
          <w:rtl/>
        </w:rPr>
        <w:t>) ראה ס' העיקרים מאמר ד' פמ"ח. פלא יועץ ערך צפוי. מחנה ישראל להח"ח סופכ"ה.</w:t>
      </w:r>
    </w:p>
  </w:footnote>
  <w:footnote w:id="46">
    <w:p w:rsidR="004820B2" w:rsidRPr="000A6568" w:rsidRDefault="004820B2" w:rsidP="00DC59FD">
      <w:pPr>
        <w:pStyle w:val="FootnoteText"/>
        <w:rPr>
          <w:rtl/>
        </w:rPr>
      </w:pPr>
      <w:r w:rsidRPr="00346413">
        <w:footnoteRef/>
      </w:r>
      <w:r>
        <w:rPr>
          <w:rFonts w:hint="cs"/>
          <w:rtl/>
        </w:rPr>
        <w:t xml:space="preserve">) </w:t>
      </w:r>
      <w:r w:rsidRPr="00346413">
        <w:rPr>
          <w:rtl/>
        </w:rPr>
        <w:t xml:space="preserve">ראה לדוגמא אליהו רבה פי"ג "מחמד ומתאוה ומצפה … ולישועה שתצמיח בקרוב". סנהדרין צז, ב רש"י ד"ה מחכה </w:t>
      </w:r>
      <w:r w:rsidRPr="00346413">
        <w:rPr>
          <w:rFonts w:hint="cs"/>
          <w:rtl/>
        </w:rPr>
        <w:t>"</w:t>
      </w:r>
      <w:r w:rsidRPr="00346413">
        <w:rPr>
          <w:rtl/>
        </w:rPr>
        <w:t>מחכה ומתאוה שיבא משיח</w:t>
      </w:r>
      <w:r w:rsidRPr="00346413">
        <w:rPr>
          <w:rFonts w:hint="cs"/>
          <w:rtl/>
        </w:rPr>
        <w:t>". וכן בלשון הרמב"ם (הלכות תשובה פ"ט ה"ב, הלכות מלכים פי"ב ה"ד) משתמש בהלשון "נתאוו"</w:t>
      </w:r>
      <w:r w:rsidRPr="00346413">
        <w:rPr>
          <w:rFonts w:hint="cs"/>
        </w:rPr>
        <w:t xml:space="preserve"> </w:t>
      </w:r>
      <w:r w:rsidRPr="00346413">
        <w:rPr>
          <w:rFonts w:hint="cs"/>
          <w:rtl/>
        </w:rPr>
        <w:t xml:space="preserve">אודות ביאת המשיח, וראה </w:t>
      </w:r>
      <w:r w:rsidRPr="00346413">
        <w:rPr>
          <w:rtl/>
        </w:rPr>
        <w:t>בהדרן על הרמב"ם תשמ"ו הערות 10</w:t>
      </w:r>
      <w:r w:rsidRPr="00346413">
        <w:rPr>
          <w:rFonts w:hint="cs"/>
          <w:rtl/>
        </w:rPr>
        <w:t>,</w:t>
      </w:r>
      <w:r w:rsidRPr="00346413">
        <w:rPr>
          <w:rtl/>
        </w:rPr>
        <w:t xml:space="preserve"> 35 שהענין דנתאוו לימות המשיח הוא חלק מהענין של </w:t>
      </w:r>
      <w:r w:rsidRPr="00346413">
        <w:rPr>
          <w:rFonts w:hint="cs"/>
          <w:rtl/>
        </w:rPr>
        <w:t>"</w:t>
      </w:r>
      <w:r w:rsidRPr="00346413">
        <w:rPr>
          <w:rtl/>
        </w:rPr>
        <w:t>מחכה לביאתו</w:t>
      </w:r>
      <w:r w:rsidRPr="00346413">
        <w:rPr>
          <w:rFonts w:hint="cs"/>
          <w:rtl/>
        </w:rPr>
        <w:t>"</w:t>
      </w:r>
      <w:r w:rsidRPr="00346413">
        <w:rPr>
          <w:rtl/>
        </w:rPr>
        <w:t>.</w:t>
      </w:r>
    </w:p>
  </w:footnote>
  <w:footnote w:id="47">
    <w:p w:rsidR="004820B2" w:rsidRDefault="004820B2" w:rsidP="00DC59FD">
      <w:pPr>
        <w:pStyle w:val="FootnoteText"/>
        <w:rPr>
          <w:rtl/>
        </w:rPr>
      </w:pPr>
      <w:r w:rsidRPr="00346413">
        <w:footnoteRef/>
      </w:r>
      <w:r>
        <w:rPr>
          <w:rFonts w:hint="cs"/>
          <w:rtl/>
        </w:rPr>
        <w:t xml:space="preserve">) ראה מצו"צ על שמואל א ד, יג. ישעי' סד, ג. דניאל יב, יב. ובכ"מ. ס' העיקרים מאמר ד' פמ"ז ואילך. סוד"ה כי ידעתיו ורד"ה ואברהם זקן, תרס"ו. לקו"ש חכ"ח ע' 136. ועוד. </w:t>
      </w:r>
    </w:p>
  </w:footnote>
  <w:footnote w:id="48">
    <w:p w:rsidR="004820B2" w:rsidRPr="004E2E42" w:rsidRDefault="004820B2" w:rsidP="00DC59FD">
      <w:pPr>
        <w:pStyle w:val="FootnoteText"/>
        <w:rPr>
          <w:rtl/>
        </w:rPr>
      </w:pPr>
      <w:r w:rsidRPr="00346413">
        <w:footnoteRef/>
      </w:r>
      <w:r>
        <w:rPr>
          <w:rFonts w:hint="cs"/>
          <w:rtl/>
        </w:rPr>
        <w:t>) ולהעיר גם מתשובות ר"א בן הרמב"ם סי' צ"ד.</w:t>
      </w:r>
    </w:p>
  </w:footnote>
  <w:footnote w:id="49">
    <w:p w:rsidR="004820B2" w:rsidRDefault="004820B2" w:rsidP="00DC59FD">
      <w:pPr>
        <w:pStyle w:val="FootnoteText"/>
        <w:rPr>
          <w:rtl/>
        </w:rPr>
      </w:pPr>
      <w:r w:rsidRPr="00346413">
        <w:footnoteRef/>
      </w:r>
      <w:r>
        <w:rPr>
          <w:rFonts w:hint="cs"/>
          <w:rtl/>
        </w:rPr>
        <w:t>) ולהעיר מזה שבדבר שאינו מצוי לא גזרו בו חז"ל.</w:t>
      </w:r>
    </w:p>
  </w:footnote>
  <w:footnote w:id="50">
    <w:p w:rsidR="004820B2" w:rsidRDefault="004820B2" w:rsidP="00DC59FD">
      <w:pPr>
        <w:pStyle w:val="FootnoteText"/>
        <w:rPr>
          <w:rtl/>
        </w:rPr>
      </w:pPr>
      <w:r w:rsidRPr="00346413">
        <w:footnoteRef/>
      </w:r>
      <w:r>
        <w:rPr>
          <w:rFonts w:hint="cs"/>
          <w:rtl/>
        </w:rPr>
        <w:t>) שער היסודות פ"נ.</w:t>
      </w:r>
    </w:p>
  </w:footnote>
  <w:footnote w:id="51">
    <w:p w:rsidR="004820B2" w:rsidRDefault="004820B2" w:rsidP="00DC59FD">
      <w:pPr>
        <w:pStyle w:val="FootnoteText"/>
        <w:rPr>
          <w:rtl/>
        </w:rPr>
      </w:pPr>
      <w:r w:rsidRPr="00346413">
        <w:footnoteRef/>
      </w:r>
      <w:r>
        <w:rPr>
          <w:rFonts w:hint="cs"/>
          <w:rtl/>
        </w:rPr>
        <w:t>) חבקוק שם.</w:t>
      </w:r>
    </w:p>
  </w:footnote>
  <w:footnote w:id="52">
    <w:p w:rsidR="004820B2" w:rsidRPr="00FB0F16" w:rsidRDefault="004820B2" w:rsidP="00DC59FD">
      <w:pPr>
        <w:pStyle w:val="FootnoteText"/>
        <w:rPr>
          <w:rtl/>
        </w:rPr>
      </w:pPr>
      <w:r w:rsidRPr="00346413">
        <w:footnoteRef/>
      </w:r>
      <w:r>
        <w:rPr>
          <w:rFonts w:hint="cs"/>
          <w:rtl/>
        </w:rPr>
        <w:t>) וראה עד"ז בפי' מהר"י קורקוס על הלכות ביאת מקדש פ"א ה"ז.</w:t>
      </w:r>
    </w:p>
  </w:footnote>
  <w:footnote w:id="53">
    <w:p w:rsidR="004820B2" w:rsidRDefault="004820B2" w:rsidP="00DC59FD">
      <w:pPr>
        <w:pStyle w:val="FootnoteText"/>
        <w:rPr>
          <w:rtl/>
        </w:rPr>
      </w:pPr>
      <w:r w:rsidRPr="00346413">
        <w:footnoteRef/>
      </w:r>
      <w:r>
        <w:rPr>
          <w:rFonts w:hint="cs"/>
          <w:rtl/>
        </w:rPr>
        <w:t>) וראה גם בס' פלא יועץ ערך צפוי "בכל יום ויום מתקרב הגאולה".</w:t>
      </w:r>
    </w:p>
  </w:footnote>
  <w:footnote w:id="54">
    <w:p w:rsidR="004820B2" w:rsidRDefault="004820B2" w:rsidP="00DC59FD">
      <w:pPr>
        <w:pStyle w:val="FootnoteText"/>
      </w:pPr>
      <w:r w:rsidRPr="00346413">
        <w:footnoteRef/>
      </w:r>
      <w:r>
        <w:rPr>
          <w:rFonts w:hint="cs"/>
          <w:rtl/>
        </w:rPr>
        <w:t xml:space="preserve">) וראה ג"כ כעין דבריו באמונות ודיעות להרס"ג, מאמר שמיני, קרוב לתחלתו, בהוצאת קאפח: </w:t>
      </w:r>
      <w:r w:rsidRPr="00346413">
        <w:rPr>
          <w:rtl/>
        </w:rPr>
        <w:t>ולפיכך אתה מוצא אותנו מייחלים לו ומצפים, לא מפקפקים ולא קצים, ולא תקצר רוחנו, אלא מוסיפים אומץ ודבקות. כאומרו</w:t>
      </w:r>
    </w:p>
    <w:p w:rsidR="004820B2" w:rsidRPr="00AF0919" w:rsidRDefault="004820B2" w:rsidP="00346413">
      <w:pPr>
        <w:pStyle w:val="FootnoteText"/>
        <w:rPr>
          <w:rtl/>
        </w:rPr>
      </w:pPr>
      <w:r w:rsidRPr="00346413">
        <w:rPr>
          <w:rtl/>
        </w:rPr>
        <w:t>חזקו ויאמץ לבבכם כל המיחלים לה</w:t>
      </w:r>
      <w:r w:rsidRPr="00346413">
        <w:rPr>
          <w:rFonts w:hint="cs"/>
          <w:rtl/>
        </w:rPr>
        <w:t>'.</w:t>
      </w:r>
      <w:r>
        <w:rPr>
          <w:rFonts w:hint="cs"/>
          <w:rtl/>
        </w:rPr>
        <w:t xml:space="preserve"> </w:t>
      </w:r>
    </w:p>
  </w:footnote>
  <w:footnote w:id="55">
    <w:p w:rsidR="004820B2" w:rsidRPr="005D5E15" w:rsidRDefault="004820B2" w:rsidP="00DC59FD">
      <w:pPr>
        <w:pStyle w:val="FootnoteText"/>
        <w:rPr>
          <w:rtl/>
        </w:rPr>
      </w:pPr>
      <w:r w:rsidRPr="00346413">
        <w:footnoteRef/>
      </w:r>
      <w:r>
        <w:rPr>
          <w:rFonts w:hint="cs"/>
          <w:rtl/>
        </w:rPr>
        <w:t>) בפשטות אפשר לפרש דבריו, שאע"פ שיוסיף להתאחר, מ"מ אל תתייאשו ותוסיפו ותעמיקן תקותכם בביאת המשיח, באופן שלא תתייאש גם מאורך הזמן. וע"ד המבואר בכ"מ (ראה מדרש תהלים (מהדורת בובר) מזמור מ' בתחלתו, וראה גם ברכות לב, ב, רש"י על תהלים קל, ו) "תקוה אחר תקוה, חזק ויאמץ לבך, אם קויתם ולא נושעתם, קיווי ושובו וקיווי". אמנם נראה שיש לפרש דבריו גם ע"פ דברי המבי"ט.</w:t>
      </w:r>
    </w:p>
  </w:footnote>
  <w:footnote w:id="56">
    <w:p w:rsidR="004820B2" w:rsidRDefault="004820B2" w:rsidP="00DC59FD">
      <w:pPr>
        <w:pStyle w:val="FootnoteText"/>
        <w:rPr>
          <w:rtl/>
        </w:rPr>
      </w:pPr>
      <w:r w:rsidRPr="00346413">
        <w:footnoteRef/>
      </w:r>
      <w:r>
        <w:rPr>
          <w:rFonts w:hint="cs"/>
          <w:rtl/>
        </w:rPr>
        <w:t>) יסוד להנתבאר בפנים מבואר בס' העיקרים מאמר ד' פמ"ז, ע"ש.</w:t>
      </w:r>
    </w:p>
  </w:footnote>
  <w:footnote w:id="57">
    <w:p w:rsidR="004820B2" w:rsidRPr="00346413" w:rsidRDefault="004820B2" w:rsidP="00DC59FD">
      <w:pPr>
        <w:pStyle w:val="FootnoteText"/>
        <w:rPr>
          <w:rtl/>
        </w:rPr>
      </w:pPr>
      <w:r w:rsidRPr="00346413">
        <w:footnoteRef/>
      </w:r>
      <w:r>
        <w:rPr>
          <w:rFonts w:hint="cs"/>
          <w:rtl/>
        </w:rPr>
        <w:t>) יש גם עוד משל שנתפרסם על זה, שיסודו מספר אהבת מישרים ע' קכא, "</w:t>
      </w:r>
      <w:r w:rsidRPr="00346413">
        <w:rPr>
          <w:rtl/>
        </w:rPr>
        <w:t>ונאמר למשל</w:t>
      </w:r>
      <w:r w:rsidRPr="00346413">
        <w:rPr>
          <w:rFonts w:hint="cs"/>
          <w:rtl/>
        </w:rPr>
        <w:t>,</w:t>
      </w:r>
      <w:r w:rsidRPr="00346413">
        <w:rPr>
          <w:rtl/>
        </w:rPr>
        <w:t xml:space="preserve"> אם יתערב שטר אחד שויו אלפי זהובים בין שטרות הרבה שאי</w:t>
      </w:r>
      <w:r w:rsidRPr="00346413">
        <w:rPr>
          <w:rFonts w:hint="cs"/>
          <w:rtl/>
        </w:rPr>
        <w:t>ן</w:t>
      </w:r>
      <w:r w:rsidRPr="00346413">
        <w:rPr>
          <w:rtl/>
        </w:rPr>
        <w:t xml:space="preserve"> שוים מאומה</w:t>
      </w:r>
      <w:r w:rsidRPr="00346413">
        <w:rPr>
          <w:rFonts w:hint="cs"/>
          <w:rtl/>
        </w:rPr>
        <w:t>,</w:t>
      </w:r>
      <w:r w:rsidRPr="00346413">
        <w:rPr>
          <w:rtl/>
        </w:rPr>
        <w:t xml:space="preserve"> ואנח</w:t>
      </w:r>
      <w:r w:rsidRPr="00346413">
        <w:rPr>
          <w:rFonts w:hint="cs"/>
          <w:rtl/>
        </w:rPr>
        <w:t>נו</w:t>
      </w:r>
      <w:r w:rsidRPr="00346413">
        <w:rPr>
          <w:rtl/>
        </w:rPr>
        <w:t xml:space="preserve"> נחפש אחרי השטר היקר מפני ידיעתנו שהוא נמצא בודאי ביניהם</w:t>
      </w:r>
      <w:r w:rsidRPr="00346413">
        <w:rPr>
          <w:rFonts w:hint="cs"/>
          <w:rtl/>
        </w:rPr>
        <w:t>,</w:t>
      </w:r>
      <w:r w:rsidRPr="00346413">
        <w:rPr>
          <w:rtl/>
        </w:rPr>
        <w:t xml:space="preserve"> והנה כבר עלו בידנו אלפי שטרות ועוד לא מצא</w:t>
      </w:r>
      <w:r w:rsidRPr="00346413">
        <w:rPr>
          <w:rFonts w:hint="cs"/>
          <w:rtl/>
        </w:rPr>
        <w:t>נו</w:t>
      </w:r>
      <w:r w:rsidRPr="00346413">
        <w:rPr>
          <w:rtl/>
        </w:rPr>
        <w:t xml:space="preserve"> השטר אשר אנו מחפשים אחריו</w:t>
      </w:r>
      <w:r w:rsidRPr="00346413">
        <w:rPr>
          <w:rFonts w:hint="cs"/>
          <w:rtl/>
        </w:rPr>
        <w:t>,</w:t>
      </w:r>
      <w:r w:rsidRPr="00346413">
        <w:rPr>
          <w:rtl/>
        </w:rPr>
        <w:t xml:space="preserve"> היתכן ש</w:t>
      </w:r>
      <w:r w:rsidRPr="00346413">
        <w:rPr>
          <w:rFonts w:hint="cs"/>
          <w:rtl/>
        </w:rPr>
        <w:t>נ</w:t>
      </w:r>
      <w:r w:rsidRPr="00346413">
        <w:rPr>
          <w:rtl/>
        </w:rPr>
        <w:t>חדול מלחפש ונאמר</w:t>
      </w:r>
      <w:r w:rsidRPr="00346413">
        <w:rPr>
          <w:rFonts w:hint="cs"/>
          <w:rtl/>
        </w:rPr>
        <w:t>,</w:t>
      </w:r>
      <w:r w:rsidRPr="00346413">
        <w:rPr>
          <w:rtl/>
        </w:rPr>
        <w:t xml:space="preserve"> כי בודאי לא ימצא עוד</w:t>
      </w:r>
      <w:r w:rsidRPr="00346413">
        <w:rPr>
          <w:rFonts w:hint="cs"/>
          <w:rtl/>
        </w:rPr>
        <w:t>,</w:t>
      </w:r>
      <w:r w:rsidRPr="00346413">
        <w:rPr>
          <w:rtl/>
        </w:rPr>
        <w:t xml:space="preserve"> מאחר שכבר עלו ביד</w:t>
      </w:r>
      <w:r w:rsidRPr="00346413">
        <w:rPr>
          <w:rFonts w:hint="cs"/>
          <w:rtl/>
        </w:rPr>
        <w:t>נו</w:t>
      </w:r>
      <w:r w:rsidRPr="00346413">
        <w:rPr>
          <w:rtl/>
        </w:rPr>
        <w:t xml:space="preserve"> מאות אלפים שטרות ולא נמצא בי</w:t>
      </w:r>
      <w:r w:rsidRPr="00346413">
        <w:rPr>
          <w:rFonts w:hint="cs"/>
          <w:rtl/>
        </w:rPr>
        <w:t>נ</w:t>
      </w:r>
      <w:r w:rsidRPr="00346413">
        <w:rPr>
          <w:rtl/>
        </w:rPr>
        <w:t>יהם</w:t>
      </w:r>
      <w:r w:rsidRPr="00346413">
        <w:rPr>
          <w:rFonts w:hint="cs"/>
          <w:rtl/>
        </w:rPr>
        <w:t>,</w:t>
      </w:r>
      <w:r w:rsidRPr="00346413">
        <w:rPr>
          <w:rtl/>
        </w:rPr>
        <w:t xml:space="preserve"> הלא להיפוך כל מה שיעלו בידנו מהשטרות </w:t>
      </w:r>
      <w:r w:rsidRPr="00346413">
        <w:rPr>
          <w:rFonts w:hint="cs"/>
          <w:rtl/>
        </w:rPr>
        <w:t>ה</w:t>
      </w:r>
      <w:r w:rsidRPr="00346413">
        <w:rPr>
          <w:rtl/>
        </w:rPr>
        <w:t>בלתי שוים וימעט מספרם יקרב קץ עבודתנו ונמצאהו בודאי</w:t>
      </w:r>
      <w:r w:rsidRPr="00346413">
        <w:rPr>
          <w:rFonts w:hint="cs"/>
          <w:rtl/>
        </w:rPr>
        <w:t>,</w:t>
      </w:r>
      <w:r w:rsidRPr="00346413">
        <w:rPr>
          <w:rtl/>
        </w:rPr>
        <w:t xml:space="preserve"> אחרי ידיעתם שהוא נתערב עיניהם</w:t>
      </w:r>
      <w:r w:rsidRPr="00346413">
        <w:rPr>
          <w:rFonts w:hint="cs"/>
          <w:rtl/>
        </w:rPr>
        <w:t>.</w:t>
      </w:r>
      <w:r w:rsidRPr="00346413">
        <w:rPr>
          <w:rtl/>
        </w:rPr>
        <w:t xml:space="preserve"> האם משונה ענין משיח</w:t>
      </w:r>
      <w:r w:rsidRPr="00346413">
        <w:rPr>
          <w:rFonts w:hint="cs"/>
          <w:rtl/>
        </w:rPr>
        <w:t>נו</w:t>
      </w:r>
      <w:r w:rsidRPr="00346413">
        <w:rPr>
          <w:rtl/>
        </w:rPr>
        <w:t xml:space="preserve"> מזה</w:t>
      </w:r>
      <w:r w:rsidRPr="00346413">
        <w:rPr>
          <w:rFonts w:hint="cs"/>
          <w:rtl/>
        </w:rPr>
        <w:t>,</w:t>
      </w:r>
      <w:r w:rsidRPr="00346413">
        <w:rPr>
          <w:rtl/>
        </w:rPr>
        <w:t xml:space="preserve"> כי נדע ברור שהיום</w:t>
      </w:r>
      <w:r w:rsidRPr="00346413">
        <w:rPr>
          <w:rFonts w:hint="cs"/>
          <w:rtl/>
        </w:rPr>
        <w:t xml:space="preserve"> </w:t>
      </w:r>
      <w:r w:rsidRPr="00346413">
        <w:rPr>
          <w:rtl/>
        </w:rPr>
        <w:t>ההוא הוא בנמצא וישנו כבר ואנחם מחפשים אחרי</w:t>
      </w:r>
      <w:r w:rsidRPr="00346413">
        <w:rPr>
          <w:rFonts w:hint="cs"/>
          <w:rtl/>
        </w:rPr>
        <w:t>ו,</w:t>
      </w:r>
      <w:r w:rsidRPr="00346413">
        <w:rPr>
          <w:rtl/>
        </w:rPr>
        <w:t xml:space="preserve"> והדבר להיפוך כל מה שיעברו ימים עוד יותר יתקרב קץ תקותנו ונדע כי בוא יבוא היום הזה שאנחנו מקוים עליו בלי ספק</w:t>
      </w:r>
      <w:r w:rsidRPr="00346413">
        <w:rPr>
          <w:rFonts w:hint="cs"/>
          <w:rtl/>
        </w:rPr>
        <w:t>,</w:t>
      </w:r>
      <w:r w:rsidRPr="00346413">
        <w:rPr>
          <w:rtl/>
        </w:rPr>
        <w:t xml:space="preserve"> וכל י</w:t>
      </w:r>
      <w:r w:rsidRPr="00346413">
        <w:rPr>
          <w:rFonts w:hint="cs"/>
          <w:rtl/>
        </w:rPr>
        <w:t>ום</w:t>
      </w:r>
      <w:r w:rsidRPr="00346413">
        <w:rPr>
          <w:rtl/>
        </w:rPr>
        <w:t xml:space="preserve"> שיעבור נדע כי לא היה היום אשר בוא יבו</w:t>
      </w:r>
      <w:r w:rsidRPr="00346413">
        <w:rPr>
          <w:rFonts w:hint="cs"/>
          <w:rtl/>
        </w:rPr>
        <w:t>א,</w:t>
      </w:r>
      <w:r w:rsidRPr="00346413">
        <w:rPr>
          <w:rtl/>
        </w:rPr>
        <w:t xml:space="preserve"> אבל על היום מחרת אי</w:t>
      </w:r>
      <w:r w:rsidRPr="00346413">
        <w:rPr>
          <w:rFonts w:hint="cs"/>
          <w:rtl/>
        </w:rPr>
        <w:t>ן</w:t>
      </w:r>
      <w:r w:rsidRPr="00346413">
        <w:rPr>
          <w:rtl/>
        </w:rPr>
        <w:t xml:space="preserve"> נגרע מערכו מאומה</w:t>
      </w:r>
      <w:r w:rsidRPr="00346413">
        <w:rPr>
          <w:rFonts w:hint="cs"/>
          <w:rtl/>
        </w:rPr>
        <w:t>".</w:t>
      </w:r>
    </w:p>
    <w:p w:rsidR="004820B2" w:rsidRPr="00346413" w:rsidRDefault="004820B2" w:rsidP="00346413">
      <w:pPr>
        <w:pStyle w:val="FootnoteText"/>
        <w:rPr>
          <w:rtl/>
        </w:rPr>
      </w:pPr>
      <w:r w:rsidRPr="00346413">
        <w:rPr>
          <w:rFonts w:hint="cs"/>
          <w:rtl/>
        </w:rPr>
        <w:t>והנה המעיין בדברי הספר הזה בפנים יראה, אשר המחבר, מתוך כוונה רצוי' לחזק ידים רפות בענין האמונה בביאת המשיח, המציא שיטה חדשה בענין האמונה בביאת המשיח, (ולאחריו נמשכו כמה מחברים בזמנינו), שהוא היפך כל דברי חז"ל וגדולי ישראל האמתיים, ה' יכפר בעדו, והוא בלשונו "</w:t>
      </w:r>
      <w:r w:rsidRPr="00346413">
        <w:rPr>
          <w:rtl/>
        </w:rPr>
        <w:t>בענין הגאולה העתידה</w:t>
      </w:r>
      <w:r w:rsidRPr="00346413">
        <w:rPr>
          <w:rFonts w:hint="cs"/>
          <w:rtl/>
        </w:rPr>
        <w:t>,</w:t>
      </w:r>
      <w:r w:rsidRPr="00346413">
        <w:rPr>
          <w:rtl/>
        </w:rPr>
        <w:t xml:space="preserve"> כי לא בכל יום ויום ראויה להיות הישועה הגדולה אשר נחכה עלי</w:t>
      </w:r>
      <w:r w:rsidRPr="00346413">
        <w:rPr>
          <w:rFonts w:hint="cs"/>
          <w:rtl/>
        </w:rPr>
        <w:t>',</w:t>
      </w:r>
      <w:r w:rsidRPr="00346413">
        <w:rPr>
          <w:rtl/>
        </w:rPr>
        <w:t xml:space="preserve"> כמו שכתוב בנביא מיכה </w:t>
      </w:r>
      <w:r w:rsidRPr="00346413">
        <w:rPr>
          <w:rFonts w:hint="cs"/>
          <w:rtl/>
        </w:rPr>
        <w:t>(ז, יב) "</w:t>
      </w:r>
      <w:r w:rsidRPr="00346413">
        <w:rPr>
          <w:rtl/>
        </w:rPr>
        <w:t>יום הוא ועדיך יבוא</w:t>
      </w:r>
      <w:r w:rsidRPr="00346413">
        <w:rPr>
          <w:rFonts w:hint="cs"/>
          <w:rtl/>
        </w:rPr>
        <w:t>",</w:t>
      </w:r>
      <w:r w:rsidRPr="00346413">
        <w:rPr>
          <w:rtl/>
        </w:rPr>
        <w:t xml:space="preserve"> כי יש יום מיוחד אך מ</w:t>
      </w:r>
      <w:r w:rsidRPr="00346413">
        <w:rPr>
          <w:rFonts w:hint="cs"/>
          <w:rtl/>
        </w:rPr>
        <w:t>כ</w:t>
      </w:r>
      <w:r w:rsidRPr="00346413">
        <w:rPr>
          <w:rtl/>
        </w:rPr>
        <w:t>ו</w:t>
      </w:r>
      <w:r w:rsidRPr="00346413">
        <w:rPr>
          <w:rFonts w:hint="cs"/>
          <w:rtl/>
        </w:rPr>
        <w:t>ס</w:t>
      </w:r>
      <w:r w:rsidRPr="00346413">
        <w:rPr>
          <w:rtl/>
        </w:rPr>
        <w:t>ה מכל אדם</w:t>
      </w:r>
      <w:r w:rsidRPr="00346413">
        <w:rPr>
          <w:rFonts w:hint="cs"/>
          <w:rtl/>
        </w:rPr>
        <w:t>,</w:t>
      </w:r>
      <w:r w:rsidRPr="00346413">
        <w:rPr>
          <w:rtl/>
        </w:rPr>
        <w:t xml:space="preserve"> והנה א</w:t>
      </w:r>
      <w:r w:rsidRPr="00346413">
        <w:rPr>
          <w:rFonts w:hint="cs"/>
          <w:rtl/>
        </w:rPr>
        <w:t>נ</w:t>
      </w:r>
      <w:r w:rsidRPr="00346413">
        <w:rPr>
          <w:rtl/>
        </w:rPr>
        <w:t>חנו מחכים בכל יום לא מפני שראוי להיות זאת בכל יום</w:t>
      </w:r>
      <w:r w:rsidRPr="00346413">
        <w:rPr>
          <w:rFonts w:hint="cs"/>
          <w:rtl/>
        </w:rPr>
        <w:t>,</w:t>
      </w:r>
      <w:r w:rsidRPr="00346413">
        <w:rPr>
          <w:rtl/>
        </w:rPr>
        <w:t xml:space="preserve"> כי אם מחויבים אנהם לחכות בכל יום מפני שלא נדע איזה יום הוא</w:t>
      </w:r>
      <w:r w:rsidRPr="00346413">
        <w:rPr>
          <w:rFonts w:hint="cs"/>
          <w:rtl/>
        </w:rPr>
        <w:t>,</w:t>
      </w:r>
      <w:r w:rsidRPr="00346413">
        <w:rPr>
          <w:rtl/>
        </w:rPr>
        <w:t xml:space="preserve"> והנה כי היום ההוא בא יבוא בלי ספק שבעולם</w:t>
      </w:r>
      <w:r w:rsidRPr="00346413">
        <w:rPr>
          <w:rFonts w:hint="cs"/>
          <w:rtl/>
        </w:rPr>
        <w:t>,</w:t>
      </w:r>
      <w:r w:rsidRPr="00346413">
        <w:rPr>
          <w:rtl/>
        </w:rPr>
        <w:t xml:space="preserve"> ומפני אי</w:t>
      </w:r>
      <w:r w:rsidRPr="00346413">
        <w:rPr>
          <w:rFonts w:hint="cs"/>
          <w:rtl/>
        </w:rPr>
        <w:t xml:space="preserve"> </w:t>
      </w:r>
      <w:r w:rsidRPr="00346413">
        <w:rPr>
          <w:rtl/>
        </w:rPr>
        <w:t>איזה הוא כי בא יבוא בלי ספק שבעולם</w:t>
      </w:r>
      <w:r w:rsidRPr="00346413">
        <w:rPr>
          <w:rFonts w:hint="cs"/>
          <w:rtl/>
        </w:rPr>
        <w:t>,</w:t>
      </w:r>
      <w:r w:rsidRPr="00346413">
        <w:rPr>
          <w:rtl/>
        </w:rPr>
        <w:t xml:space="preserve"> ומפני אי ידיעתנו עלינו לקות בכל יום אולי היום הזה הוא היום</w:t>
      </w:r>
      <w:r w:rsidRPr="00346413">
        <w:rPr>
          <w:rFonts w:hint="cs"/>
          <w:rtl/>
        </w:rPr>
        <w:t>...".</w:t>
      </w:r>
    </w:p>
    <w:p w:rsidR="004820B2" w:rsidRPr="00346413" w:rsidRDefault="004820B2" w:rsidP="00346413">
      <w:pPr>
        <w:pStyle w:val="FootnoteText"/>
        <w:rPr>
          <w:rtl/>
        </w:rPr>
      </w:pPr>
      <w:r w:rsidRPr="00346413">
        <w:rPr>
          <w:rFonts w:hint="cs"/>
          <w:rtl/>
        </w:rPr>
        <w:t>וענין זה מודגש גם בהמשל שהמציא, שהניירות הקודמים באמת היו בלתי שוים, ורק השטר היקר הוא מחפש. ועד"ז בנמשל, שבאמת נתגלה למפרע שכל הימים שבהם חכינו לביאת המשיח לא היו ראויים לביאת המשיח ח"ו.</w:t>
      </w:r>
    </w:p>
    <w:p w:rsidR="004820B2" w:rsidRDefault="004820B2" w:rsidP="00346413">
      <w:pPr>
        <w:pStyle w:val="FootnoteText"/>
        <w:rPr>
          <w:rtl/>
        </w:rPr>
      </w:pPr>
      <w:r w:rsidRPr="00346413">
        <w:rPr>
          <w:rFonts w:hint="cs"/>
          <w:rtl/>
        </w:rPr>
        <w:t>ויסוד ועיקר שורש טעותו, הוא מפני שחשב שכל הצפי' לביאת המשיח הוא רק להזמן ד"בעתה", שזמן זה - (עכ"פ לכמה דיעות, אע"פ שאין זה פשוט כלל, ראה לדוגמא שערי אורה לאדמו"ר האמצעי ד"ה יביאו לבוש מלכות פצ"ד, שם עולם להחפץ חיים שער ההתחזקות פי"ג, ומבואר בכמה ספרים שכבר הגיע הזמן של בעתה לפני הרבה שנים כידוע מהאריז"ל וכו', ואכ"מ) - הוא קבוע. וכל יום הוא רק ספק אם הוא אותו היום. אבל באמת לפי המבואר בכל הספרים החל מהגמרא והזוהר וכו' וכל ספרי גדולי ישראל האמתיים, מבואר אשר כל יום ראוי ואנו מצפים בו לביאת המשיח, לא (רק) מצד הענין ד"בעתה" (ששמא היום הוא הזמן של בעתה), אלא מצד הענין ד"אחישנה", כי דבר זה תלוי בעבודת בני ישראל, (ראה לדוגמא זח"א קמ, א. רד"ק על ישעי' מג, יט ד"ה עתה תצמח). והזמן של "בעתה" אינו הזמן ה"לכתחילה" של ביאת המשיח, אלא הזמן של "בדיעבד", דהיינו קץ היותר אחרון. ואדרבה כל יום ויום ממשיכים יותר אור הגאולה בעולם כמו שמבואר בכו"כ ספרים. וע"ע בס' עוד יוסף חי (לבעל הבן איש חי) על פרשת במדבר, שעיקר צפייתינו ותפלתינו על הגאולה העתידה, היא על הגאולה דאחישנה, לא על הגאולה דבעתה. וראה עד"ז בס' מגדל עז (להר"י מונדשיין) ע' תקב. וכמה יסודות צריך לבאר בזה בכדי לברר טעותו וטעות הנמשכים אחריו ואין הזמן גרמא וכבר ארכה היריעה.</w:t>
      </w:r>
    </w:p>
  </w:footnote>
  <w:footnote w:id="58">
    <w:p w:rsidR="004820B2" w:rsidRPr="00735812" w:rsidRDefault="004820B2" w:rsidP="00DC59FD">
      <w:pPr>
        <w:pStyle w:val="FootnoteText"/>
        <w:rPr>
          <w:rtl/>
        </w:rPr>
      </w:pPr>
      <w:r w:rsidRPr="00346413">
        <w:footnoteRef/>
      </w:r>
      <w:r>
        <w:rPr>
          <w:rFonts w:hint="cs"/>
          <w:rtl/>
        </w:rPr>
        <w:t xml:space="preserve">) ראה בכל זה: </w:t>
      </w:r>
      <w:r w:rsidRPr="00346413">
        <w:rPr>
          <w:rtl/>
        </w:rPr>
        <w:t>בית אלקים להמבי"ט שער התפילה פי"ז.</w:t>
      </w:r>
      <w:r w:rsidRPr="00346413">
        <w:rPr>
          <w:rFonts w:hint="cs"/>
          <w:rtl/>
        </w:rPr>
        <w:t xml:space="preserve"> </w:t>
      </w:r>
      <w:r w:rsidRPr="00346413">
        <w:rPr>
          <w:rtl/>
        </w:rPr>
        <w:t>לקוטי הגהות לתניא על אגה"ק סי"ד</w:t>
      </w:r>
      <w:r w:rsidRPr="00346413">
        <w:rPr>
          <w:rFonts w:hint="cs"/>
          <w:rtl/>
        </w:rPr>
        <w:t xml:space="preserve"> (ע' קכט)</w:t>
      </w:r>
      <w:r w:rsidRPr="00346413">
        <w:rPr>
          <w:rtl/>
        </w:rPr>
        <w:t>.</w:t>
      </w:r>
      <w:r w:rsidRPr="00346413">
        <w:rPr>
          <w:rFonts w:hint="cs"/>
          <w:rtl/>
        </w:rPr>
        <w:t xml:space="preserve"> </w:t>
      </w:r>
      <w:r w:rsidRPr="00346413">
        <w:rPr>
          <w:rtl/>
        </w:rPr>
        <w:t xml:space="preserve">לקו"ש ח"א ע' 247. </w:t>
      </w:r>
      <w:r w:rsidRPr="00346413">
        <w:rPr>
          <w:rFonts w:hint="cs"/>
          <w:rtl/>
        </w:rPr>
        <w:t>חכ"ז ע' 363 הערה ד"ה נעשה.</w:t>
      </w:r>
      <w:r w:rsidRPr="00135F16">
        <w:rPr>
          <w:rtl/>
        </w:rPr>
        <w:t xml:space="preserve"> </w:t>
      </w:r>
      <w:r w:rsidRPr="00346413">
        <w:rPr>
          <w:rtl/>
        </w:rPr>
        <w:t xml:space="preserve">ד"ה כימי צאתך תשל"ט ס"ג ואילך. </w:t>
      </w:r>
      <w:r w:rsidRPr="00346413">
        <w:rPr>
          <w:rFonts w:hint="cs"/>
          <w:rtl/>
        </w:rPr>
        <w:t xml:space="preserve">סה"ש תש"נ ח"ב ע' 510 הערה 61. </w:t>
      </w:r>
      <w:r w:rsidRPr="00346413">
        <w:rPr>
          <w:rtl/>
        </w:rPr>
        <w:t>תורת מנחם תשכ"ז ח"א ע' 112. תשמ"ב ח"ג ע' 1291. תשד"מ ח"ב ע' 816 ואילך.</w:t>
      </w:r>
      <w:r w:rsidRPr="00346413">
        <w:rPr>
          <w:rFonts w:hint="cs"/>
          <w:rtl/>
        </w:rPr>
        <w:t xml:space="preserve"> </w:t>
      </w:r>
      <w:r w:rsidRPr="00346413">
        <w:rPr>
          <w:rtl/>
        </w:rPr>
        <w:t>ולהעיר מד"ה אני לדודי תשי"ב בסופו.</w:t>
      </w:r>
      <w:r>
        <w:rPr>
          <w:rFonts w:hint="cs"/>
          <w:rtl/>
        </w:rPr>
        <w:t xml:space="preserve"> </w:t>
      </w:r>
    </w:p>
  </w:footnote>
  <w:footnote w:id="59">
    <w:p w:rsidR="004820B2" w:rsidRDefault="004820B2" w:rsidP="00DC59FD">
      <w:pPr>
        <w:pStyle w:val="FootnoteText"/>
        <w:rPr>
          <w:rtl/>
        </w:rPr>
      </w:pPr>
      <w:r w:rsidRPr="00346413">
        <w:footnoteRef/>
      </w:r>
      <w:r>
        <w:rPr>
          <w:rFonts w:hint="cs"/>
          <w:rtl/>
        </w:rPr>
        <w:t xml:space="preserve">) ראה תורת מנחם תשמ"ז ח"ב ע' 620.  </w:t>
      </w:r>
    </w:p>
  </w:footnote>
  <w:footnote w:id="60">
    <w:p w:rsidR="004820B2" w:rsidRPr="00C72B79" w:rsidRDefault="004820B2" w:rsidP="00346413">
      <w:pPr>
        <w:pStyle w:val="FootnoteText"/>
        <w:rPr>
          <w:rtl/>
        </w:rPr>
      </w:pPr>
      <w:r w:rsidRPr="00346413">
        <w:footnoteRef/>
      </w:r>
      <w:r>
        <w:rPr>
          <w:rFonts w:hint="cs"/>
          <w:rtl/>
        </w:rPr>
        <w:t xml:space="preserve">) </w:t>
      </w:r>
      <w:r>
        <w:t xml:space="preserve"> </w:t>
      </w:r>
      <w:r>
        <w:rPr>
          <w:rFonts w:hint="cs"/>
          <w:rtl/>
        </w:rPr>
        <w:t xml:space="preserve">ראה לקו"ש ח"כ ע' 520. סה"ש תשנ"א ח"ב ע' 712. שם אהרן (לבעל המשמרת שלום מקודנוב) בתחלתו. ארץ צבי על התורה פ' אחרי מות בתחלתו. מגדל עז (להר"י מונדשיין) ע' תקח ואילך. וע"ע שיחות קודש תש"מ ח"ג ע' 720 בארוכה. תורת מנחם תשד"מ ח"ב ע' 818. שם ח"ד ע' 2213. תשמ"ה ח"ה ע' 2622. </w:t>
      </w:r>
    </w:p>
  </w:footnote>
  <w:footnote w:id="61">
    <w:p w:rsidR="004820B2" w:rsidRPr="00DB4893" w:rsidRDefault="004820B2" w:rsidP="00DC59FD">
      <w:pPr>
        <w:pStyle w:val="FootnoteText"/>
        <w:rPr>
          <w:rtl/>
        </w:rPr>
      </w:pPr>
      <w:r w:rsidRPr="00346413">
        <w:footnoteRef/>
      </w:r>
      <w:r>
        <w:rPr>
          <w:rFonts w:hint="cs"/>
          <w:rtl/>
        </w:rPr>
        <w:t xml:space="preserve">) ראה לקו"ש ח"ו ע' 80 ובהערה 70. ד"ה ביום השמיני נשיא תשמ"ו, ס"ז. ובכ"מ. </w:t>
      </w:r>
    </w:p>
  </w:footnote>
  <w:footnote w:id="62">
    <w:p w:rsidR="004820B2" w:rsidRDefault="004820B2" w:rsidP="00DC59FD">
      <w:pPr>
        <w:pStyle w:val="FootnoteText"/>
        <w:rPr>
          <w:rtl/>
        </w:rPr>
      </w:pPr>
      <w:r w:rsidRPr="00346413">
        <w:footnoteRef/>
      </w:r>
      <w:r>
        <w:rPr>
          <w:rFonts w:hint="cs"/>
          <w:rtl/>
        </w:rPr>
        <w:t>) וכבר הקשה כן על רש"י במהר"י קורקוס שם.</w:t>
      </w:r>
    </w:p>
  </w:footnote>
  <w:footnote w:id="63">
    <w:p w:rsidR="004820B2" w:rsidRPr="00FD7860" w:rsidRDefault="004820B2" w:rsidP="00DC59FD">
      <w:pPr>
        <w:pStyle w:val="FootnoteText"/>
        <w:rPr>
          <w:rtl/>
        </w:rPr>
      </w:pPr>
      <w:r w:rsidRPr="00346413">
        <w:footnoteRef/>
      </w:r>
      <w:r>
        <w:rPr>
          <w:rFonts w:hint="cs"/>
          <w:rtl/>
        </w:rPr>
        <w:t>) ומענין לענין יש להעיר: ידוע מה שמבואר בלקו"ש ח"ב ע' 618, להביא ראי' על מהירות הזמן שבו יוכל לבוא משיח, מהדיעה במס' תענית שם, שכהן אסור לשתות רביעית יין בזמן הזה, מפני שמשיח יכול לבוא במשך הזמן לפני שיפיג יינו שהוא לכל היותר כ"ד דקות. וראיתי מקשים ע"ז שלכאו' מהשך הגמ' בע"ב שם, משמע שכל הדיון הוא רק על יותר מרביעית, ולא על רביעית. ותירצו בזה. ולכאו' יש להעיר מקרן אורה תענית יז, ב על תוס' ד"ה ויודע שבתי, שמשמע שם שלמסקנת הגמרא גם רביעית לבד אסור.</w:t>
      </w:r>
    </w:p>
  </w:footnote>
  <w:footnote w:id="64">
    <w:p w:rsidR="004820B2" w:rsidRDefault="004820B2" w:rsidP="00DC59FD">
      <w:pPr>
        <w:pStyle w:val="FootnoteText"/>
        <w:rPr>
          <w:rtl/>
        </w:rPr>
      </w:pPr>
      <w:r w:rsidRPr="00346413">
        <w:footnoteRef/>
      </w:r>
      <w:r>
        <w:rPr>
          <w:rFonts w:hint="cs"/>
          <w:rtl/>
        </w:rPr>
        <w:t xml:space="preserve">) </w:t>
      </w:r>
      <w:r w:rsidRPr="00346413">
        <w:rPr>
          <w:rtl/>
        </w:rPr>
        <w:t>ומה שכתב בשו"ת חת"ס חאו"ח סי' קל"ט קרוב לסופו בשיטת רבי לפי ביאור רש"י לענין הטלת מום בבכור, הנה לכל לראש ראה בשו"ת שלו יו"ד סי' של"ו קטע ד"ה ותו צלע"ג</w:t>
      </w:r>
      <w:r w:rsidRPr="00346413">
        <w:rPr>
          <w:rFonts w:hint="cs"/>
          <w:rtl/>
        </w:rPr>
        <w:t>, שלכאו' משמע להיפך</w:t>
      </w:r>
      <w:r w:rsidRPr="00346413">
        <w:rPr>
          <w:rtl/>
        </w:rPr>
        <w:t xml:space="preserve">. ועוד זאת, מהמבואר בשו"ת שלו יו"ד סי' שי"ח קטע המתחיל ונחזי, מבואר דמכיון שבהרגש בני אדם נתייאש מחמת אורך הזמן לכן הוי </w:t>
      </w:r>
      <w:r w:rsidRPr="00346413">
        <w:rPr>
          <w:rFonts w:hint="cs"/>
          <w:rtl/>
        </w:rPr>
        <w:t xml:space="preserve">(רק) </w:t>
      </w:r>
      <w:r w:rsidRPr="00346413">
        <w:rPr>
          <w:rtl/>
        </w:rPr>
        <w:t>"כמו" לא לגופי' חזי. ויש לבאר דבריו ע"ד המבואר בשיחות קודש תשמ"א ח"א ע' 76, עיי"ש. וראה גם בספרו חת"ס עה"ת פרשת ויחי עה"פ (שם מט, א) קטע ד"ה בקש. שו"ת יו"ד סי' קל"ח, לענין גאולה העתידה שכל יומא זמנה הוא</w:t>
      </w:r>
      <w:r w:rsidRPr="00346413">
        <w:rPr>
          <w:rFonts w:hint="cs"/>
          <w:rtl/>
        </w:rPr>
        <w:t>.</w:t>
      </w:r>
      <w:r w:rsidRPr="00FD7860">
        <w:t>.</w:t>
      </w:r>
    </w:p>
  </w:footnote>
  <w:footnote w:id="65">
    <w:p w:rsidR="004820B2" w:rsidRDefault="004820B2" w:rsidP="00DC59FD">
      <w:pPr>
        <w:pStyle w:val="FootnoteText"/>
      </w:pPr>
      <w:r w:rsidRPr="002A5F4C">
        <w:footnoteRef/>
      </w:r>
      <w:r>
        <w:rPr>
          <w:rFonts w:hint="cs"/>
          <w:rtl/>
        </w:rPr>
        <w:t xml:space="preserve">) </w:t>
      </w:r>
      <w:r w:rsidRPr="002A5F4C">
        <w:rPr>
          <w:rtl/>
        </w:rPr>
        <w:t>וע"ד שכתב אדה"ז בשו"ע או"ח מהדו"ת סי' ד' סעי' ב'</w:t>
      </w:r>
      <w:r w:rsidRPr="002A5F4C">
        <w:rPr>
          <w:rFonts w:hint="cs"/>
          <w:rtl/>
        </w:rPr>
        <w:t>: "</w:t>
      </w:r>
      <w:r w:rsidRPr="002A5F4C">
        <w:rPr>
          <w:rtl/>
        </w:rPr>
        <w:t>אבל לנגיעת הנכרים אין לחוש כי רוח טומאה ז</w:t>
      </w:r>
      <w:r>
        <w:rPr>
          <w:rtl/>
        </w:rPr>
        <w:t>ו אינה מתאוה לשרות אלא בכלי של קדש במקום קדושה שנסתלקה משם שהם גופות ישראל כשהם ישנים ונשמתם הקדושה מסתלקת מגופם ואזי רוח הטומאה שורה על גופם וכשהנשמה חוזרת לגוף מסתלקת רוח הטומאה מכל הגוף ונשארת על הידים בלבד</w:t>
      </w:r>
      <w:r>
        <w:rPr>
          <w:rFonts w:hint="cs"/>
          <w:rtl/>
        </w:rPr>
        <w:t>, וראה גם אור חיים ר"פ חוקת: "</w:t>
      </w:r>
      <w:r>
        <w:rPr>
          <w:rtl/>
        </w:rPr>
        <w:t>כמו כן אדם מישראל שמת להיותו מלא קדושה המתוקה והעריבה בצאת הנפש ונתרוקן הגוף יתקבצו הקליפות לאין קץ שהם כוחות הטומאה התאבים תמיד להדבק בקדושה ליהנות מהערב, ולזה יטמא באהל ואפילו אלף בתים מקורים ואחת פתוחה לחברתה הטומאה תמלא כל החלל המקורה, מה שאין כן אשר לא מזרע ישראל להיותו מושלל מהקדושה אין כל כך התקבצות הטומאה אלא חלק הממית הנדבק בגוף</w:t>
      </w:r>
      <w:r>
        <w:rPr>
          <w:rFonts w:hint="cs"/>
          <w:rtl/>
        </w:rPr>
        <w:t>".</w:t>
      </w:r>
    </w:p>
  </w:footnote>
  <w:footnote w:id="66">
    <w:p w:rsidR="004820B2" w:rsidRDefault="004820B2" w:rsidP="00900523">
      <w:pPr>
        <w:pStyle w:val="FootnoteText"/>
      </w:pPr>
      <w:r w:rsidRPr="002A5F4C">
        <w:footnoteRef/>
      </w:r>
      <w:r>
        <w:rPr>
          <w:rFonts w:hint="cs"/>
          <w:rtl/>
        </w:rPr>
        <w:t>)</w:t>
      </w:r>
      <w:r w:rsidRPr="002A5F4C">
        <w:rPr>
          <w:rtl/>
        </w:rPr>
        <w:t xml:space="preserve"> אל</w:t>
      </w:r>
      <w:r w:rsidRPr="00F34D64">
        <w:rPr>
          <w:rFonts w:ascii="Courier" w:hAnsi="Courier"/>
          <w:rtl/>
        </w:rPr>
        <w:t xml:space="preserve">א דאם הוחזר לו </w:t>
      </w:r>
      <w:r w:rsidRPr="00F34D64">
        <w:rPr>
          <w:rFonts w:ascii="Courier" w:hAnsi="Courier"/>
          <w:b/>
          <w:bCs/>
          <w:rtl/>
        </w:rPr>
        <w:t>חיותו הקודמת עצמה</w:t>
      </w:r>
      <w:r w:rsidRPr="00F34D64">
        <w:rPr>
          <w:rFonts w:ascii="Courier" w:hAnsi="Courier"/>
          <w:rtl/>
        </w:rPr>
        <w:t xml:space="preserve"> </w:t>
      </w:r>
      <w:r>
        <w:rPr>
          <w:rFonts w:ascii="Courier" w:hAnsi="Courier" w:hint="cs"/>
          <w:rtl/>
        </w:rPr>
        <w:t xml:space="preserve">כמו שהי' באליהו, אז </w:t>
      </w:r>
      <w:r w:rsidRPr="00F34D64">
        <w:rPr>
          <w:rFonts w:ascii="Courier" w:hAnsi="Courier"/>
          <w:rtl/>
        </w:rPr>
        <w:t>הטומאה נפקעה</w:t>
      </w:r>
      <w:r>
        <w:rPr>
          <w:rFonts w:ascii="Courier" w:hAnsi="Courier" w:hint="cs"/>
          <w:rtl/>
        </w:rPr>
        <w:t>,</w:t>
      </w:r>
      <w:r w:rsidRPr="00F34D64">
        <w:rPr>
          <w:rFonts w:ascii="Courier" w:hAnsi="Courier"/>
          <w:rtl/>
        </w:rPr>
        <w:t xml:space="preserve"> כמבואר בלקו"ש שם הערה 50 דאתי מעשה ומבטל מעשה </w:t>
      </w:r>
      <w:r>
        <w:rPr>
          <w:rFonts w:ascii="Courier" w:hAnsi="Courier" w:hint="cs"/>
          <w:rtl/>
        </w:rPr>
        <w:t xml:space="preserve"> אפילו אחר כדי דיבור </w:t>
      </w:r>
      <w:r w:rsidRPr="00F34D64">
        <w:rPr>
          <w:rFonts w:ascii="Courier" w:hAnsi="Courier"/>
          <w:rtl/>
        </w:rPr>
        <w:t>עיי"ש</w:t>
      </w:r>
      <w:r>
        <w:rPr>
          <w:rFonts w:ascii="Courier" w:hAnsi="Courier" w:hint="cs"/>
          <w:rtl/>
        </w:rPr>
        <w:t>.</w:t>
      </w:r>
    </w:p>
  </w:footnote>
  <w:footnote w:id="67">
    <w:p w:rsidR="004820B2" w:rsidRPr="00970EBE" w:rsidRDefault="004820B2" w:rsidP="00970EBE">
      <w:pPr>
        <w:pStyle w:val="FootnoteText"/>
        <w:rPr>
          <w:rtl/>
        </w:rPr>
      </w:pPr>
      <w:r w:rsidRPr="00970EBE">
        <w:rPr>
          <w:rStyle w:val="FootnoteReference"/>
          <w:vertAlign w:val="baseline"/>
        </w:rPr>
        <w:footnoteRef/>
      </w:r>
      <w:r>
        <w:rPr>
          <w:rFonts w:hint="cs"/>
          <w:rtl/>
        </w:rPr>
        <w:t>)</w:t>
      </w:r>
      <w:r w:rsidRPr="00970EBE">
        <w:rPr>
          <w:rtl/>
        </w:rPr>
        <w:t xml:space="preserve"> </w:t>
      </w:r>
      <w:r w:rsidRPr="00970EBE">
        <w:rPr>
          <w:rFonts w:hint="cs"/>
          <w:rtl/>
        </w:rPr>
        <w:t xml:space="preserve">סה"מ מלוקט ג' עמ' צט. בהוצאה החדשה </w:t>
      </w:r>
      <w:r w:rsidRPr="00970EBE">
        <w:rPr>
          <w:rtl/>
        </w:rPr>
        <w:t>–</w:t>
      </w:r>
      <w:r w:rsidRPr="00970EBE">
        <w:rPr>
          <w:rFonts w:hint="cs"/>
          <w:rtl/>
        </w:rPr>
        <w:t xml:space="preserve"> עמ' קכז.</w:t>
      </w:r>
    </w:p>
  </w:footnote>
  <w:footnote w:id="68">
    <w:p w:rsidR="004820B2" w:rsidRPr="00970EBE" w:rsidRDefault="004820B2" w:rsidP="00970EBE">
      <w:pPr>
        <w:pStyle w:val="FootnoteText"/>
      </w:pPr>
      <w:r w:rsidRPr="00970EBE">
        <w:rPr>
          <w:rStyle w:val="FootnoteReference"/>
          <w:vertAlign w:val="baseline"/>
        </w:rPr>
        <w:footnoteRef/>
      </w:r>
      <w:r>
        <w:rPr>
          <w:rFonts w:hint="cs"/>
          <w:rtl/>
        </w:rPr>
        <w:t>)</w:t>
      </w:r>
      <w:r w:rsidRPr="00970EBE">
        <w:rPr>
          <w:rtl/>
        </w:rPr>
        <w:t xml:space="preserve"> </w:t>
      </w:r>
      <w:r w:rsidRPr="00970EBE">
        <w:rPr>
          <w:rFonts w:hint="cs"/>
          <w:rtl/>
        </w:rPr>
        <w:t>הביאור באות זו הינו משיעורי ר' יואל כהן שיחי'.</w:t>
      </w:r>
    </w:p>
  </w:footnote>
  <w:footnote w:id="69">
    <w:p w:rsidR="004820B2" w:rsidRPr="00970EBE" w:rsidRDefault="004820B2" w:rsidP="00970EBE">
      <w:pPr>
        <w:pStyle w:val="FootnoteText"/>
        <w:rPr>
          <w:rtl/>
        </w:rPr>
      </w:pPr>
      <w:r w:rsidRPr="00970EBE">
        <w:rPr>
          <w:rStyle w:val="FootnoteReference"/>
          <w:vertAlign w:val="baseline"/>
        </w:rPr>
        <w:footnoteRef/>
      </w:r>
      <w:r>
        <w:rPr>
          <w:rFonts w:hint="cs"/>
          <w:rtl/>
        </w:rPr>
        <w:t>)</w:t>
      </w:r>
      <w:r w:rsidRPr="00970EBE">
        <w:rPr>
          <w:rtl/>
        </w:rPr>
        <w:t xml:space="preserve"> </w:t>
      </w:r>
      <w:r w:rsidRPr="00970EBE">
        <w:rPr>
          <w:rFonts w:hint="cs"/>
          <w:rtl/>
        </w:rPr>
        <w:t>שמעת מר' אלימלך צוויבל ע"ה, שהיה ע"כ ויכוח בין ר' בער'ל ריבקין לרבי בשנות נשיאותו של אדמו"ר הריי"ץ, ור' בער'ל ריבקין נכנס לרבי הריי"ץ וסיפר לו על הויכוח, והרבי הריי"ץ השיב לו: "דאס איז א דקות'דיקער עניין"...</w:t>
      </w:r>
    </w:p>
  </w:footnote>
  <w:footnote w:id="70">
    <w:p w:rsidR="004820B2" w:rsidRPr="00970EBE" w:rsidRDefault="004820B2" w:rsidP="00970EBE">
      <w:pPr>
        <w:pStyle w:val="FootnoteText"/>
        <w:rPr>
          <w:rtl/>
        </w:rPr>
      </w:pPr>
      <w:r w:rsidRPr="00970EBE">
        <w:rPr>
          <w:rStyle w:val="FootnoteReference"/>
          <w:vertAlign w:val="baseline"/>
        </w:rPr>
        <w:footnoteRef/>
      </w:r>
      <w:r>
        <w:rPr>
          <w:rFonts w:hint="cs"/>
          <w:rtl/>
        </w:rPr>
        <w:t>)</w:t>
      </w:r>
      <w:r w:rsidRPr="00970EBE">
        <w:rPr>
          <w:rtl/>
        </w:rPr>
        <w:t xml:space="preserve"> </w:t>
      </w:r>
      <w:r w:rsidRPr="00970EBE">
        <w:rPr>
          <w:rFonts w:hint="cs"/>
          <w:rtl/>
        </w:rPr>
        <w:t>ו</w:t>
      </w:r>
      <w:r w:rsidRPr="00970EBE">
        <w:rPr>
          <w:rtl/>
        </w:rPr>
        <w:t>זה ש</w:t>
      </w:r>
      <w:r w:rsidRPr="00970EBE">
        <w:rPr>
          <w:rFonts w:hint="cs"/>
          <w:rtl/>
        </w:rPr>
        <w:t xml:space="preserve">בתחילת האות </w:t>
      </w:r>
      <w:r w:rsidRPr="00970EBE">
        <w:rPr>
          <w:rtl/>
        </w:rPr>
        <w:t>מודגש דווקא העניין של בעלי בחירה - ראה אות הבאה</w:t>
      </w:r>
      <w:r w:rsidRPr="00970EBE">
        <w:rPr>
          <w:rFonts w:hint="cs"/>
          <w:rtl/>
        </w:rPr>
        <w:t>.</w:t>
      </w:r>
    </w:p>
  </w:footnote>
  <w:footnote w:id="71">
    <w:p w:rsidR="004820B2" w:rsidRPr="00970EBE" w:rsidRDefault="004820B2" w:rsidP="00970EBE">
      <w:pPr>
        <w:pStyle w:val="FootnoteText"/>
      </w:pPr>
      <w:r w:rsidRPr="00970EBE">
        <w:rPr>
          <w:rStyle w:val="FootnoteReference"/>
          <w:vertAlign w:val="baseline"/>
        </w:rPr>
        <w:footnoteRef/>
      </w:r>
      <w:r>
        <w:rPr>
          <w:rFonts w:hint="cs"/>
          <w:rtl/>
        </w:rPr>
        <w:t>)</w:t>
      </w:r>
      <w:r w:rsidRPr="00970EBE">
        <w:rPr>
          <w:rtl/>
        </w:rPr>
        <w:t xml:space="preserve"> ראה לק</w:t>
      </w:r>
      <w:r w:rsidRPr="00970EBE">
        <w:rPr>
          <w:rFonts w:hint="cs"/>
          <w:rtl/>
        </w:rPr>
        <w:t>ו"</w:t>
      </w:r>
      <w:r w:rsidRPr="00970EBE">
        <w:rPr>
          <w:rtl/>
        </w:rPr>
        <w:t>ש ח״א ע׳ 216. ע׳ 24</w:t>
      </w:r>
      <w:r w:rsidRPr="00970EBE">
        <w:rPr>
          <w:rFonts w:hint="cs"/>
          <w:rtl/>
        </w:rPr>
        <w:t>0. חלק ל"ב ע' 159. ו</w:t>
      </w:r>
      <w:r w:rsidRPr="00970EBE">
        <w:rPr>
          <w:rtl/>
        </w:rPr>
        <w:t>בארוכה חי״ח ע׳ 295 ו</w:t>
      </w:r>
      <w:r w:rsidRPr="00970EBE">
        <w:rPr>
          <w:rFonts w:hint="cs"/>
          <w:rtl/>
        </w:rPr>
        <w:t>א</w:t>
      </w:r>
      <w:r w:rsidRPr="00970EBE">
        <w:rPr>
          <w:rtl/>
        </w:rPr>
        <w:t>יל</w:t>
      </w:r>
      <w:r w:rsidRPr="00970EBE">
        <w:rPr>
          <w:rFonts w:hint="cs"/>
          <w:rtl/>
        </w:rPr>
        <w:t xml:space="preserve">ך. </w:t>
      </w:r>
    </w:p>
  </w:footnote>
  <w:footnote w:id="72">
    <w:p w:rsidR="004820B2" w:rsidRPr="00970EBE" w:rsidRDefault="004820B2" w:rsidP="00970EBE">
      <w:pPr>
        <w:pStyle w:val="FootnoteText"/>
      </w:pPr>
      <w:r w:rsidRPr="00970EBE">
        <w:rPr>
          <w:rStyle w:val="FootnoteReference"/>
          <w:vertAlign w:val="baseline"/>
        </w:rPr>
        <w:footnoteRef/>
      </w:r>
      <w:r>
        <w:rPr>
          <w:rFonts w:hint="cs"/>
          <w:rtl/>
        </w:rPr>
        <w:t>)</w:t>
      </w:r>
      <w:r w:rsidRPr="00970EBE">
        <w:rPr>
          <w:rtl/>
        </w:rPr>
        <w:t xml:space="preserve"> שבת לא,א</w:t>
      </w:r>
      <w:r w:rsidRPr="00970EBE">
        <w:rPr>
          <w:rFonts w:hint="cs"/>
          <w:rtl/>
        </w:rPr>
        <w:t>.</w:t>
      </w:r>
    </w:p>
  </w:footnote>
  <w:footnote w:id="73">
    <w:p w:rsidR="004820B2" w:rsidRPr="00970EBE" w:rsidRDefault="004820B2" w:rsidP="00970EBE">
      <w:pPr>
        <w:pStyle w:val="FootnoteText"/>
        <w:rPr>
          <w:rtl/>
        </w:rPr>
      </w:pPr>
      <w:r w:rsidRPr="00970EBE">
        <w:rPr>
          <w:rStyle w:val="FootnoteReference"/>
          <w:vertAlign w:val="baseline"/>
        </w:rPr>
        <w:footnoteRef/>
      </w:r>
      <w:r>
        <w:rPr>
          <w:rFonts w:hint="cs"/>
          <w:rtl/>
        </w:rPr>
        <w:t>)</w:t>
      </w:r>
      <w:r w:rsidRPr="00970EBE">
        <w:rPr>
          <w:rtl/>
        </w:rPr>
        <w:t xml:space="preserve"> </w:t>
      </w:r>
      <w:r w:rsidRPr="00970EBE">
        <w:rPr>
          <w:rFonts w:hint="cs"/>
          <w:rtl/>
        </w:rPr>
        <w:t>ישעיה לג, ו.</w:t>
      </w:r>
    </w:p>
  </w:footnote>
  <w:footnote w:id="74">
    <w:p w:rsidR="004820B2" w:rsidRPr="00970EBE" w:rsidRDefault="004820B2" w:rsidP="00970EBE">
      <w:pPr>
        <w:pStyle w:val="FootnoteText"/>
        <w:rPr>
          <w:rtl/>
        </w:rPr>
      </w:pPr>
      <w:r w:rsidRPr="00970EBE">
        <w:rPr>
          <w:rStyle w:val="FootnoteReference"/>
          <w:vertAlign w:val="baseline"/>
        </w:rPr>
        <w:footnoteRef/>
      </w:r>
      <w:r>
        <w:rPr>
          <w:rFonts w:hint="cs"/>
          <w:rtl/>
        </w:rPr>
        <w:t>)</w:t>
      </w:r>
      <w:r w:rsidRPr="00970EBE">
        <w:rPr>
          <w:rtl/>
        </w:rPr>
        <w:t xml:space="preserve"> </w:t>
      </w:r>
      <w:r w:rsidRPr="00970EBE">
        <w:rPr>
          <w:rFonts w:hint="cs"/>
          <w:rtl/>
        </w:rPr>
        <w:t>לדוגמא: הוא יעבוד באופן של "</w:t>
      </w:r>
      <w:r w:rsidRPr="00970EBE">
        <w:rPr>
          <w:rtl/>
        </w:rPr>
        <w:t>יגיע כפיך</w:t>
      </w:r>
      <w:r w:rsidRPr="00970EBE">
        <w:rPr>
          <w:rFonts w:hint="cs"/>
          <w:rtl/>
        </w:rPr>
        <w:t>"</w:t>
      </w:r>
      <w:r w:rsidRPr="00970EBE">
        <w:rPr>
          <w:rtl/>
        </w:rPr>
        <w:t xml:space="preserve"> ולא </w:t>
      </w:r>
      <w:r w:rsidRPr="00970EBE">
        <w:rPr>
          <w:rFonts w:hint="cs"/>
          <w:rtl/>
        </w:rPr>
        <w:t>"</w:t>
      </w:r>
      <w:r w:rsidRPr="00970EBE">
        <w:rPr>
          <w:rtl/>
        </w:rPr>
        <w:t>יגיע ראשך</w:t>
      </w:r>
      <w:r w:rsidRPr="00970EBE">
        <w:rPr>
          <w:rFonts w:hint="cs"/>
          <w:rtl/>
        </w:rPr>
        <w:t xml:space="preserve">". ראה </w:t>
      </w:r>
      <w:r w:rsidRPr="00970EBE">
        <w:rPr>
          <w:rtl/>
        </w:rPr>
        <w:t>לקו"ת שלח מב, ד. ד"ה מים רבים תשל"ח פ"ב (סה"מ מלוקט ח"א ע' רעג).</w:t>
      </w:r>
      <w:r w:rsidRPr="00970EBE">
        <w:rPr>
          <w:rFonts w:hint="cs"/>
          <w:rtl/>
        </w:rPr>
        <w:t xml:space="preserve"> ובכ"מ.</w:t>
      </w:r>
    </w:p>
  </w:footnote>
  <w:footnote w:id="75">
    <w:p w:rsidR="004820B2" w:rsidRPr="00970EBE" w:rsidRDefault="004820B2" w:rsidP="00970EBE">
      <w:pPr>
        <w:pStyle w:val="FootnoteText"/>
        <w:rPr>
          <w:rtl/>
        </w:rPr>
      </w:pPr>
      <w:r w:rsidRPr="00970EBE">
        <w:rPr>
          <w:rStyle w:val="FootnoteReference"/>
          <w:vertAlign w:val="baseline"/>
        </w:rPr>
        <w:footnoteRef/>
      </w:r>
      <w:r>
        <w:rPr>
          <w:rFonts w:hint="cs"/>
          <w:rtl/>
        </w:rPr>
        <w:t>)</w:t>
      </w:r>
      <w:r w:rsidRPr="00970EBE">
        <w:rPr>
          <w:rtl/>
        </w:rPr>
        <w:t xml:space="preserve"> המקומות שנסמנו בהערות</w:t>
      </w:r>
      <w:r w:rsidRPr="00970EBE">
        <w:rPr>
          <w:rFonts w:hint="cs"/>
          <w:rtl/>
        </w:rPr>
        <w:t xml:space="preserve"> במאמר - </w:t>
      </w:r>
      <w:r w:rsidRPr="00970EBE">
        <w:rPr>
          <w:rtl/>
        </w:rPr>
        <w:t>ד"ה את הוי' האמרת תרע"ח פ"ג (סה"מ תרע"ח ע' תיד). ד"ה כל המאריך תרפ"ו פ"ד (סה"מ תרפ"ו ע' קנז ואילך).</w:t>
      </w:r>
    </w:p>
  </w:footnote>
  <w:footnote w:id="76">
    <w:p w:rsidR="004820B2" w:rsidRPr="00970EBE" w:rsidRDefault="004820B2" w:rsidP="00970EBE">
      <w:pPr>
        <w:pStyle w:val="FootnoteText"/>
      </w:pPr>
      <w:r w:rsidRPr="00970EBE">
        <w:rPr>
          <w:rStyle w:val="FootnoteReference"/>
          <w:vertAlign w:val="baseline"/>
        </w:rPr>
        <w:footnoteRef/>
      </w:r>
      <w:r>
        <w:rPr>
          <w:rFonts w:hint="cs"/>
          <w:rtl/>
        </w:rPr>
        <w:t>)</w:t>
      </w:r>
      <w:r w:rsidRPr="00970EBE">
        <w:rPr>
          <w:rtl/>
        </w:rPr>
        <w:t xml:space="preserve"> </w:t>
      </w:r>
      <w:r w:rsidRPr="00970EBE">
        <w:rPr>
          <w:rFonts w:hint="cs"/>
          <w:rtl/>
        </w:rPr>
        <w:t>ומודגש שם בהערה 23.</w:t>
      </w:r>
    </w:p>
  </w:footnote>
  <w:footnote w:id="77">
    <w:p w:rsidR="004820B2" w:rsidRPr="00970EBE" w:rsidRDefault="004820B2" w:rsidP="00970EBE">
      <w:pPr>
        <w:pStyle w:val="FootnoteText"/>
      </w:pPr>
      <w:r w:rsidRPr="00970EBE">
        <w:rPr>
          <w:rStyle w:val="FootnoteReference"/>
          <w:vertAlign w:val="baseline"/>
        </w:rPr>
        <w:footnoteRef/>
      </w:r>
      <w:r>
        <w:rPr>
          <w:rFonts w:hint="cs"/>
          <w:rtl/>
        </w:rPr>
        <w:t>)</w:t>
      </w:r>
      <w:r w:rsidRPr="00970EBE">
        <w:rPr>
          <w:rtl/>
        </w:rPr>
        <w:t xml:space="preserve"> </w:t>
      </w:r>
      <w:r w:rsidRPr="00970EBE">
        <w:rPr>
          <w:rFonts w:hint="cs"/>
          <w:rtl/>
        </w:rPr>
        <w:t>הלכות יסודי התורה פ"ג ה"ט.</w:t>
      </w:r>
    </w:p>
  </w:footnote>
  <w:footnote w:id="78">
    <w:p w:rsidR="004820B2" w:rsidRPr="00970EBE" w:rsidRDefault="004820B2" w:rsidP="00970EBE">
      <w:pPr>
        <w:pStyle w:val="FootnoteText"/>
        <w:rPr>
          <w:rtl/>
        </w:rPr>
      </w:pPr>
      <w:r w:rsidRPr="00970EBE">
        <w:rPr>
          <w:rStyle w:val="FootnoteReference"/>
          <w:vertAlign w:val="baseline"/>
        </w:rPr>
        <w:footnoteRef/>
      </w:r>
      <w:r>
        <w:rPr>
          <w:rFonts w:hint="cs"/>
          <w:rtl/>
        </w:rPr>
        <w:t>)</w:t>
      </w:r>
      <w:r w:rsidRPr="00970EBE">
        <w:rPr>
          <w:rFonts w:hint="cs"/>
          <w:rtl/>
        </w:rPr>
        <w:t xml:space="preserve"> </w:t>
      </w:r>
      <w:r w:rsidRPr="00970EBE">
        <w:rPr>
          <w:rtl/>
        </w:rPr>
        <w:t>שיחה א' לפורים</w:t>
      </w:r>
      <w:r w:rsidRPr="00970EBE">
        <w:rPr>
          <w:rFonts w:hint="cs"/>
          <w:rtl/>
        </w:rPr>
        <w:t>, עמ' 170.</w:t>
      </w:r>
    </w:p>
  </w:footnote>
  <w:footnote w:id="79">
    <w:p w:rsidR="004820B2" w:rsidRPr="00970EBE" w:rsidRDefault="004820B2" w:rsidP="00970EBE">
      <w:pPr>
        <w:pStyle w:val="FootnoteText"/>
      </w:pPr>
      <w:r w:rsidRPr="00970EBE">
        <w:rPr>
          <w:rStyle w:val="FootnoteReference"/>
          <w:vertAlign w:val="baseline"/>
        </w:rPr>
        <w:footnoteRef/>
      </w:r>
      <w:r>
        <w:rPr>
          <w:rFonts w:hint="cs"/>
          <w:rtl/>
        </w:rPr>
        <w:t>)</w:t>
      </w:r>
      <w:r w:rsidRPr="00970EBE">
        <w:rPr>
          <w:rtl/>
        </w:rPr>
        <w:t xml:space="preserve"> תנחומא תולדות ה. אסת"ר פ"י, יא</w:t>
      </w:r>
      <w:r w:rsidRPr="00970EBE">
        <w:t>.</w:t>
      </w:r>
    </w:p>
  </w:footnote>
  <w:footnote w:id="80">
    <w:p w:rsidR="004820B2" w:rsidRPr="00970EBE" w:rsidRDefault="004820B2" w:rsidP="00970EBE">
      <w:pPr>
        <w:pStyle w:val="FootnoteText"/>
      </w:pPr>
      <w:r w:rsidRPr="00970EBE">
        <w:rPr>
          <w:rStyle w:val="FootnoteReference"/>
          <w:vertAlign w:val="baseline"/>
        </w:rPr>
        <w:footnoteRef/>
      </w:r>
      <w:r>
        <w:rPr>
          <w:rFonts w:hint="cs"/>
          <w:rtl/>
        </w:rPr>
        <w:t>)</w:t>
      </w:r>
      <w:r w:rsidRPr="00970EBE">
        <w:rPr>
          <w:rtl/>
        </w:rPr>
        <w:t xml:space="preserve"> שהש"ר פ"ז, ח.</w:t>
      </w:r>
      <w:r w:rsidRPr="00970EBE">
        <w:rPr>
          <w:rFonts w:hint="cs"/>
          <w:rtl/>
        </w:rPr>
        <w:t xml:space="preserve"> תנחומא ס"פ בהר.</w:t>
      </w:r>
    </w:p>
  </w:footnote>
  <w:footnote w:id="81">
    <w:p w:rsidR="004820B2" w:rsidRPr="00970EBE" w:rsidRDefault="004820B2" w:rsidP="00970EBE">
      <w:pPr>
        <w:pStyle w:val="FootnoteText"/>
      </w:pPr>
      <w:r w:rsidRPr="00970EBE">
        <w:rPr>
          <w:rStyle w:val="FootnoteReference"/>
          <w:vertAlign w:val="baseline"/>
        </w:rPr>
        <w:footnoteRef/>
      </w:r>
      <w:r>
        <w:rPr>
          <w:rFonts w:hint="cs"/>
          <w:rtl/>
        </w:rPr>
        <w:t>)</w:t>
      </w:r>
      <w:r w:rsidRPr="00970EBE">
        <w:rPr>
          <w:rtl/>
        </w:rPr>
        <w:t xml:space="preserve"> </w:t>
      </w:r>
      <w:r w:rsidRPr="00970EBE">
        <w:rPr>
          <w:rFonts w:hint="cs"/>
          <w:rtl/>
        </w:rPr>
        <w:t>דברים טו, יח.</w:t>
      </w:r>
    </w:p>
  </w:footnote>
  <w:footnote w:id="82">
    <w:p w:rsidR="004820B2" w:rsidRPr="00970EBE" w:rsidRDefault="004820B2" w:rsidP="00970EBE">
      <w:pPr>
        <w:pStyle w:val="FootnoteText"/>
        <w:rPr>
          <w:rtl/>
        </w:rPr>
      </w:pPr>
      <w:r w:rsidRPr="00970EBE">
        <w:rPr>
          <w:rStyle w:val="FootnoteReference"/>
          <w:vertAlign w:val="baseline"/>
        </w:rPr>
        <w:footnoteRef/>
      </w:r>
      <w:r>
        <w:rPr>
          <w:rFonts w:hint="cs"/>
          <w:rtl/>
        </w:rPr>
        <w:t>)</w:t>
      </w:r>
      <w:r w:rsidRPr="00970EBE">
        <w:rPr>
          <w:rtl/>
        </w:rPr>
        <w:t xml:space="preserve"> </w:t>
      </w:r>
      <w:r w:rsidRPr="00970EBE">
        <w:rPr>
          <w:rFonts w:hint="cs"/>
          <w:rtl/>
        </w:rPr>
        <w:t>משלי י, כב.</w:t>
      </w:r>
    </w:p>
  </w:footnote>
  <w:footnote w:id="83">
    <w:p w:rsidR="004820B2" w:rsidRPr="00970EBE" w:rsidRDefault="004820B2" w:rsidP="00970EBE">
      <w:pPr>
        <w:pStyle w:val="FootnoteText"/>
      </w:pPr>
      <w:r w:rsidRPr="00970EBE">
        <w:rPr>
          <w:rStyle w:val="FootnoteReference"/>
          <w:vertAlign w:val="baseline"/>
        </w:rPr>
        <w:footnoteRef/>
      </w:r>
      <w:r>
        <w:rPr>
          <w:rFonts w:hint="cs"/>
          <w:rtl/>
        </w:rPr>
        <w:t>)</w:t>
      </w:r>
      <w:r w:rsidRPr="00970EBE">
        <w:rPr>
          <w:rtl/>
        </w:rPr>
        <w:t xml:space="preserve"> </w:t>
      </w:r>
      <w:r w:rsidRPr="00970EBE">
        <w:rPr>
          <w:rFonts w:hint="cs"/>
          <w:rtl/>
        </w:rPr>
        <w:t>ראה "היום יום" כ"ז סיוון. ובכ"מ.</w:t>
      </w:r>
    </w:p>
  </w:footnote>
  <w:footnote w:id="84">
    <w:p w:rsidR="004820B2" w:rsidRPr="00970EBE" w:rsidRDefault="004820B2" w:rsidP="00970EBE">
      <w:pPr>
        <w:pStyle w:val="FootnoteText"/>
      </w:pPr>
      <w:r w:rsidRPr="00970EBE">
        <w:rPr>
          <w:rStyle w:val="FootnoteReference"/>
          <w:vertAlign w:val="baseline"/>
        </w:rPr>
        <w:footnoteRef/>
      </w:r>
      <w:r>
        <w:rPr>
          <w:rFonts w:hint="cs"/>
          <w:rtl/>
        </w:rPr>
        <w:t>)</w:t>
      </w:r>
      <w:r w:rsidRPr="00970EBE">
        <w:rPr>
          <w:rtl/>
        </w:rPr>
        <w:t xml:space="preserve"> </w:t>
      </w:r>
      <w:r w:rsidRPr="00970EBE">
        <w:rPr>
          <w:rFonts w:hint="cs"/>
          <w:rtl/>
        </w:rPr>
        <w:t>שני אופנים אלה הם גם שני האופנים בתשובת הצ"צ לרבנית רבקה: "</w:t>
      </w:r>
      <w:r w:rsidRPr="00752492">
        <w:rPr>
          <w:rFonts w:hint="cs"/>
          <w:b/>
          <w:bCs/>
          <w:rtl/>
        </w:rPr>
        <w:t xml:space="preserve">עדיף לאכול בשביל להתפלל </w:t>
      </w:r>
      <w:r w:rsidRPr="00752492">
        <w:rPr>
          <w:rFonts w:hint="cs"/>
          <w:rtl/>
        </w:rPr>
        <w:t>מאשר</w:t>
      </w:r>
      <w:r w:rsidRPr="00752492">
        <w:rPr>
          <w:rFonts w:hint="cs"/>
          <w:b/>
          <w:bCs/>
          <w:rtl/>
        </w:rPr>
        <w:t xml:space="preserve"> להתפלל בשביל לאכול</w:t>
      </w:r>
      <w:r w:rsidRPr="00970EBE">
        <w:rPr>
          <w:rFonts w:hint="cs"/>
          <w:rtl/>
        </w:rPr>
        <w:t xml:space="preserve"> - ברוחניות. ראה </w:t>
      </w:r>
      <w:r w:rsidRPr="00970EBE">
        <w:rPr>
          <w:rtl/>
        </w:rPr>
        <w:t>לקו"ש ח"א ע' 152 ואילך.</w:t>
      </w:r>
      <w:r w:rsidRPr="00970EBE">
        <w:rPr>
          <w:rFonts w:hint="cs"/>
          <w:rtl/>
        </w:rPr>
        <w:t xml:space="preserve"> ואכ"מ.</w:t>
      </w:r>
    </w:p>
  </w:footnote>
  <w:footnote w:id="85">
    <w:p w:rsidR="004820B2" w:rsidRPr="00970EBE" w:rsidRDefault="004820B2" w:rsidP="00970EBE">
      <w:pPr>
        <w:pStyle w:val="FootnoteText"/>
        <w:rPr>
          <w:rtl/>
        </w:rPr>
      </w:pPr>
      <w:r w:rsidRPr="00970EBE">
        <w:rPr>
          <w:rStyle w:val="FootnoteReference"/>
          <w:vertAlign w:val="baseline"/>
        </w:rPr>
        <w:footnoteRef/>
      </w:r>
      <w:r>
        <w:rPr>
          <w:rFonts w:hint="cs"/>
          <w:rtl/>
        </w:rPr>
        <w:t>)</w:t>
      </w:r>
      <w:r w:rsidRPr="00970EBE">
        <w:rPr>
          <w:rtl/>
        </w:rPr>
        <w:t xml:space="preserve"> </w:t>
      </w:r>
      <w:r w:rsidRPr="00970EBE">
        <w:rPr>
          <w:rFonts w:hint="cs"/>
          <w:rtl/>
        </w:rPr>
        <w:t>פיוט "לכה דודי".</w:t>
      </w:r>
      <w:r w:rsidRPr="00970EBE">
        <w:rPr>
          <w:rFonts w:hint="cs"/>
          <w:rtl/>
        </w:rPr>
        <w:tab/>
      </w:r>
    </w:p>
  </w:footnote>
  <w:footnote w:id="86">
    <w:p w:rsidR="004820B2" w:rsidRPr="00970EBE" w:rsidRDefault="004820B2" w:rsidP="00970EBE">
      <w:pPr>
        <w:pStyle w:val="FootnoteText"/>
        <w:rPr>
          <w:rtl/>
        </w:rPr>
      </w:pPr>
      <w:r w:rsidRPr="00970EBE">
        <w:rPr>
          <w:rStyle w:val="FootnoteReference"/>
          <w:vertAlign w:val="baseline"/>
        </w:rPr>
        <w:footnoteRef/>
      </w:r>
      <w:r>
        <w:rPr>
          <w:rFonts w:hint="cs"/>
          <w:rtl/>
        </w:rPr>
        <w:t>)</w:t>
      </w:r>
      <w:r w:rsidRPr="00970EBE">
        <w:rPr>
          <w:rtl/>
        </w:rPr>
        <w:t xml:space="preserve"> </w:t>
      </w:r>
      <w:r w:rsidRPr="00970EBE">
        <w:rPr>
          <w:rFonts w:hint="cs"/>
          <w:rtl/>
        </w:rPr>
        <w:t>תענית ט,א.</w:t>
      </w:r>
    </w:p>
  </w:footnote>
  <w:footnote w:id="87">
    <w:p w:rsidR="004820B2" w:rsidRPr="00970EBE" w:rsidRDefault="004820B2" w:rsidP="00970EBE">
      <w:pPr>
        <w:pStyle w:val="FootnoteText"/>
        <w:rPr>
          <w:rtl/>
        </w:rPr>
      </w:pPr>
      <w:r w:rsidRPr="00970EBE">
        <w:rPr>
          <w:rStyle w:val="FootnoteReference"/>
          <w:vertAlign w:val="baseline"/>
        </w:rPr>
        <w:footnoteRef/>
      </w:r>
      <w:r>
        <w:rPr>
          <w:rFonts w:hint="cs"/>
          <w:rtl/>
        </w:rPr>
        <w:t>)</w:t>
      </w:r>
      <w:r w:rsidRPr="00970EBE">
        <w:rPr>
          <w:rtl/>
        </w:rPr>
        <w:t xml:space="preserve"> ראה בשיחה הערה 48 שזה הקשר בין ב' הפירושים - נהנו מסעודתו והשתחוו לצלם, שגם נהנו מסעודתו יש בזה עניין של ע"ז </w:t>
      </w:r>
      <w:r w:rsidRPr="00752492">
        <w:rPr>
          <w:b/>
          <w:bCs/>
          <w:rtl/>
        </w:rPr>
        <w:t>בדקות</w:t>
      </w:r>
      <w:r w:rsidRPr="00970EBE">
        <w:rPr>
          <w:rFonts w:hint="cs"/>
          <w:rtl/>
        </w:rPr>
        <w:t xml:space="preserve">, כמו שמביא בהמאמר שלאופן השני להגיד שלטבע יש מעלה זה 'אלקא דאלקייא' </w:t>
      </w:r>
      <w:r w:rsidRPr="00752492">
        <w:rPr>
          <w:rFonts w:hint="cs"/>
          <w:b/>
          <w:bCs/>
          <w:rtl/>
        </w:rPr>
        <w:t>בדקות</w:t>
      </w:r>
      <w:r w:rsidRPr="00970EBE">
        <w:rPr>
          <w:rFonts w:hint="cs"/>
          <w:rtl/>
        </w:rPr>
        <w:t>.</w:t>
      </w:r>
    </w:p>
  </w:footnote>
  <w:footnote w:id="88">
    <w:p w:rsidR="004820B2" w:rsidRPr="00970EBE" w:rsidRDefault="004820B2" w:rsidP="00970EBE">
      <w:pPr>
        <w:pStyle w:val="FootnoteText"/>
        <w:rPr>
          <w:rtl/>
        </w:rPr>
      </w:pPr>
      <w:r w:rsidRPr="00970EBE">
        <w:rPr>
          <w:rStyle w:val="FootnoteReference"/>
          <w:vertAlign w:val="baseline"/>
        </w:rPr>
        <w:footnoteRef/>
      </w:r>
      <w:r>
        <w:rPr>
          <w:rFonts w:hint="cs"/>
          <w:rtl/>
        </w:rPr>
        <w:t>)</w:t>
      </w:r>
      <w:r w:rsidRPr="00970EBE">
        <w:rPr>
          <w:rtl/>
        </w:rPr>
        <w:t xml:space="preserve"> בשיחה </w:t>
      </w:r>
      <w:r w:rsidRPr="00970EBE">
        <w:rPr>
          <w:rFonts w:hint="cs"/>
          <w:rtl/>
        </w:rPr>
        <w:t xml:space="preserve">עניין </w:t>
      </w:r>
      <w:r w:rsidRPr="00970EBE">
        <w:rPr>
          <w:rtl/>
        </w:rPr>
        <w:t>זה מובא בק</w:t>
      </w:r>
      <w:r w:rsidRPr="00970EBE">
        <w:rPr>
          <w:rFonts w:hint="cs"/>
          <w:rtl/>
        </w:rPr>
        <w:t>י</w:t>
      </w:r>
      <w:r w:rsidRPr="00970EBE">
        <w:rPr>
          <w:rtl/>
        </w:rPr>
        <w:t>צ</w:t>
      </w:r>
      <w:r w:rsidRPr="00970EBE">
        <w:rPr>
          <w:rFonts w:hint="cs"/>
          <w:rtl/>
        </w:rPr>
        <w:t>ו</w:t>
      </w:r>
      <w:r w:rsidRPr="00970EBE">
        <w:rPr>
          <w:rtl/>
        </w:rPr>
        <w:t>ר</w:t>
      </w:r>
      <w:r w:rsidRPr="00970EBE">
        <w:rPr>
          <w:rFonts w:hint="cs"/>
          <w:rtl/>
        </w:rPr>
        <w:t>.</w:t>
      </w:r>
      <w:r w:rsidRPr="00970EBE">
        <w:rPr>
          <w:rtl/>
        </w:rPr>
        <w:t xml:space="preserve"> ראה באריכות יותר במאמר כימי צאתך תשי"ב ס"ג </w:t>
      </w:r>
      <w:r w:rsidRPr="00970EBE">
        <w:rPr>
          <w:rFonts w:hint="cs"/>
          <w:rtl/>
        </w:rPr>
        <w:t>(</w:t>
      </w:r>
      <w:r w:rsidRPr="00970EBE">
        <w:rPr>
          <w:rtl/>
        </w:rPr>
        <w:t>תו"מ ח"ה ע' 128 ואילך</w:t>
      </w:r>
      <w:r w:rsidRPr="00970EBE">
        <w:rPr>
          <w:rFonts w:hint="cs"/>
          <w:rtl/>
        </w:rPr>
        <w:t xml:space="preserve">). </w:t>
      </w:r>
      <w:r w:rsidRPr="00970EBE">
        <w:rPr>
          <w:rtl/>
        </w:rPr>
        <w:t>ובכ"מ</w:t>
      </w:r>
      <w:r w:rsidRPr="00970EBE">
        <w:rPr>
          <w:rFonts w:hint="cs"/>
          <w:rtl/>
        </w:rPr>
        <w:t>.</w:t>
      </w:r>
    </w:p>
  </w:footnote>
  <w:footnote w:id="89">
    <w:p w:rsidR="004820B2" w:rsidRPr="00970EBE" w:rsidRDefault="004820B2" w:rsidP="00970EBE">
      <w:pPr>
        <w:pStyle w:val="FootnoteText"/>
        <w:rPr>
          <w:rtl/>
        </w:rPr>
      </w:pPr>
      <w:r w:rsidRPr="00970EBE">
        <w:rPr>
          <w:rStyle w:val="FootnoteReference"/>
          <w:vertAlign w:val="baseline"/>
        </w:rPr>
        <w:footnoteRef/>
      </w:r>
      <w:r>
        <w:rPr>
          <w:rFonts w:hint="cs"/>
          <w:rtl/>
        </w:rPr>
        <w:t>)</w:t>
      </w:r>
      <w:r w:rsidRPr="00970EBE">
        <w:rPr>
          <w:rtl/>
        </w:rPr>
        <w:t xml:space="preserve"> ישנו עוד אופן</w:t>
      </w:r>
      <w:r w:rsidRPr="00970EBE">
        <w:rPr>
          <w:rFonts w:hint="cs"/>
          <w:rtl/>
        </w:rPr>
        <w:t xml:space="preserve"> המוסבר במאמר שם,</w:t>
      </w:r>
      <w:r w:rsidRPr="00970EBE">
        <w:rPr>
          <w:rtl/>
        </w:rPr>
        <w:t xml:space="preserve"> ש</w:t>
      </w:r>
      <w:r w:rsidRPr="00970EBE">
        <w:rPr>
          <w:rFonts w:hint="cs"/>
          <w:rtl/>
        </w:rPr>
        <w:t>בנס המלובש בטבע מתגלה זה ש</w:t>
      </w:r>
      <w:r w:rsidRPr="00970EBE">
        <w:rPr>
          <w:rtl/>
        </w:rPr>
        <w:t>הבל"ג שלמעלה יכול להתלבש גם בטבע - אופן הא' שם</w:t>
      </w:r>
      <w:r w:rsidRPr="00970EBE">
        <w:rPr>
          <w:rFonts w:hint="cs"/>
          <w:rtl/>
        </w:rPr>
        <w:t>.</w:t>
      </w:r>
      <w:r w:rsidRPr="00970EBE">
        <w:rPr>
          <w:rtl/>
        </w:rPr>
        <w:t xml:space="preserve"> אבל </w:t>
      </w:r>
      <w:r w:rsidRPr="00970EBE">
        <w:rPr>
          <w:rFonts w:hint="cs"/>
          <w:rtl/>
        </w:rPr>
        <w:t xml:space="preserve">לכאורה לפי המבואר בפנים </w:t>
      </w:r>
      <w:r w:rsidRPr="00970EBE">
        <w:rPr>
          <w:rtl/>
        </w:rPr>
        <w:t>אינו שייך לכאן</w:t>
      </w:r>
      <w:r w:rsidRPr="00970EBE">
        <w:rPr>
          <w:rFonts w:hint="cs"/>
          <w:rtl/>
        </w:rPr>
        <w:t xml:space="preserve">, כי מטרת השיחה היא לבאר את אי הנתינת מקום מצד הקב"ה למציאות של </w:t>
      </w:r>
      <w:r w:rsidRPr="00752492">
        <w:rPr>
          <w:rFonts w:hint="cs"/>
          <w:b/>
          <w:bCs/>
          <w:rtl/>
        </w:rPr>
        <w:t>הטבע</w:t>
      </w:r>
      <w:r w:rsidRPr="00970EBE">
        <w:rPr>
          <w:rFonts w:hint="cs"/>
          <w:rtl/>
        </w:rPr>
        <w:t xml:space="preserve">, כמבואר בפנים בארוכה, משא"כ אופן זה מדבר על הבל"ג של </w:t>
      </w:r>
      <w:r w:rsidRPr="00752492">
        <w:rPr>
          <w:rFonts w:hint="cs"/>
          <w:b/>
          <w:bCs/>
          <w:rtl/>
        </w:rPr>
        <w:t>הקב"ה</w:t>
      </w:r>
      <w:r w:rsidRPr="00970EBE">
        <w:rPr>
          <w:rFonts w:hint="cs"/>
          <w:rtl/>
        </w:rPr>
        <w:t xml:space="preserve"> והטבע הוא רק ביטוי לעניין זה.</w:t>
      </w:r>
    </w:p>
  </w:footnote>
  <w:footnote w:id="90">
    <w:p w:rsidR="004820B2" w:rsidRDefault="004820B2" w:rsidP="00970EBE">
      <w:pPr>
        <w:pStyle w:val="FootnoteText"/>
        <w:rPr>
          <w:rtl/>
        </w:rPr>
      </w:pPr>
      <w:r w:rsidRPr="00970EBE">
        <w:rPr>
          <w:rStyle w:val="FootnoteReference"/>
          <w:vertAlign w:val="baseline"/>
        </w:rPr>
        <w:footnoteRef/>
      </w:r>
      <w:r>
        <w:rPr>
          <w:rFonts w:hint="cs"/>
          <w:rtl/>
        </w:rPr>
        <w:t>)</w:t>
      </w:r>
      <w:r w:rsidRPr="00970EBE">
        <w:rPr>
          <w:rtl/>
        </w:rPr>
        <w:t xml:space="preserve"> </w:t>
      </w:r>
      <w:r w:rsidRPr="00970EBE">
        <w:rPr>
          <w:rFonts w:hint="cs"/>
          <w:rtl/>
        </w:rPr>
        <w:t>כ"ה בכו"כ שיחות, ראה לדוגמא בשיחה לפורים בחלק א'. שיחת פורים תשי"ז שיחה ב' (תו"מ חי"ט ע' 170).</w:t>
      </w:r>
    </w:p>
  </w:footnote>
  <w:footnote w:id="91">
    <w:p w:rsidR="004820B2" w:rsidRPr="00F80C08" w:rsidRDefault="004820B2" w:rsidP="00900523">
      <w:pPr>
        <w:pStyle w:val="FootnoteText"/>
      </w:pPr>
      <w:r w:rsidRPr="00F80C08">
        <w:footnoteRef/>
      </w:r>
      <w:r>
        <w:rPr>
          <w:rFonts w:hint="cs"/>
          <w:rtl/>
        </w:rPr>
        <w:t>)</w:t>
      </w:r>
      <w:r w:rsidRPr="00F80C08">
        <w:rPr>
          <w:rtl/>
        </w:rPr>
        <w:t xml:space="preserve"> </w:t>
      </w:r>
      <w:r w:rsidRPr="00F80C08">
        <w:rPr>
          <w:rFonts w:hint="cs"/>
          <w:rtl/>
        </w:rPr>
        <w:t>דייקנו בפנים ״בשייכות להד׳ כוסות״</w:t>
      </w:r>
      <w:r w:rsidRPr="00F80C08">
        <w:rPr>
          <w:rtl/>
        </w:rPr>
        <w:t xml:space="preserve">, </w:t>
      </w:r>
      <w:r w:rsidRPr="00F80C08">
        <w:rPr>
          <w:rFonts w:hint="cs"/>
          <w:rtl/>
        </w:rPr>
        <w:t xml:space="preserve">שכן גם להמבואר בדברי רבינו </w:t>
      </w:r>
      <w:r w:rsidRPr="00F80C08">
        <w:rPr>
          <w:rtl/>
        </w:rPr>
        <w:t>[</w:t>
      </w:r>
      <w:r w:rsidRPr="00F80C08">
        <w:rPr>
          <w:rFonts w:hint="cs"/>
          <w:rtl/>
        </w:rPr>
        <w:t>אות ה׳ שם</w:t>
      </w:r>
      <w:r w:rsidRPr="00F80C08">
        <w:rPr>
          <w:rtl/>
        </w:rPr>
        <w:t xml:space="preserve">] </w:t>
      </w:r>
      <w:r w:rsidRPr="00F80C08">
        <w:rPr>
          <w:rFonts w:hint="cs"/>
          <w:rtl/>
        </w:rPr>
        <w:t>דלטעמים אלו בתקנת החיוב דד׳ כוסות א״א לומר שההסיבה תהא תנאי במצות ד׳ כוסות</w:t>
      </w:r>
      <w:r w:rsidRPr="00F80C08">
        <w:rPr>
          <w:rtl/>
        </w:rPr>
        <w:t xml:space="preserve">, </w:t>
      </w:r>
      <w:r w:rsidRPr="00F80C08">
        <w:rPr>
          <w:rFonts w:hint="cs"/>
          <w:rtl/>
        </w:rPr>
        <w:t>מ״מ הרי עדיין שפיר יש לומר בפשטות דבשייכות למצוה מצה עכ״פ הנה גם לדיעות אלו הוי ההסיבה תנאי בקיום המצוה דמצות מצה</w:t>
      </w:r>
      <w:r w:rsidRPr="00F80C08">
        <w:rPr>
          <w:rtl/>
        </w:rPr>
        <w:t xml:space="preserve">, </w:t>
      </w:r>
      <w:r w:rsidRPr="00F80C08">
        <w:rPr>
          <w:rFonts w:hint="cs"/>
          <w:rtl/>
        </w:rPr>
        <w:t>והיינו משום דמכיון שהמצה נתקנה משום ״זכר לגאולה ולחירות״ עכ״פ</w:t>
      </w:r>
      <w:r w:rsidRPr="00F80C08">
        <w:rPr>
          <w:rtl/>
        </w:rPr>
        <w:t xml:space="preserve">, </w:t>
      </w:r>
      <w:r w:rsidRPr="00F80C08">
        <w:rPr>
          <w:rFonts w:hint="cs"/>
          <w:rtl/>
        </w:rPr>
        <w:t xml:space="preserve">הרי שפיר אפ״ל שתוכן ענינה של מצות מצה </w:t>
      </w:r>
      <w:r w:rsidRPr="00F80C08">
        <w:rPr>
          <w:rtl/>
        </w:rPr>
        <w:t>[</w:t>
      </w:r>
      <w:r w:rsidRPr="00F80C08">
        <w:rPr>
          <w:rFonts w:hint="cs"/>
          <w:rtl/>
        </w:rPr>
        <w:t>״זכר לגאולה ולחירות״</w:t>
      </w:r>
      <w:r w:rsidRPr="00F80C08">
        <w:rPr>
          <w:rtl/>
        </w:rPr>
        <w:t xml:space="preserve">] </w:t>
      </w:r>
      <w:r w:rsidRPr="00F80C08">
        <w:rPr>
          <w:rFonts w:hint="cs"/>
          <w:rtl/>
        </w:rPr>
        <w:t>מצריך בה חיוב הסיבה כתנאי</w:t>
      </w:r>
      <w:r w:rsidRPr="00F80C08">
        <w:rPr>
          <w:rtl/>
        </w:rPr>
        <w:t xml:space="preserve">, </w:t>
      </w:r>
      <w:r w:rsidRPr="00F80C08">
        <w:rPr>
          <w:rFonts w:hint="cs"/>
          <w:rtl/>
        </w:rPr>
        <w:t>בכדי שה״זכר לגאולה ולחירות״ שלה יהי׳ שלם בכל הפרטים</w:t>
      </w:r>
      <w:r w:rsidRPr="00F80C08">
        <w:rPr>
          <w:rtl/>
        </w:rPr>
        <w:t xml:space="preserve">, </w:t>
      </w:r>
      <w:r w:rsidRPr="00F80C08">
        <w:rPr>
          <w:rFonts w:hint="cs"/>
          <w:rtl/>
        </w:rPr>
        <w:t>וכמבואר לעיל בהשיחה</w:t>
      </w:r>
      <w:r w:rsidRPr="00F80C08">
        <w:rPr>
          <w:rtl/>
        </w:rPr>
        <w:t>.</w:t>
      </w:r>
    </w:p>
    <w:p w:rsidR="004820B2" w:rsidRPr="00F80C08" w:rsidRDefault="004820B2" w:rsidP="00900523">
      <w:pPr>
        <w:pStyle w:val="FootnoteText"/>
      </w:pPr>
      <w:r w:rsidRPr="00F80C08">
        <w:rPr>
          <w:rFonts w:hint="cs"/>
          <w:rtl/>
        </w:rPr>
        <w:t>ולאידך</w:t>
      </w:r>
      <w:r w:rsidRPr="00F80C08">
        <w:rPr>
          <w:rtl/>
        </w:rPr>
        <w:t xml:space="preserve">, </w:t>
      </w:r>
      <w:r w:rsidRPr="00F80C08">
        <w:rPr>
          <w:rFonts w:hint="cs"/>
          <w:rtl/>
        </w:rPr>
        <w:t>הנה גם לדיעות וטעמים אלו</w:t>
      </w:r>
      <w:r w:rsidRPr="00F80C08">
        <w:rPr>
          <w:rtl/>
        </w:rPr>
        <w:t xml:space="preserve">, </w:t>
      </w:r>
      <w:r w:rsidRPr="00F80C08">
        <w:rPr>
          <w:rFonts w:hint="cs"/>
          <w:rtl/>
        </w:rPr>
        <w:t>הרי בפשטות גם שתיית ד׳ כוסות בעי הסיבה</w:t>
      </w:r>
      <w:r w:rsidRPr="00F80C08">
        <w:rPr>
          <w:rtl/>
        </w:rPr>
        <w:t xml:space="preserve">, </w:t>
      </w:r>
      <w:r w:rsidRPr="00F80C08">
        <w:rPr>
          <w:rFonts w:hint="cs"/>
          <w:rtl/>
        </w:rPr>
        <w:t>וכפי שהוא מדינא דגמרא להדיא בפסחים קח</w:t>
      </w:r>
      <w:r w:rsidRPr="00F80C08">
        <w:rPr>
          <w:rtl/>
        </w:rPr>
        <w:t xml:space="preserve">, </w:t>
      </w:r>
      <w:r w:rsidRPr="00F80C08">
        <w:rPr>
          <w:rFonts w:hint="cs"/>
          <w:rtl/>
        </w:rPr>
        <w:t>א דיין בעי הסיבה</w:t>
      </w:r>
      <w:r w:rsidRPr="00F80C08">
        <w:rPr>
          <w:rtl/>
        </w:rPr>
        <w:t xml:space="preserve">, </w:t>
      </w:r>
      <w:r w:rsidRPr="00F80C08">
        <w:rPr>
          <w:rFonts w:hint="cs"/>
          <w:rtl/>
        </w:rPr>
        <w:t>אלא שלטעמים אלו נאמר שחיוב ההסיבה</w:t>
      </w:r>
      <w:r w:rsidRPr="00F80C08">
        <w:rPr>
          <w:rtl/>
        </w:rPr>
        <w:t xml:space="preserve"> [</w:t>
      </w:r>
      <w:r w:rsidRPr="00F80C08">
        <w:rPr>
          <w:rFonts w:hint="cs"/>
          <w:rtl/>
        </w:rPr>
        <w:t>בשייכות להמצוה דד׳ כוסות עכ״פ</w:t>
      </w:r>
      <w:r w:rsidRPr="00F80C08">
        <w:rPr>
          <w:rtl/>
        </w:rPr>
        <w:t xml:space="preserve">] </w:t>
      </w:r>
      <w:r w:rsidRPr="00F80C08">
        <w:rPr>
          <w:rFonts w:hint="cs"/>
          <w:rtl/>
        </w:rPr>
        <w:t>הוי בגדר מצוה כללית בפ״ע</w:t>
      </w:r>
      <w:r w:rsidRPr="00F80C08">
        <w:rPr>
          <w:rtl/>
        </w:rPr>
        <w:t xml:space="preserve">, </w:t>
      </w:r>
      <w:r w:rsidRPr="00F80C08">
        <w:rPr>
          <w:rFonts w:hint="cs"/>
          <w:rtl/>
        </w:rPr>
        <w:t>והוי שתיית היין דד׳ כוסות פרט במצוה הכללית דהסיבה</w:t>
      </w:r>
      <w:r w:rsidRPr="00F80C08">
        <w:rPr>
          <w:rtl/>
        </w:rPr>
        <w:t xml:space="preserve">, </w:t>
      </w:r>
      <w:r w:rsidRPr="00F80C08">
        <w:rPr>
          <w:rFonts w:hint="cs"/>
          <w:rtl/>
        </w:rPr>
        <w:t>וכמוש״נ בפנים</w:t>
      </w:r>
      <w:r w:rsidRPr="00F80C08">
        <w:rPr>
          <w:rtl/>
        </w:rPr>
        <w:t>.</w:t>
      </w:r>
    </w:p>
    <w:p w:rsidR="004820B2" w:rsidRPr="00F80C08" w:rsidRDefault="004820B2" w:rsidP="00900523">
      <w:pPr>
        <w:pStyle w:val="FootnoteText"/>
      </w:pPr>
      <w:r w:rsidRPr="00F80C08">
        <w:rPr>
          <w:rtl/>
        </w:rPr>
        <w:t>[</w:t>
      </w:r>
      <w:r w:rsidRPr="00F80C08">
        <w:rPr>
          <w:rFonts w:hint="cs"/>
          <w:rtl/>
        </w:rPr>
        <w:t xml:space="preserve">והא דלא סגי </w:t>
      </w:r>
      <w:r w:rsidRPr="00F80C08">
        <w:rPr>
          <w:rtl/>
        </w:rPr>
        <w:t>[</w:t>
      </w:r>
      <w:r w:rsidRPr="00F80C08">
        <w:rPr>
          <w:rFonts w:hint="cs"/>
          <w:rtl/>
        </w:rPr>
        <w:t>לקיום המצוה דהסיבה הכללית</w:t>
      </w:r>
      <w:r w:rsidRPr="00F80C08">
        <w:rPr>
          <w:rtl/>
        </w:rPr>
        <w:t xml:space="preserve">] </w:t>
      </w:r>
      <w:r w:rsidRPr="00F80C08">
        <w:rPr>
          <w:rFonts w:hint="cs"/>
          <w:rtl/>
        </w:rPr>
        <w:t>להסב בעת אכילת מצה לחוד</w:t>
      </w:r>
      <w:r w:rsidRPr="00F80C08">
        <w:rPr>
          <w:rtl/>
        </w:rPr>
        <w:t xml:space="preserve">, </w:t>
      </w:r>
      <w:r w:rsidRPr="00F80C08">
        <w:rPr>
          <w:rFonts w:hint="cs"/>
          <w:rtl/>
        </w:rPr>
        <w:t>ומדוע אפוא תיקנו חכמים להסב גם בעת שתיית ד׳ כוסות</w:t>
      </w:r>
      <w:r w:rsidRPr="00F80C08">
        <w:rPr>
          <w:rtl/>
        </w:rPr>
        <w:t xml:space="preserve">, </w:t>
      </w:r>
      <w:r w:rsidRPr="00F80C08">
        <w:rPr>
          <w:rFonts w:hint="cs"/>
          <w:rtl/>
        </w:rPr>
        <w:t>הנה כבר נתבאר זה בגליונות הקודמים דגם לצד זה דהסיבה הוי מצוה כללית בפ״ע הרי בעינן הן אכילה בהסיבה והן שתייה בהסיבה</w:t>
      </w:r>
      <w:r w:rsidRPr="00F80C08">
        <w:rPr>
          <w:rtl/>
        </w:rPr>
        <w:t xml:space="preserve">, </w:t>
      </w:r>
      <w:r w:rsidRPr="00F80C08">
        <w:rPr>
          <w:rFonts w:hint="cs"/>
          <w:rtl/>
        </w:rPr>
        <w:t>ורק ע״י צירוף של שניהם ביחד הוא דהוי ביטוי להנהגה דדרך חירות אמיתית יעויי״ש</w:t>
      </w:r>
      <w:r w:rsidRPr="00F80C08">
        <w:rPr>
          <w:rtl/>
        </w:rPr>
        <w:t>].</w:t>
      </w:r>
    </w:p>
    <w:p w:rsidR="004820B2" w:rsidRPr="00F80C08" w:rsidRDefault="004820B2" w:rsidP="00900523">
      <w:pPr>
        <w:pStyle w:val="FootnoteText"/>
      </w:pPr>
      <w:r w:rsidRPr="00F80C08">
        <w:rPr>
          <w:rFonts w:hint="cs"/>
          <w:rtl/>
        </w:rPr>
        <w:t xml:space="preserve">ושו״ר בהנחת השיחה הבלתי מוגהת שנדפסה בשיחו״ק ה׳תשכ״ט ח״ב שיחת אחש״פ </w:t>
      </w:r>
      <w:r w:rsidRPr="00F80C08">
        <w:rPr>
          <w:rtl/>
        </w:rPr>
        <w:t>(</w:t>
      </w:r>
      <w:r w:rsidRPr="00F80C08">
        <w:rPr>
          <w:rFonts w:hint="cs"/>
          <w:rtl/>
        </w:rPr>
        <w:t>אות יו״ד</w:t>
      </w:r>
      <w:r w:rsidRPr="00F80C08">
        <w:rPr>
          <w:rtl/>
        </w:rPr>
        <w:t xml:space="preserve">, </w:t>
      </w:r>
      <w:r w:rsidRPr="00F80C08">
        <w:rPr>
          <w:rFonts w:hint="cs"/>
          <w:rtl/>
        </w:rPr>
        <w:t xml:space="preserve">עמ׳ </w:t>
      </w:r>
      <w:r w:rsidRPr="00F80C08">
        <w:rPr>
          <w:rtl/>
        </w:rPr>
        <w:t xml:space="preserve">77 </w:t>
      </w:r>
      <w:r w:rsidRPr="00F80C08">
        <w:rPr>
          <w:rFonts w:hint="cs"/>
          <w:rtl/>
        </w:rPr>
        <w:t>שם</w:t>
      </w:r>
      <w:r w:rsidRPr="00F80C08">
        <w:rPr>
          <w:rtl/>
        </w:rPr>
        <w:t xml:space="preserve">) </w:t>
      </w:r>
      <w:r w:rsidRPr="00F80C08">
        <w:rPr>
          <w:rFonts w:hint="cs"/>
          <w:rtl/>
        </w:rPr>
        <w:t xml:space="preserve">שכך נאמר שם בתוך הדברים </w:t>
      </w:r>
      <w:r w:rsidRPr="00F80C08">
        <w:rPr>
          <w:rtl/>
        </w:rPr>
        <w:t>[</w:t>
      </w:r>
      <w:r w:rsidRPr="00F80C08">
        <w:rPr>
          <w:rFonts w:hint="cs"/>
          <w:rtl/>
        </w:rPr>
        <w:t>ההדגשות אינן במקור</w:t>
      </w:r>
      <w:r w:rsidRPr="00F80C08">
        <w:rPr>
          <w:rtl/>
        </w:rPr>
        <w:t xml:space="preserve">] </w:t>
      </w:r>
      <w:r w:rsidRPr="00F80C08">
        <w:rPr>
          <w:rFonts w:hint="cs"/>
          <w:rtl/>
        </w:rPr>
        <w:t>״לפ״ז קומט אויס</w:t>
      </w:r>
      <w:r w:rsidRPr="00F80C08">
        <w:rPr>
          <w:rtl/>
        </w:rPr>
        <w:t xml:space="preserve">, </w:t>
      </w:r>
      <w:r w:rsidRPr="00F80C08">
        <w:rPr>
          <w:rFonts w:hint="cs"/>
          <w:rtl/>
        </w:rPr>
        <w:t>אויב מ׳לערנט אפ ד׳ כוסות פון ד׳ לשונות של פורעניות</w:t>
      </w:r>
      <w:r w:rsidRPr="00F80C08">
        <w:rPr>
          <w:rtl/>
        </w:rPr>
        <w:t xml:space="preserve">, </w:t>
      </w:r>
      <w:r w:rsidRPr="00F80C08">
        <w:rPr>
          <w:rFonts w:hint="cs"/>
          <w:rtl/>
        </w:rPr>
        <w:t>דעמאלט קען מען נישט לערנען אז הסיבה איז א תנאי אין יין</w:t>
      </w:r>
      <w:r w:rsidRPr="00F80C08">
        <w:rPr>
          <w:rtl/>
        </w:rPr>
        <w:t xml:space="preserve">, </w:t>
      </w:r>
      <w:r w:rsidRPr="00F80C08">
        <w:rPr>
          <w:rFonts w:hint="cs"/>
          <w:rtl/>
        </w:rPr>
        <w:t>ווארום כל ענינה של הסיבה היא צוליב חירות וגאולה</w:t>
      </w:r>
      <w:r w:rsidRPr="00F80C08">
        <w:rPr>
          <w:rtl/>
        </w:rPr>
        <w:t xml:space="preserve">, </w:t>
      </w:r>
      <w:r w:rsidRPr="00F80C08">
        <w:rPr>
          <w:rFonts w:hint="cs"/>
          <w:rtl/>
        </w:rPr>
        <w:t>און יין איז דאך נישט צוליב גאולה וחירות</w:t>
      </w:r>
      <w:r w:rsidRPr="00F80C08">
        <w:rPr>
          <w:rtl/>
        </w:rPr>
        <w:t xml:space="preserve">. </w:t>
      </w:r>
      <w:r w:rsidRPr="00F80C08">
        <w:rPr>
          <w:rFonts w:hint="cs"/>
          <w:rtl/>
        </w:rPr>
        <w:t>אויב אבער מ׳ווערט לערנען אז יין איז א תנאי אין הסיבה</w:t>
      </w:r>
      <w:r w:rsidRPr="00F80C08">
        <w:rPr>
          <w:rtl/>
        </w:rPr>
        <w:t xml:space="preserve">, </w:t>
      </w:r>
      <w:r w:rsidRPr="00F80C08">
        <w:rPr>
          <w:rFonts w:hint="cs"/>
          <w:rtl/>
        </w:rPr>
        <w:t>קען מען יא לערנען אז ד׳ כוסות תיקנו כנגד ד׳ לשונות של פורעניות</w:t>
      </w:r>
      <w:r w:rsidRPr="00F80C08">
        <w:rPr>
          <w:rtl/>
        </w:rPr>
        <w:t xml:space="preserve">, </w:t>
      </w:r>
      <w:r w:rsidRPr="00F80C08">
        <w:rPr>
          <w:rFonts w:hint="cs"/>
          <w:rtl/>
        </w:rPr>
        <w:t>און אעפ״כ דארף עס זיין בהסיבה אלס א תנאי אין הסיבה״</w:t>
      </w:r>
      <w:r w:rsidRPr="00F80C08">
        <w:rPr>
          <w:rtl/>
        </w:rPr>
        <w:t xml:space="preserve">. </w:t>
      </w:r>
    </w:p>
    <w:p w:rsidR="004820B2" w:rsidRPr="00F80C08" w:rsidRDefault="004820B2" w:rsidP="00900523">
      <w:pPr>
        <w:pStyle w:val="FootnoteText"/>
      </w:pPr>
      <w:r w:rsidRPr="00F80C08">
        <w:rPr>
          <w:rFonts w:hint="cs"/>
          <w:rtl/>
        </w:rPr>
        <w:t xml:space="preserve">ועוד נתבאר שם בהמשך בשיחה לש״פ שמיני </w:t>
      </w:r>
      <w:r w:rsidRPr="00F80C08">
        <w:rPr>
          <w:rtl/>
        </w:rPr>
        <w:t>(</w:t>
      </w:r>
      <w:r w:rsidRPr="00F80C08">
        <w:rPr>
          <w:rFonts w:hint="cs"/>
          <w:rtl/>
        </w:rPr>
        <w:t xml:space="preserve">שם עמ׳ </w:t>
      </w:r>
      <w:r w:rsidRPr="00F80C08">
        <w:rPr>
          <w:rtl/>
        </w:rPr>
        <w:t xml:space="preserve">85) </w:t>
      </w:r>
      <w:r w:rsidRPr="00F80C08">
        <w:t>[</w:t>
      </w:r>
      <w:r w:rsidRPr="00F80C08">
        <w:rPr>
          <w:rFonts w:hint="cs"/>
          <w:rtl/>
        </w:rPr>
        <w:t>ההדגשות אינן במקור</w:t>
      </w:r>
      <w:r w:rsidRPr="00F80C08">
        <w:t>]</w:t>
      </w:r>
      <w:r w:rsidRPr="00F80C08">
        <w:rPr>
          <w:rFonts w:hint="cs"/>
          <w:rtl/>
        </w:rPr>
        <w:t xml:space="preserve"> ״דהנה במדרש ובירושלמי ישנם עוד טעמים על מה שתיקנו ד׳ כוסות</w:t>
      </w:r>
      <w:r w:rsidRPr="00F80C08">
        <w:rPr>
          <w:rtl/>
        </w:rPr>
        <w:t xml:space="preserve">, </w:t>
      </w:r>
      <w:r w:rsidRPr="00F80C08">
        <w:rPr>
          <w:rFonts w:hint="cs"/>
          <w:rtl/>
        </w:rPr>
        <w:t>כנגד ד׳ פורעניות</w:t>
      </w:r>
      <w:r w:rsidRPr="00F80C08">
        <w:rPr>
          <w:rtl/>
        </w:rPr>
        <w:t xml:space="preserve">, </w:t>
      </w:r>
      <w:r w:rsidRPr="00F80C08">
        <w:rPr>
          <w:rFonts w:hint="cs"/>
          <w:rtl/>
        </w:rPr>
        <w:t>כנגד ד׳ כוסות האמורים אצל פרעה ועוד</w:t>
      </w:r>
      <w:r w:rsidRPr="00F80C08">
        <w:rPr>
          <w:rtl/>
        </w:rPr>
        <w:t xml:space="preserve">, </w:t>
      </w:r>
      <w:r w:rsidRPr="00F80C08">
        <w:rPr>
          <w:rFonts w:hint="cs"/>
          <w:rtl/>
        </w:rPr>
        <w:t>ולפי טעמים אלו מסתבר שהד׳ כוסות הם תנאי בההסיבה</w:t>
      </w:r>
      <w:r w:rsidRPr="00F80C08">
        <w:rPr>
          <w:rtl/>
        </w:rPr>
        <w:t xml:space="preserve">, </w:t>
      </w:r>
      <w:r w:rsidRPr="00F80C08">
        <w:rPr>
          <w:rFonts w:hint="cs"/>
          <w:rtl/>
        </w:rPr>
        <w:t xml:space="preserve">דמכיון שהד׳ כוסות אינם מצד ענין הגאולה </w:t>
      </w:r>
      <w:r w:rsidRPr="00F80C08">
        <w:rPr>
          <w:rtl/>
        </w:rPr>
        <w:t>(</w:t>
      </w:r>
      <w:r w:rsidRPr="00F80C08">
        <w:rPr>
          <w:rFonts w:hint="cs"/>
          <w:rtl/>
        </w:rPr>
        <w:t>ורק מצד טעמים אחרים</w:t>
      </w:r>
      <w:r w:rsidRPr="00F80C08">
        <w:rPr>
          <w:rtl/>
        </w:rPr>
        <w:t xml:space="preserve">), </w:t>
      </w:r>
      <w:r w:rsidRPr="00F80C08">
        <w:rPr>
          <w:rFonts w:hint="cs"/>
          <w:rtl/>
        </w:rPr>
        <w:t>הרי אין סברא לומר שיוצרך להיות בהם הסיבה מצד עצמם</w:t>
      </w:r>
      <w:r w:rsidRPr="00F80C08">
        <w:rPr>
          <w:rtl/>
        </w:rPr>
        <w:t xml:space="preserve">, </w:t>
      </w:r>
      <w:r w:rsidRPr="00F80C08">
        <w:rPr>
          <w:rFonts w:hint="cs"/>
          <w:rtl/>
        </w:rPr>
        <w:t>מכיון שענינם אינו ענין החירות</w:t>
      </w:r>
      <w:r w:rsidRPr="00F80C08">
        <w:rPr>
          <w:rtl/>
        </w:rPr>
        <w:t xml:space="preserve">. </w:t>
      </w:r>
      <w:r w:rsidRPr="00F80C08">
        <w:rPr>
          <w:rFonts w:hint="cs"/>
          <w:rtl/>
        </w:rPr>
        <w:t>ולכן מסתבר שהסיבה היא תקנה בפני עצמה</w:t>
      </w:r>
      <w:r w:rsidRPr="00F80C08">
        <w:rPr>
          <w:rtl/>
        </w:rPr>
        <w:t xml:space="preserve">, </w:t>
      </w:r>
      <w:r w:rsidRPr="00F80C08">
        <w:rPr>
          <w:rFonts w:hint="cs"/>
          <w:rtl/>
        </w:rPr>
        <w:t>וצריכה להיות מצד החירות של ליל הפסח</w:t>
      </w:r>
      <w:r w:rsidRPr="00F80C08">
        <w:rPr>
          <w:rtl/>
        </w:rPr>
        <w:t xml:space="preserve">, </w:t>
      </w:r>
      <w:r w:rsidRPr="00F80C08">
        <w:rPr>
          <w:rFonts w:hint="cs"/>
          <w:rtl/>
        </w:rPr>
        <w:t>אלא שתקנה זו שתיקנו שיהיו מסובים בליל הפסח תיקנו אותה שתהי׳ בשעת עשיית ענינים אלו שעושים אותם במיוחד בליל הפסח</w:t>
      </w:r>
      <w:r w:rsidRPr="00F80C08">
        <w:rPr>
          <w:rtl/>
        </w:rPr>
        <w:t xml:space="preserve">, </w:t>
      </w:r>
      <w:r w:rsidRPr="00F80C08">
        <w:rPr>
          <w:rFonts w:hint="cs"/>
          <w:rtl/>
        </w:rPr>
        <w:t>ולכן צ״ל ההסיבה גם בשעת הד׳ כוסות״</w:t>
      </w:r>
      <w:r w:rsidRPr="00F80C08">
        <w:rPr>
          <w:rtl/>
        </w:rPr>
        <w:t xml:space="preserve">. </w:t>
      </w:r>
      <w:r w:rsidRPr="00F80C08">
        <w:rPr>
          <w:rFonts w:hint="cs"/>
          <w:rtl/>
        </w:rPr>
        <w:t>והן הן הדברים</w:t>
      </w:r>
      <w:r w:rsidRPr="00F80C08">
        <w:rPr>
          <w:rtl/>
        </w:rPr>
        <w:t>.</w:t>
      </w:r>
    </w:p>
  </w:footnote>
  <w:footnote w:id="92">
    <w:p w:rsidR="004820B2" w:rsidRPr="00F80C08" w:rsidRDefault="004820B2" w:rsidP="00900523">
      <w:pPr>
        <w:pStyle w:val="FootnoteText"/>
      </w:pPr>
      <w:r w:rsidRPr="00F80C08">
        <w:footnoteRef/>
      </w:r>
      <w:r>
        <w:rPr>
          <w:rFonts w:hint="cs"/>
          <w:rtl/>
        </w:rPr>
        <w:t>)</w:t>
      </w:r>
      <w:r w:rsidRPr="00F80C08">
        <w:rPr>
          <w:rtl/>
        </w:rPr>
        <w:t xml:space="preserve"> </w:t>
      </w:r>
      <w:r w:rsidRPr="00F80C08">
        <w:rPr>
          <w:rFonts w:hint="cs"/>
          <w:rtl/>
        </w:rPr>
        <w:t xml:space="preserve">ואגב אורחא יש להעיר בזה דבשיחו״ק שם בשיחה לש״פ שמיני </w:t>
      </w:r>
      <w:r w:rsidRPr="00F80C08">
        <w:rPr>
          <w:rtl/>
        </w:rPr>
        <w:t>(</w:t>
      </w:r>
      <w:r w:rsidRPr="00F80C08">
        <w:rPr>
          <w:rFonts w:hint="cs"/>
          <w:rtl/>
        </w:rPr>
        <w:t xml:space="preserve">עמ׳ </w:t>
      </w:r>
      <w:r w:rsidRPr="00F80C08">
        <w:rPr>
          <w:rtl/>
        </w:rPr>
        <w:t xml:space="preserve">85) </w:t>
      </w:r>
      <w:r w:rsidRPr="00F80C08">
        <w:rPr>
          <w:rFonts w:hint="cs"/>
          <w:rtl/>
        </w:rPr>
        <w:t>נתבאר דלצד זה דהסיבה היא מצוה כללית בפ״ע</w:t>
      </w:r>
      <w:r w:rsidRPr="00F80C08">
        <w:rPr>
          <w:rtl/>
        </w:rPr>
        <w:t xml:space="preserve">, </w:t>
      </w:r>
      <w:r w:rsidRPr="00F80C08">
        <w:rPr>
          <w:rFonts w:hint="cs"/>
          <w:rtl/>
        </w:rPr>
        <w:t>הנה הטעם שתיקנו אותה חכמים בעת אכילת מצה ושתיית ד׳ כוסות דייקא הוא משום ש״תיקנו אותה שתהי׳ בשעת עשיית ענינים אלו שעושים אותם במיוחד בליל הפסח״ עיי״ש</w:t>
      </w:r>
      <w:r w:rsidRPr="00F80C08">
        <w:rPr>
          <w:rtl/>
        </w:rPr>
        <w:t xml:space="preserve">. </w:t>
      </w:r>
    </w:p>
    <w:p w:rsidR="004820B2" w:rsidRPr="00F80C08" w:rsidRDefault="004820B2" w:rsidP="00900523">
      <w:pPr>
        <w:pStyle w:val="FootnoteText"/>
      </w:pPr>
      <w:r w:rsidRPr="00F80C08">
        <w:rPr>
          <w:rFonts w:hint="cs"/>
          <w:rtl/>
        </w:rPr>
        <w:t xml:space="preserve">ולכאורה הרי זה באו״א ממשנ״ת בלקו״ש חי״א שם הערה </w:t>
      </w:r>
      <w:r w:rsidRPr="00F80C08">
        <w:rPr>
          <w:rtl/>
        </w:rPr>
        <w:t xml:space="preserve">9 </w:t>
      </w:r>
      <w:r w:rsidRPr="00F80C08">
        <w:rPr>
          <w:rFonts w:hint="cs"/>
          <w:rtl/>
        </w:rPr>
        <w:t xml:space="preserve">דהטעם לצד זה שתיקנו את מצוה הסיבה בעת אכילת מצה ושתיית ד׳ כוסות דייקא ולא באכו״ש סתם בשאר הסעודה הוא משום ״כי הסיבה ענינה הוא בכדי ״להראות א״ע כאילו הוא עתה יוצא משעבוד מצרים </w:t>
      </w:r>
      <w:r w:rsidRPr="00F80C08">
        <w:rPr>
          <w:rtl/>
        </w:rPr>
        <w:t xml:space="preserve">. . </w:t>
      </w:r>
      <w:r w:rsidRPr="00F80C08">
        <w:rPr>
          <w:rFonts w:hint="cs"/>
          <w:rtl/>
        </w:rPr>
        <w:t xml:space="preserve">ויצאת לחירות״ </w:t>
      </w:r>
      <w:r w:rsidRPr="00F80C08">
        <w:rPr>
          <w:rtl/>
        </w:rPr>
        <w:t xml:space="preserve">. . </w:t>
      </w:r>
      <w:r w:rsidRPr="00F80C08">
        <w:rPr>
          <w:rFonts w:hint="cs"/>
          <w:rtl/>
        </w:rPr>
        <w:t xml:space="preserve">ולכן חיובה דוקא ב״דברים אלו </w:t>
      </w:r>
      <w:r w:rsidRPr="00F80C08">
        <w:rPr>
          <w:rtl/>
        </w:rPr>
        <w:t>(</w:t>
      </w:r>
      <w:r w:rsidRPr="00F80C08">
        <w:rPr>
          <w:rFonts w:hint="cs"/>
          <w:rtl/>
        </w:rPr>
        <w:t>ש</w:t>
      </w:r>
      <w:r w:rsidRPr="00F80C08">
        <w:rPr>
          <w:rtl/>
        </w:rPr>
        <w:t>)</w:t>
      </w:r>
      <w:r w:rsidRPr="00F80C08">
        <w:rPr>
          <w:rFonts w:hint="cs"/>
          <w:rtl/>
        </w:rPr>
        <w:t>הם זכר לגאולה ולחירות״״</w:t>
      </w:r>
      <w:r w:rsidRPr="00F80C08">
        <w:rPr>
          <w:rtl/>
        </w:rPr>
        <w:t>.</w:t>
      </w:r>
    </w:p>
    <w:p w:rsidR="004820B2" w:rsidRPr="00F80C08" w:rsidRDefault="004820B2" w:rsidP="00900523">
      <w:pPr>
        <w:pStyle w:val="FootnoteText"/>
      </w:pPr>
      <w:r w:rsidRPr="00F80C08">
        <w:rPr>
          <w:rFonts w:hint="cs"/>
          <w:rtl/>
        </w:rPr>
        <w:t>אלא שיש להעיר שהמובא בשיחו״ק שם הוא מהנחת שיחה בלתי מוגה</w:t>
      </w:r>
      <w:r w:rsidRPr="00F80C08">
        <w:rPr>
          <w:rtl/>
        </w:rPr>
        <w:t xml:space="preserve">. </w:t>
      </w:r>
      <w:r w:rsidRPr="00F80C08">
        <w:rPr>
          <w:rFonts w:hint="cs"/>
          <w:rtl/>
        </w:rPr>
        <w:t xml:space="preserve">וראה גם שם בהמשך הדברים </w:t>
      </w:r>
      <w:r w:rsidRPr="00F80C08">
        <w:rPr>
          <w:rtl/>
        </w:rPr>
        <w:t>(</w:t>
      </w:r>
      <w:r w:rsidRPr="00F80C08">
        <w:rPr>
          <w:rFonts w:hint="cs"/>
          <w:rtl/>
        </w:rPr>
        <w:t xml:space="preserve">עמ׳ </w:t>
      </w:r>
      <w:r w:rsidRPr="00F80C08">
        <w:rPr>
          <w:rtl/>
        </w:rPr>
        <w:t xml:space="preserve">87) </w:t>
      </w:r>
      <w:r w:rsidRPr="00F80C08">
        <w:rPr>
          <w:rFonts w:hint="cs"/>
          <w:rtl/>
        </w:rPr>
        <w:t>שהעירו המניחים בשלב מסוים של השיחה אשר ״כל קטע זה לא זכרו היטב בשעת החזרה</w:t>
      </w:r>
      <w:r w:rsidRPr="00F80C08">
        <w:rPr>
          <w:rtl/>
        </w:rPr>
        <w:t xml:space="preserve">, </w:t>
      </w:r>
      <w:r w:rsidRPr="00F80C08">
        <w:rPr>
          <w:rFonts w:hint="cs"/>
          <w:rtl/>
        </w:rPr>
        <w:t>וגם חסר קצת״</w:t>
      </w:r>
      <w:r w:rsidRPr="00F80C08">
        <w:rPr>
          <w:rtl/>
        </w:rPr>
        <w:t xml:space="preserve">, </w:t>
      </w:r>
      <w:r w:rsidRPr="00F80C08">
        <w:rPr>
          <w:rFonts w:hint="cs"/>
          <w:rtl/>
        </w:rPr>
        <w:t>כך שקשה לדייק כ״כ משם</w:t>
      </w:r>
      <w:r w:rsidRPr="00F80C08">
        <w:rPr>
          <w:rtl/>
        </w:rPr>
        <w:t>.</w:t>
      </w:r>
    </w:p>
    <w:p w:rsidR="004820B2" w:rsidRPr="00F80C08" w:rsidRDefault="004820B2" w:rsidP="00900523">
      <w:pPr>
        <w:pStyle w:val="FootnoteText"/>
      </w:pPr>
      <w:r w:rsidRPr="00F80C08">
        <w:rPr>
          <w:rFonts w:hint="cs"/>
          <w:rtl/>
        </w:rPr>
        <w:t>ויעויין בזה גם בחידושי הגרי״ז על הרמב״ם הל׳ חו״מ פ״ז ה״ז שכתב שם לבאר לפי דרכו דהרמב״ם ס״ל כהצד דהסיבה היא מצוה כללית בפ״ע</w:t>
      </w:r>
      <w:r w:rsidRPr="00F80C08">
        <w:rPr>
          <w:rtl/>
        </w:rPr>
        <w:t xml:space="preserve">, </w:t>
      </w:r>
      <w:r w:rsidRPr="00F80C08">
        <w:rPr>
          <w:rFonts w:hint="cs"/>
          <w:rtl/>
        </w:rPr>
        <w:t>וכתב ע״ז ״אלא דחכמים קבעו למצוה זו בשעת אכילת המצה ושתיית הד׳ כוסות</w:t>
      </w:r>
      <w:r w:rsidRPr="00F80C08">
        <w:rPr>
          <w:rtl/>
        </w:rPr>
        <w:t xml:space="preserve">, </w:t>
      </w:r>
      <w:r w:rsidRPr="00F80C08">
        <w:rPr>
          <w:rFonts w:hint="cs"/>
          <w:rtl/>
        </w:rPr>
        <w:t xml:space="preserve">אבל עכ״פ </w:t>
      </w:r>
      <w:r w:rsidRPr="00F80C08">
        <w:rPr>
          <w:rtl/>
        </w:rPr>
        <w:t>[=</w:t>
      </w:r>
      <w:r w:rsidRPr="00F80C08">
        <w:rPr>
          <w:rFonts w:hint="cs"/>
          <w:rtl/>
        </w:rPr>
        <w:t>ההסיבה</w:t>
      </w:r>
      <w:r w:rsidRPr="00F80C08">
        <w:rPr>
          <w:rtl/>
        </w:rPr>
        <w:t xml:space="preserve">] </w:t>
      </w:r>
      <w:r w:rsidRPr="00F80C08">
        <w:rPr>
          <w:rFonts w:hint="cs"/>
          <w:rtl/>
        </w:rPr>
        <w:t xml:space="preserve">מצוה בפ״ע היא ולא מדיני המצוה של מצה וד׳ כוסות </w:t>
      </w:r>
      <w:r w:rsidRPr="00F80C08">
        <w:rPr>
          <w:rtl/>
        </w:rPr>
        <w:t xml:space="preserve">. . </w:t>
      </w:r>
      <w:r w:rsidRPr="00F80C08">
        <w:rPr>
          <w:rFonts w:hint="cs"/>
          <w:rtl/>
        </w:rPr>
        <w:t>ושייכה גם בשאר אכילתו ושתייתו</w:t>
      </w:r>
      <w:r w:rsidRPr="00F80C08">
        <w:rPr>
          <w:rtl/>
        </w:rPr>
        <w:t xml:space="preserve">, </w:t>
      </w:r>
      <w:r w:rsidRPr="00F80C08">
        <w:rPr>
          <w:rFonts w:hint="cs"/>
          <w:rtl/>
        </w:rPr>
        <w:t>אלא דאינו מחויב בה רק בשעת אכילת מצה ושתיית ד׳ כוסות</w:t>
      </w:r>
      <w:r w:rsidRPr="00F80C08">
        <w:rPr>
          <w:rtl/>
        </w:rPr>
        <w:t xml:space="preserve">, </w:t>
      </w:r>
      <w:r w:rsidRPr="00F80C08">
        <w:rPr>
          <w:rFonts w:hint="cs"/>
          <w:rtl/>
        </w:rPr>
        <w:t>אבל בעיקר דינה אין לה ענין עם מצות אכילת מצה ושתיית ד׳ כוסות כלל״</w:t>
      </w:r>
      <w:r w:rsidRPr="00F80C08">
        <w:rPr>
          <w:rtl/>
        </w:rPr>
        <w:t>.</w:t>
      </w:r>
    </w:p>
    <w:p w:rsidR="004820B2" w:rsidRPr="00F80C08" w:rsidRDefault="004820B2" w:rsidP="00900523">
      <w:pPr>
        <w:pStyle w:val="FootnoteText"/>
      </w:pPr>
      <w:r w:rsidRPr="00F80C08">
        <w:rPr>
          <w:rFonts w:hint="cs"/>
          <w:rtl/>
        </w:rPr>
        <w:t>וגם בזה יש להעיר כי הדברים הם באו״א ממשנ״ת בלקו״ש חי״א שם</w:t>
      </w:r>
      <w:r w:rsidRPr="00F80C08">
        <w:rPr>
          <w:rtl/>
        </w:rPr>
        <w:t xml:space="preserve">, </w:t>
      </w:r>
      <w:r w:rsidRPr="00F80C08">
        <w:rPr>
          <w:rFonts w:hint="cs"/>
          <w:rtl/>
        </w:rPr>
        <w:t>אלא שסתם ולא פירש מדוע אכן תיקנו חכמים לקיים מצות הסיבה בשעת אכילת מצה ושתיית ד׳ כוסות דייקא</w:t>
      </w:r>
      <w:r w:rsidRPr="00F80C08">
        <w:rPr>
          <w:rtl/>
        </w:rPr>
        <w:t xml:space="preserve">, </w:t>
      </w:r>
      <w:r w:rsidRPr="00F80C08">
        <w:rPr>
          <w:rFonts w:hint="cs"/>
          <w:rtl/>
        </w:rPr>
        <w:t>ולכאורה י״ל הטעם בזה לפי דרכו בכמה אופנים</w:t>
      </w:r>
      <w:r w:rsidRPr="00F80C08">
        <w:rPr>
          <w:rtl/>
        </w:rPr>
        <w:t xml:space="preserve">, </w:t>
      </w:r>
      <w:r w:rsidRPr="00F80C08">
        <w:rPr>
          <w:rFonts w:hint="cs"/>
          <w:rtl/>
        </w:rPr>
        <w:t>ומהם גם ע״פ המבואר בשיחו״ק שם ודו״ק</w:t>
      </w:r>
      <w:r w:rsidRPr="00F80C08">
        <w:rPr>
          <w:rtl/>
        </w:rPr>
        <w:t>.</w:t>
      </w:r>
    </w:p>
  </w:footnote>
  <w:footnote w:id="93">
    <w:p w:rsidR="004820B2" w:rsidRPr="00F80C08" w:rsidRDefault="004820B2" w:rsidP="009F0D7D">
      <w:pPr>
        <w:pStyle w:val="FootnoteText"/>
      </w:pPr>
      <w:r w:rsidRPr="00F80C08">
        <w:footnoteRef/>
      </w:r>
      <w:r>
        <w:rPr>
          <w:rFonts w:hint="cs"/>
          <w:rtl/>
        </w:rPr>
        <w:t>)</w:t>
      </w:r>
      <w:r w:rsidRPr="00F80C08">
        <w:rPr>
          <w:rtl/>
        </w:rPr>
        <w:t xml:space="preserve"> </w:t>
      </w:r>
      <w:r w:rsidRPr="00F80C08">
        <w:rPr>
          <w:rFonts w:hint="cs"/>
          <w:rtl/>
        </w:rPr>
        <w:t xml:space="preserve">ולפ״ז נראה פשוט דפיענוח הר״ת </w:t>
      </w:r>
      <w:r w:rsidRPr="00F80C08">
        <w:rPr>
          <w:rtl/>
        </w:rPr>
        <w:t>[</w:t>
      </w:r>
      <w:r w:rsidRPr="00F80C08">
        <w:rPr>
          <w:rFonts w:hint="cs"/>
          <w:rtl/>
        </w:rPr>
        <w:t xml:space="preserve">במש״כ בהשיחה שם עמ׳ </w:t>
      </w:r>
      <w:r w:rsidRPr="00F80C08">
        <w:rPr>
          <w:rtl/>
        </w:rPr>
        <w:t xml:space="preserve">19 </w:t>
      </w:r>
      <w:r w:rsidRPr="00F80C08">
        <w:rPr>
          <w:rFonts w:hint="cs"/>
          <w:rtl/>
        </w:rPr>
        <w:t xml:space="preserve">וזלה״ק ״וממשיך להוכיח בהדגשת הטעם </w:t>
      </w:r>
      <w:r w:rsidRPr="00F80C08">
        <w:rPr>
          <w:rtl/>
        </w:rPr>
        <w:t>(</w:t>
      </w:r>
      <w:r w:rsidRPr="00F80C08">
        <w:rPr>
          <w:rFonts w:hint="cs"/>
          <w:rtl/>
        </w:rPr>
        <w:t>בשייכות להד׳ כוסות</w:t>
      </w:r>
      <w:r w:rsidRPr="00F80C08">
        <w:rPr>
          <w:rtl/>
        </w:rPr>
        <w:t xml:space="preserve">): </w:t>
      </w:r>
      <w:r w:rsidRPr="00F80C08">
        <w:rPr>
          <w:rFonts w:hint="cs"/>
          <w:rtl/>
        </w:rPr>
        <w:t>״שהד׳ כוסות תקנו חכמים כנגד ד׳ לשונות של גאולה האמורים בפרשת וארא״</w:t>
      </w:r>
      <w:r w:rsidRPr="00F80C08">
        <w:rPr>
          <w:rtl/>
        </w:rPr>
        <w:t xml:space="preserve">. </w:t>
      </w:r>
      <w:r w:rsidRPr="00F80C08">
        <w:rPr>
          <w:rFonts w:hint="cs"/>
          <w:rtl/>
        </w:rPr>
        <w:t>ומזה</w:t>
      </w:r>
      <w:r w:rsidRPr="00F80C08">
        <w:rPr>
          <w:rtl/>
        </w:rPr>
        <w:t xml:space="preserve">, </w:t>
      </w:r>
      <w:r w:rsidRPr="00F80C08">
        <w:rPr>
          <w:rFonts w:hint="cs"/>
          <w:rtl/>
        </w:rPr>
        <w:t>שמצוה זו ענינה גאולה וחירות</w:t>
      </w:r>
      <w:r w:rsidRPr="00F80C08">
        <w:rPr>
          <w:rtl/>
        </w:rPr>
        <w:t xml:space="preserve">, </w:t>
      </w:r>
      <w:r w:rsidRPr="00F80C08">
        <w:rPr>
          <w:rFonts w:hint="cs"/>
          <w:rtl/>
        </w:rPr>
        <w:t>ושע״כ היא צריכה הסיבה כתנאי</w:t>
      </w:r>
      <w:r w:rsidRPr="00F80C08">
        <w:rPr>
          <w:rtl/>
        </w:rPr>
        <w:t xml:space="preserve">, </w:t>
      </w:r>
      <w:r w:rsidRPr="00F80C08">
        <w:rPr>
          <w:rFonts w:hint="cs"/>
          <w:rtl/>
        </w:rPr>
        <w:t>משא״כ לפי טעמים האחרים לתקנת ד׳ הכוסות״</w:t>
      </w:r>
      <w:r w:rsidRPr="00F80C08">
        <w:rPr>
          <w:rtl/>
        </w:rPr>
        <w:t xml:space="preserve">] </w:t>
      </w:r>
      <w:r w:rsidRPr="00F80C08">
        <w:rPr>
          <w:rFonts w:hint="cs"/>
          <w:rtl/>
        </w:rPr>
        <w:t>דתיבת ״ושע״כ״ הוא ״ושעל כן״</w:t>
      </w:r>
      <w:r w:rsidRPr="00F80C08">
        <w:rPr>
          <w:rtl/>
        </w:rPr>
        <w:t xml:space="preserve">, </w:t>
      </w:r>
      <w:r w:rsidRPr="00F80C08">
        <w:rPr>
          <w:rFonts w:hint="cs"/>
          <w:rtl/>
        </w:rPr>
        <w:t>ולא ״ושעל כרחך״</w:t>
      </w:r>
      <w:r w:rsidRPr="00F80C08">
        <w:rPr>
          <w:rtl/>
        </w:rPr>
        <w:t>.</w:t>
      </w:r>
    </w:p>
  </w:footnote>
  <w:footnote w:id="94">
    <w:p w:rsidR="004820B2" w:rsidRPr="00F80C08" w:rsidRDefault="004820B2" w:rsidP="009F0D7D">
      <w:pPr>
        <w:pStyle w:val="FootnoteText"/>
      </w:pPr>
      <w:r w:rsidRPr="00F80C08">
        <w:footnoteRef/>
      </w:r>
      <w:r>
        <w:rPr>
          <w:rFonts w:hint="cs"/>
          <w:rtl/>
        </w:rPr>
        <w:t>)</w:t>
      </w:r>
      <w:r w:rsidRPr="00F80C08">
        <w:rPr>
          <w:rtl/>
        </w:rPr>
        <w:t xml:space="preserve"> </w:t>
      </w:r>
      <w:r w:rsidRPr="00F80C08">
        <w:rPr>
          <w:rFonts w:hint="cs"/>
          <w:rtl/>
        </w:rPr>
        <w:t>כלומר</w:t>
      </w:r>
      <w:r w:rsidRPr="00F80C08">
        <w:rPr>
          <w:rtl/>
        </w:rPr>
        <w:t xml:space="preserve">, </w:t>
      </w:r>
      <w:r w:rsidRPr="00F80C08">
        <w:rPr>
          <w:rFonts w:hint="cs"/>
          <w:rtl/>
        </w:rPr>
        <w:t>אין הקושיא מדוע תיקנו להסב גם בשעת שתיית ד׳ כוסות</w:t>
      </w:r>
      <w:r w:rsidRPr="00F80C08">
        <w:rPr>
          <w:rtl/>
        </w:rPr>
        <w:t xml:space="preserve">, </w:t>
      </w:r>
      <w:r w:rsidRPr="00F80C08">
        <w:rPr>
          <w:rFonts w:hint="cs"/>
          <w:rtl/>
        </w:rPr>
        <w:t>ולא סגי לקיום המצוה הכללית דהסיבה לאכול מצה בהסיבה לחוד</w:t>
      </w:r>
      <w:r w:rsidRPr="00F80C08">
        <w:rPr>
          <w:rtl/>
        </w:rPr>
        <w:t xml:space="preserve">, </w:t>
      </w:r>
      <w:r w:rsidRPr="00F80C08">
        <w:rPr>
          <w:rFonts w:hint="cs"/>
          <w:rtl/>
        </w:rPr>
        <w:t>שכן על זה כבר נתבאר בגליונות הקודמים דנראה דלקיום מצות הסיבה הכללית בעינן הן אכילה בהסיבה והן שתייה בהסיבה</w:t>
      </w:r>
      <w:r w:rsidRPr="00F80C08">
        <w:rPr>
          <w:rtl/>
        </w:rPr>
        <w:t xml:space="preserve">, </w:t>
      </w:r>
      <w:r w:rsidRPr="00F80C08">
        <w:rPr>
          <w:rFonts w:hint="cs"/>
          <w:rtl/>
        </w:rPr>
        <w:t>אלא הקושיא היא מדוע תיקנו להסב בעת שתיית ד׳ כוסות דייקא</w:t>
      </w:r>
      <w:r w:rsidRPr="00F80C08">
        <w:rPr>
          <w:rtl/>
        </w:rPr>
        <w:t xml:space="preserve">, </w:t>
      </w:r>
      <w:r w:rsidRPr="00F80C08">
        <w:rPr>
          <w:rFonts w:hint="cs"/>
          <w:rtl/>
        </w:rPr>
        <w:t>והרי לכאורה שפיר ניתן לקיימה בשאר שתייה סתם</w:t>
      </w:r>
      <w:r w:rsidRPr="00F80C08">
        <w:rPr>
          <w:rtl/>
        </w:rPr>
        <w:t>.</w:t>
      </w:r>
    </w:p>
  </w:footnote>
  <w:footnote w:id="95">
    <w:p w:rsidR="004820B2" w:rsidRPr="00F80C08" w:rsidRDefault="004820B2" w:rsidP="009F0D7D">
      <w:pPr>
        <w:pStyle w:val="FootnoteText"/>
      </w:pPr>
      <w:r w:rsidRPr="00F80C08">
        <w:footnoteRef/>
      </w:r>
      <w:r>
        <w:rPr>
          <w:rFonts w:hint="cs"/>
          <w:rtl/>
        </w:rPr>
        <w:t>)</w:t>
      </w:r>
      <w:r w:rsidRPr="00F80C08">
        <w:rPr>
          <w:rtl/>
        </w:rPr>
        <w:t xml:space="preserve"> </w:t>
      </w:r>
      <w:r w:rsidRPr="00F80C08">
        <w:rPr>
          <w:rFonts w:hint="cs"/>
          <w:rtl/>
        </w:rPr>
        <w:t xml:space="preserve">ולהעיר מהמובא לעיל הערה </w:t>
      </w:r>
      <w:r w:rsidRPr="00F80C08">
        <w:rPr>
          <w:rtl/>
        </w:rPr>
        <w:t xml:space="preserve">8 </w:t>
      </w:r>
      <w:r w:rsidRPr="00F80C08">
        <w:rPr>
          <w:rFonts w:hint="cs"/>
          <w:rtl/>
        </w:rPr>
        <w:t>ממשנ״ת בשיחו״ק שם וממש״כ בחידושי הגרי״ז ז״ל שם עיי״ש</w:t>
      </w:r>
      <w:r w:rsidRPr="00F80C08">
        <w:rPr>
          <w:rtl/>
        </w:rPr>
        <w:t xml:space="preserve">. </w:t>
      </w:r>
    </w:p>
    <w:p w:rsidR="004820B2" w:rsidRPr="00F80C08" w:rsidRDefault="004820B2" w:rsidP="00900523">
      <w:pPr>
        <w:pStyle w:val="FootnoteText"/>
      </w:pPr>
      <w:r w:rsidRPr="00F80C08">
        <w:rPr>
          <w:rFonts w:hint="cs"/>
          <w:rtl/>
        </w:rPr>
        <w:t xml:space="preserve">אמנם עיקר דברינו שבפנים הוא לפי דרכו של רבינו בלקו״ש חי״א שם אשר כתב בתחילת השיחה בהערה </w:t>
      </w:r>
      <w:r w:rsidRPr="00F80C08">
        <w:rPr>
          <w:rtl/>
        </w:rPr>
        <w:t xml:space="preserve">9 </w:t>
      </w:r>
      <w:r w:rsidRPr="00F80C08">
        <w:rPr>
          <w:rFonts w:hint="cs"/>
          <w:rtl/>
        </w:rPr>
        <w:t xml:space="preserve">ליסוד מוסד דלצד זה דהסיבה היא מצוה כללית בפ״ע הנה הטעם שתיקנו חכמים לקיים מצוה זו בעת המצה והד׳ כוסות דייקא הוא מפאת השייכות המיוחדת והעניינית </w:t>
      </w:r>
      <w:r w:rsidRPr="00F80C08">
        <w:rPr>
          <w:rtl/>
        </w:rPr>
        <w:t>[</w:t>
      </w:r>
      <w:r w:rsidRPr="00F80C08">
        <w:rPr>
          <w:rFonts w:hint="cs"/>
          <w:rtl/>
        </w:rPr>
        <w:t>לתא דחירות</w:t>
      </w:r>
      <w:r w:rsidRPr="00F80C08">
        <w:rPr>
          <w:rtl/>
        </w:rPr>
        <w:t xml:space="preserve">] </w:t>
      </w:r>
      <w:r w:rsidRPr="00F80C08">
        <w:rPr>
          <w:rFonts w:hint="cs"/>
          <w:rtl/>
        </w:rPr>
        <w:t>שביניהן</w:t>
      </w:r>
      <w:r w:rsidRPr="00F80C08">
        <w:rPr>
          <w:rtl/>
        </w:rPr>
        <w:t xml:space="preserve">, </w:t>
      </w:r>
      <w:r w:rsidRPr="00F80C08">
        <w:rPr>
          <w:rFonts w:hint="cs"/>
          <w:rtl/>
        </w:rPr>
        <w:t>וע״ז הערנו בפנים שלכאורה לפי המבואר בהמשך השיחה צ״ב איך להמתיק ביאור זה להני טעמים האחרים</w:t>
      </w:r>
      <w:r w:rsidRPr="00F80C08">
        <w:rPr>
          <w:rtl/>
        </w:rPr>
        <w:t>.</w:t>
      </w:r>
    </w:p>
    <w:p w:rsidR="004820B2" w:rsidRPr="00F80C08" w:rsidRDefault="004820B2" w:rsidP="00900523">
      <w:pPr>
        <w:pStyle w:val="FootnoteText"/>
      </w:pPr>
      <w:r w:rsidRPr="00F80C08">
        <w:rPr>
          <w:rFonts w:hint="cs"/>
          <w:rtl/>
        </w:rPr>
        <w:t>ואם כי אין זו ׳קושיא׳</w:t>
      </w:r>
      <w:r w:rsidRPr="00F80C08">
        <w:rPr>
          <w:rtl/>
        </w:rPr>
        <w:t xml:space="preserve">, </w:t>
      </w:r>
      <w:r w:rsidRPr="00F80C08">
        <w:rPr>
          <w:rFonts w:hint="cs"/>
          <w:rtl/>
        </w:rPr>
        <w:t>שכן סו״ס נוכל לומר כי בשייכות לד׳ כוסות עכ״פ</w:t>
      </w:r>
      <w:r w:rsidRPr="00F80C08">
        <w:rPr>
          <w:rtl/>
        </w:rPr>
        <w:t xml:space="preserve">, </w:t>
      </w:r>
      <w:r w:rsidRPr="00F80C08">
        <w:rPr>
          <w:rFonts w:hint="cs"/>
          <w:rtl/>
        </w:rPr>
        <w:t>אה״נ דלטעמים אלו ליכא שייכות מיוחדת בין ד׳ כוסות למצות הסיבה</w:t>
      </w:r>
      <w:r w:rsidRPr="00F80C08">
        <w:rPr>
          <w:rtl/>
        </w:rPr>
        <w:t xml:space="preserve">, </w:t>
      </w:r>
      <w:r w:rsidRPr="00F80C08">
        <w:rPr>
          <w:rFonts w:hint="cs"/>
          <w:rtl/>
        </w:rPr>
        <w:t>ומ״מ תיקנו חכמים להסב בשעת שתיית ד׳ כוסות אם משום דבחרו בהמצוות המיוחדות של הלילה הזה לקיום מצוה זו</w:t>
      </w:r>
      <w:r w:rsidRPr="00F80C08">
        <w:rPr>
          <w:rtl/>
        </w:rPr>
        <w:t xml:space="preserve">, </w:t>
      </w:r>
      <w:r w:rsidRPr="00F80C08">
        <w:rPr>
          <w:rFonts w:hint="cs"/>
          <w:rtl/>
        </w:rPr>
        <w:t xml:space="preserve">או שבחרו בעיקר השתייה של הלילה הזה </w:t>
      </w:r>
      <w:r w:rsidRPr="00F80C08">
        <w:rPr>
          <w:rtl/>
        </w:rPr>
        <w:t>[</w:t>
      </w:r>
      <w:r w:rsidRPr="00F80C08">
        <w:rPr>
          <w:rFonts w:hint="cs"/>
          <w:rtl/>
        </w:rPr>
        <w:t>ד׳ כוסות</w:t>
      </w:r>
      <w:r w:rsidRPr="00F80C08">
        <w:rPr>
          <w:rtl/>
        </w:rPr>
        <w:t xml:space="preserve">] </w:t>
      </w:r>
      <w:r w:rsidRPr="00F80C08">
        <w:rPr>
          <w:rFonts w:hint="cs"/>
          <w:rtl/>
        </w:rPr>
        <w:t>כדי לקבוע את חלק השתייה של מצות ההסיבה</w:t>
      </w:r>
      <w:r w:rsidRPr="00F80C08">
        <w:rPr>
          <w:rtl/>
        </w:rPr>
        <w:t xml:space="preserve">, </w:t>
      </w:r>
      <w:r w:rsidRPr="00F80C08">
        <w:rPr>
          <w:rFonts w:hint="cs"/>
          <w:rtl/>
        </w:rPr>
        <w:t xml:space="preserve">מ״מ הרי יומתק יותר </w:t>
      </w:r>
      <w:r w:rsidRPr="00F80C08">
        <w:rPr>
          <w:rtl/>
        </w:rPr>
        <w:t xml:space="preserve">– </w:t>
      </w:r>
      <w:r w:rsidRPr="00F80C08">
        <w:rPr>
          <w:rFonts w:hint="cs"/>
          <w:rtl/>
        </w:rPr>
        <w:t xml:space="preserve">במיוחד לדרכו של רבינו בהשיחה שם הערה </w:t>
      </w:r>
      <w:r w:rsidRPr="00F80C08">
        <w:rPr>
          <w:rtl/>
        </w:rPr>
        <w:t xml:space="preserve">9 – </w:t>
      </w:r>
      <w:r w:rsidRPr="00F80C08">
        <w:rPr>
          <w:rFonts w:hint="cs"/>
          <w:rtl/>
        </w:rPr>
        <w:t>באם נאמר דאיכא שייכות עניינית ומיוחדת כלשהי בין הד׳ כוסות למצות ההסיבה הכללית</w:t>
      </w:r>
      <w:r w:rsidRPr="00F80C08">
        <w:rPr>
          <w:rtl/>
        </w:rPr>
        <w:t xml:space="preserve">, </w:t>
      </w:r>
      <w:r w:rsidRPr="00F80C08">
        <w:rPr>
          <w:rFonts w:hint="cs"/>
          <w:rtl/>
        </w:rPr>
        <w:t xml:space="preserve">וכדלהלן בפנים </w:t>
      </w:r>
      <w:r w:rsidRPr="00F80C08">
        <w:rPr>
          <w:rtl/>
        </w:rPr>
        <w:t>[</w:t>
      </w:r>
      <w:r w:rsidRPr="00F80C08">
        <w:rPr>
          <w:rFonts w:hint="cs"/>
          <w:rtl/>
        </w:rPr>
        <w:t xml:space="preserve">ולהעיר ממשנ״ת עד״ז בלקו״ש חי״א שם הערה </w:t>
      </w:r>
      <w:r w:rsidRPr="00F80C08">
        <w:t>36</w:t>
      </w:r>
      <w:r w:rsidRPr="00F80C08">
        <w:rPr>
          <w:rtl/>
        </w:rPr>
        <w:t xml:space="preserve"> </w:t>
      </w:r>
      <w:r w:rsidRPr="00F80C08">
        <w:rPr>
          <w:rFonts w:hint="cs"/>
          <w:rtl/>
        </w:rPr>
        <w:t>להצד דהסיבה היא תנאי ופרט בהמצוה ד׳ כוסות</w:t>
      </w:r>
      <w:r w:rsidRPr="00F80C08">
        <w:rPr>
          <w:rtl/>
        </w:rPr>
        <w:t xml:space="preserve">, </w:t>
      </w:r>
      <w:r w:rsidRPr="00F80C08">
        <w:rPr>
          <w:rFonts w:hint="cs"/>
          <w:rtl/>
        </w:rPr>
        <w:t>עיי״ש ודו״ק</w:t>
      </w:r>
      <w:r w:rsidRPr="00F80C08">
        <w:rPr>
          <w:rtl/>
        </w:rPr>
        <w:t>].</w:t>
      </w:r>
    </w:p>
  </w:footnote>
  <w:footnote w:id="96">
    <w:p w:rsidR="004820B2" w:rsidRDefault="004820B2" w:rsidP="009F0D7D">
      <w:pPr>
        <w:pStyle w:val="FootnoteText"/>
      </w:pPr>
      <w:r w:rsidRPr="00F80C08">
        <w:footnoteRef/>
      </w:r>
      <w:r>
        <w:rPr>
          <w:rFonts w:hint="cs"/>
          <w:rtl/>
        </w:rPr>
        <w:t>)</w:t>
      </w:r>
      <w:r w:rsidRPr="00F80C08">
        <w:rPr>
          <w:rtl/>
        </w:rPr>
        <w:t xml:space="preserve"> </w:t>
      </w:r>
      <w:r w:rsidRPr="00F80C08">
        <w:rPr>
          <w:rFonts w:hint="cs"/>
          <w:rtl/>
        </w:rPr>
        <w:t>ומ״מ</w:t>
      </w:r>
      <w:r w:rsidRPr="00F80C08">
        <w:rPr>
          <w:rtl/>
        </w:rPr>
        <w:t xml:space="preserve">, </w:t>
      </w:r>
      <w:r w:rsidRPr="00F80C08">
        <w:rPr>
          <w:rFonts w:hint="cs"/>
          <w:rtl/>
        </w:rPr>
        <w:t xml:space="preserve">בהערה </w:t>
      </w:r>
      <w:r w:rsidRPr="00F80C08">
        <w:rPr>
          <w:rtl/>
        </w:rPr>
        <w:t xml:space="preserve">9 </w:t>
      </w:r>
      <w:r w:rsidRPr="00F80C08">
        <w:rPr>
          <w:rFonts w:hint="cs"/>
          <w:rtl/>
        </w:rPr>
        <w:t>שבתחילת השיחה</w:t>
      </w:r>
      <w:r w:rsidRPr="00F80C08">
        <w:rPr>
          <w:rtl/>
        </w:rPr>
        <w:t xml:space="preserve">, </w:t>
      </w:r>
      <w:r w:rsidRPr="00F80C08">
        <w:rPr>
          <w:rFonts w:hint="cs"/>
          <w:rtl/>
        </w:rPr>
        <w:t>כאשר ביאר רבינו הטעם דלצד זה דהסיבה הוי מצוה כללית בפ״ע תיקנו לקיימה בעת אכילת מצה ושתיית ד׳ כוסות משום שעניינם הוא ״זכר לגאולה וחירות״ וכנ״ל</w:t>
      </w:r>
      <w:r w:rsidRPr="00F80C08">
        <w:rPr>
          <w:rtl/>
        </w:rPr>
        <w:t xml:space="preserve">, </w:t>
      </w:r>
      <w:r w:rsidRPr="00F80C08">
        <w:rPr>
          <w:rFonts w:hint="cs"/>
          <w:rtl/>
        </w:rPr>
        <w:t>הנה ביאר זה בפשטות למאי דקיי״ל להלכה בשו״ע אדה״ז כהך טעמא דנתקנו ד׳ כוסות כנגד לשונות של גאולה</w:t>
      </w:r>
      <w:r w:rsidRPr="00F80C08">
        <w:rPr>
          <w:rtl/>
        </w:rPr>
        <w:t xml:space="preserve">, </w:t>
      </w:r>
      <w:r w:rsidRPr="00F80C08">
        <w:rPr>
          <w:rFonts w:hint="cs"/>
          <w:rtl/>
        </w:rPr>
        <w:t>ואה״נ דעד״ז י״ל גם לטעמים אחרים וכמוש״נ בפנים</w:t>
      </w:r>
      <w:r w:rsidRPr="00F80C08">
        <w:rPr>
          <w:rtl/>
        </w:rPr>
        <w:t xml:space="preserve">, </w:t>
      </w:r>
      <w:r w:rsidRPr="00F80C08">
        <w:rPr>
          <w:rFonts w:hint="cs"/>
          <w:rtl/>
        </w:rPr>
        <w:t>אלא שלא נחית בהערה זו להתייחס לכל הטעמים וכו׳</w:t>
      </w:r>
      <w:r w:rsidRPr="00F80C08">
        <w:rPr>
          <w:rtl/>
        </w:rPr>
        <w:t xml:space="preserve">, </w:t>
      </w:r>
      <w:r w:rsidRPr="00F80C08">
        <w:rPr>
          <w:rFonts w:hint="cs"/>
          <w:rtl/>
        </w:rPr>
        <w:t>אלא נקט בפשטות ע״פ הטעם המבואר להדיא בהלכה</w:t>
      </w:r>
      <w:r w:rsidRPr="00F80C08">
        <w:rPr>
          <w:rtl/>
        </w:rPr>
        <w:t xml:space="preserve">. </w:t>
      </w:r>
    </w:p>
  </w:footnote>
  <w:footnote w:id="97">
    <w:p w:rsidR="004820B2" w:rsidRPr="00430298" w:rsidRDefault="004820B2" w:rsidP="00430298">
      <w:pPr>
        <w:pStyle w:val="FootnoteText"/>
      </w:pPr>
      <w:r w:rsidRPr="00430298">
        <w:footnoteRef/>
      </w:r>
      <w:r>
        <w:rPr>
          <w:rFonts w:hint="cs"/>
          <w:rtl/>
        </w:rPr>
        <w:t>)</w:t>
      </w:r>
      <w:r w:rsidRPr="00430298">
        <w:rPr>
          <w:rtl/>
        </w:rPr>
        <w:t xml:space="preserve"> דף יא,א.</w:t>
      </w:r>
    </w:p>
  </w:footnote>
  <w:footnote w:id="98">
    <w:p w:rsidR="004820B2" w:rsidRPr="00430298" w:rsidRDefault="004820B2" w:rsidP="00430298">
      <w:pPr>
        <w:pStyle w:val="FootnoteText"/>
      </w:pPr>
      <w:r w:rsidRPr="00430298">
        <w:footnoteRef/>
      </w:r>
      <w:r>
        <w:rPr>
          <w:rFonts w:hint="cs"/>
          <w:rtl/>
        </w:rPr>
        <w:t>)</w:t>
      </w:r>
      <w:r w:rsidRPr="00430298">
        <w:rPr>
          <w:rtl/>
        </w:rPr>
        <w:t xml:space="preserve"> עיין רמב"ם הל' תשובה פ'ה-ו.</w:t>
      </w:r>
    </w:p>
  </w:footnote>
  <w:footnote w:id="99">
    <w:p w:rsidR="004820B2" w:rsidRPr="00430298" w:rsidRDefault="004820B2" w:rsidP="00430298">
      <w:pPr>
        <w:pStyle w:val="FootnoteText"/>
      </w:pPr>
      <w:r w:rsidRPr="00430298">
        <w:footnoteRef/>
      </w:r>
      <w:r>
        <w:rPr>
          <w:rFonts w:hint="cs"/>
          <w:rtl/>
        </w:rPr>
        <w:t>)</w:t>
      </w:r>
      <w:r w:rsidRPr="00430298">
        <w:rPr>
          <w:rtl/>
        </w:rPr>
        <w:t xml:space="preserve"> ר"י מלוניל, בית דוד, ועוד.</w:t>
      </w:r>
    </w:p>
  </w:footnote>
  <w:footnote w:id="100">
    <w:p w:rsidR="004820B2" w:rsidRPr="00430298" w:rsidRDefault="004820B2" w:rsidP="00430298">
      <w:pPr>
        <w:pStyle w:val="FootnoteText"/>
      </w:pPr>
      <w:r w:rsidRPr="00430298">
        <w:footnoteRef/>
      </w:r>
      <w:r>
        <w:rPr>
          <w:rFonts w:hint="cs"/>
          <w:rtl/>
        </w:rPr>
        <w:t>)</w:t>
      </w:r>
      <w:r w:rsidRPr="00430298">
        <w:rPr>
          <w:rtl/>
        </w:rPr>
        <w:t xml:space="preserve"> ע"פ אגרות משה חלק ד או"ח סימן מ, סעיף יג.</w:t>
      </w:r>
    </w:p>
  </w:footnote>
  <w:footnote w:id="101">
    <w:p w:rsidR="004820B2" w:rsidRPr="00430298" w:rsidRDefault="004820B2" w:rsidP="00430298">
      <w:pPr>
        <w:pStyle w:val="FootnoteText"/>
      </w:pPr>
      <w:r w:rsidRPr="00430298">
        <w:footnoteRef/>
      </w:r>
      <w:r>
        <w:rPr>
          <w:rFonts w:hint="cs"/>
          <w:rtl/>
        </w:rPr>
        <w:t>)</w:t>
      </w:r>
      <w:r w:rsidRPr="00430298">
        <w:rPr>
          <w:rtl/>
        </w:rPr>
        <w:t xml:space="preserve"> חלק ג' ע' 942 ואילך.</w:t>
      </w:r>
    </w:p>
  </w:footnote>
  <w:footnote w:id="102">
    <w:p w:rsidR="004820B2" w:rsidRPr="00430298" w:rsidRDefault="004820B2" w:rsidP="00430298">
      <w:pPr>
        <w:pStyle w:val="FootnoteText"/>
      </w:pPr>
      <w:r w:rsidRPr="00430298">
        <w:footnoteRef/>
      </w:r>
      <w:r>
        <w:rPr>
          <w:rFonts w:hint="cs"/>
          <w:rtl/>
        </w:rPr>
        <w:t>)</w:t>
      </w:r>
      <w:r w:rsidRPr="00430298">
        <w:rPr>
          <w:rtl/>
        </w:rPr>
        <w:t xml:space="preserve"> דף יח, א.</w:t>
      </w:r>
    </w:p>
  </w:footnote>
  <w:footnote w:id="103">
    <w:p w:rsidR="004820B2" w:rsidRPr="00430298" w:rsidRDefault="004820B2" w:rsidP="00430298">
      <w:pPr>
        <w:pStyle w:val="FootnoteText"/>
      </w:pPr>
      <w:r w:rsidRPr="00430298">
        <w:footnoteRef/>
      </w:r>
      <w:r>
        <w:rPr>
          <w:rFonts w:hint="cs"/>
          <w:rtl/>
        </w:rPr>
        <w:t>)</w:t>
      </w:r>
      <w:r w:rsidRPr="00430298">
        <w:rPr>
          <w:rtl/>
        </w:rPr>
        <w:t xml:space="preserve"> הל' מעשה הקרבנות פרק יח, הל' י.</w:t>
      </w:r>
    </w:p>
  </w:footnote>
  <w:footnote w:id="104">
    <w:p w:rsidR="004820B2" w:rsidRPr="00430298" w:rsidRDefault="004820B2" w:rsidP="00430298">
      <w:pPr>
        <w:pStyle w:val="FootnoteText"/>
      </w:pPr>
      <w:r w:rsidRPr="00430298">
        <w:footnoteRef/>
      </w:r>
      <w:r>
        <w:rPr>
          <w:rFonts w:hint="cs"/>
          <w:rtl/>
        </w:rPr>
        <w:t>)</w:t>
      </w:r>
      <w:r w:rsidRPr="00430298">
        <w:rPr>
          <w:rtl/>
        </w:rPr>
        <w:t xml:space="preserve"> כמ"ש בכסף משנה שם. ד"ה אשם תלוי.</w:t>
      </w:r>
    </w:p>
  </w:footnote>
  <w:footnote w:id="105">
    <w:p w:rsidR="004820B2" w:rsidRPr="00430298" w:rsidRDefault="004820B2" w:rsidP="00430298">
      <w:pPr>
        <w:pStyle w:val="FootnoteText"/>
      </w:pPr>
      <w:r w:rsidRPr="00430298">
        <w:footnoteRef/>
      </w:r>
      <w:r>
        <w:rPr>
          <w:rFonts w:hint="cs"/>
          <w:rtl/>
        </w:rPr>
        <w:t>)</w:t>
      </w:r>
      <w:r w:rsidRPr="00430298">
        <w:rPr>
          <w:rtl/>
        </w:rPr>
        <w:t xml:space="preserve"> דף כג, ב.</w:t>
      </w:r>
    </w:p>
  </w:footnote>
  <w:footnote w:id="106">
    <w:p w:rsidR="004820B2" w:rsidRPr="00430298" w:rsidRDefault="004820B2" w:rsidP="00430298">
      <w:pPr>
        <w:pStyle w:val="FootnoteText"/>
      </w:pPr>
      <w:r w:rsidRPr="00430298">
        <w:footnoteRef/>
      </w:r>
      <w:r>
        <w:rPr>
          <w:rFonts w:hint="cs"/>
          <w:rtl/>
        </w:rPr>
        <w:t>)</w:t>
      </w:r>
      <w:r w:rsidRPr="00430298">
        <w:rPr>
          <w:rtl/>
        </w:rPr>
        <w:t xml:space="preserve"> הל' פסולי המוקדשים פ"ד הל' יט.</w:t>
      </w:r>
    </w:p>
  </w:footnote>
  <w:footnote w:id="107">
    <w:p w:rsidR="004820B2" w:rsidRPr="00430298" w:rsidRDefault="004820B2" w:rsidP="00430298">
      <w:pPr>
        <w:pStyle w:val="FootnoteText"/>
      </w:pPr>
      <w:r w:rsidRPr="00430298">
        <w:footnoteRef/>
      </w:r>
      <w:r>
        <w:rPr>
          <w:rFonts w:hint="cs"/>
          <w:rtl/>
        </w:rPr>
        <w:t>)</w:t>
      </w:r>
      <w:r w:rsidRPr="00430298">
        <w:rPr>
          <w:rtl/>
        </w:rPr>
        <w:t xml:space="preserve"> בגמ' שם</w:t>
      </w:r>
      <w:r w:rsidRPr="00430298">
        <w:t xml:space="preserve">, </w:t>
      </w:r>
      <w:r w:rsidRPr="00430298">
        <w:rPr>
          <w:rtl/>
        </w:rPr>
        <w:t>ד"ה "שלבו נוקפו".</w:t>
      </w:r>
    </w:p>
  </w:footnote>
  <w:footnote w:id="108">
    <w:p w:rsidR="004820B2" w:rsidRPr="00430298" w:rsidRDefault="004820B2" w:rsidP="00430298">
      <w:pPr>
        <w:pStyle w:val="FootnoteText"/>
      </w:pPr>
      <w:r w:rsidRPr="00430298">
        <w:footnoteRef/>
      </w:r>
      <w:r>
        <w:rPr>
          <w:rFonts w:hint="cs"/>
          <w:rtl/>
        </w:rPr>
        <w:t>)</w:t>
      </w:r>
      <w:r w:rsidRPr="00430298">
        <w:rPr>
          <w:rtl/>
        </w:rPr>
        <w:t xml:space="preserve"> כמ"ש בכסף משנה שם, ד"ה הביא אשם.</w:t>
      </w:r>
    </w:p>
  </w:footnote>
  <w:footnote w:id="109">
    <w:p w:rsidR="004820B2" w:rsidRPr="00430298" w:rsidRDefault="004820B2" w:rsidP="00430298">
      <w:pPr>
        <w:pStyle w:val="FootnoteText"/>
      </w:pPr>
      <w:r w:rsidRPr="00430298">
        <w:footnoteRef/>
      </w:r>
      <w:r>
        <w:rPr>
          <w:rFonts w:hint="cs"/>
          <w:rtl/>
        </w:rPr>
        <w:t>)</w:t>
      </w:r>
      <w:r w:rsidRPr="00430298">
        <w:rPr>
          <w:rtl/>
        </w:rPr>
        <w:t xml:space="preserve"> שם.</w:t>
      </w:r>
    </w:p>
  </w:footnote>
  <w:footnote w:id="110">
    <w:p w:rsidR="004820B2" w:rsidRPr="00430298" w:rsidRDefault="004820B2" w:rsidP="00430298">
      <w:pPr>
        <w:pStyle w:val="FootnoteText"/>
      </w:pPr>
      <w:r w:rsidRPr="00430298">
        <w:footnoteRef/>
      </w:r>
      <w:r>
        <w:rPr>
          <w:rFonts w:hint="cs"/>
          <w:rtl/>
        </w:rPr>
        <w:t>)</w:t>
      </w:r>
      <w:r w:rsidRPr="00430298">
        <w:rPr>
          <w:rtl/>
        </w:rPr>
        <w:t xml:space="preserve"> בד"ה "וחכ' פוטרין" בדף יח, א.</w:t>
      </w:r>
    </w:p>
  </w:footnote>
  <w:footnote w:id="111">
    <w:p w:rsidR="004820B2" w:rsidRPr="00430298" w:rsidRDefault="004820B2" w:rsidP="00430298">
      <w:pPr>
        <w:pStyle w:val="FootnoteText"/>
      </w:pPr>
      <w:r w:rsidRPr="00430298">
        <w:footnoteRef/>
      </w:r>
      <w:r>
        <w:rPr>
          <w:rFonts w:hint="cs"/>
          <w:rtl/>
        </w:rPr>
        <w:t>)</w:t>
      </w:r>
      <w:r w:rsidRPr="00430298">
        <w:rPr>
          <w:rtl/>
        </w:rPr>
        <w:t xml:space="preserve"> ע</w:t>
      </w:r>
      <w:r w:rsidRPr="00430298">
        <w:t>'</w:t>
      </w:r>
      <w:r w:rsidRPr="00430298">
        <w:rPr>
          <w:rtl/>
        </w:rPr>
        <w:t xml:space="preserve"> 944 ואילך. </w:t>
      </w:r>
    </w:p>
  </w:footnote>
  <w:footnote w:id="112">
    <w:p w:rsidR="004820B2" w:rsidRPr="00430298" w:rsidRDefault="004820B2" w:rsidP="00430298">
      <w:pPr>
        <w:pStyle w:val="FootnoteText"/>
      </w:pPr>
      <w:r w:rsidRPr="00430298">
        <w:footnoteRef/>
      </w:r>
      <w:r>
        <w:rPr>
          <w:rFonts w:hint="cs"/>
          <w:rtl/>
        </w:rPr>
        <w:t>)</w:t>
      </w:r>
      <w:r w:rsidRPr="00430298">
        <w:rPr>
          <w:rtl/>
        </w:rPr>
        <w:t xml:space="preserve"> משלי יב, כא.</w:t>
      </w:r>
    </w:p>
  </w:footnote>
  <w:footnote w:id="113">
    <w:p w:rsidR="004820B2" w:rsidRPr="00430298" w:rsidRDefault="004820B2" w:rsidP="00430298">
      <w:pPr>
        <w:pStyle w:val="FootnoteText"/>
      </w:pPr>
      <w:r w:rsidRPr="00430298">
        <w:footnoteRef/>
      </w:r>
      <w:r>
        <w:rPr>
          <w:rFonts w:hint="cs"/>
          <w:rtl/>
        </w:rPr>
        <w:t>)</w:t>
      </w:r>
      <w:r w:rsidRPr="00430298">
        <w:rPr>
          <w:rtl/>
        </w:rPr>
        <w:t xml:space="preserve"> בהערה 25 מביא ממש"כ בתניא פי"ג "הוא בתקפו</w:t>
      </w:r>
      <w:r w:rsidRPr="00430298">
        <w:t xml:space="preserve"> . . </w:t>
      </w:r>
      <w:r w:rsidRPr="00430298">
        <w:rPr>
          <w:rtl/>
        </w:rPr>
        <w:t>ואדרבה נתחזק יותר בהמשך הזמן שנשתמש בו הרבה באכילה ושתי' ושאר עניני עולם הזה".</w:t>
      </w:r>
    </w:p>
  </w:footnote>
  <w:footnote w:id="114">
    <w:p w:rsidR="004820B2" w:rsidRPr="00430298" w:rsidRDefault="004820B2" w:rsidP="00430298">
      <w:pPr>
        <w:pStyle w:val="FootnoteText"/>
      </w:pPr>
      <w:r w:rsidRPr="00430298">
        <w:footnoteRef/>
      </w:r>
      <w:r>
        <w:rPr>
          <w:rFonts w:hint="cs"/>
          <w:rtl/>
        </w:rPr>
        <w:t>)</w:t>
      </w:r>
      <w:r w:rsidRPr="00430298">
        <w:rPr>
          <w:rtl/>
        </w:rPr>
        <w:t xml:space="preserve"> ולהעיר ג"כ מלקו"ש חלק ז' ע' 73, וגם מלקו"ש חלק לב ע' 16.</w:t>
      </w:r>
    </w:p>
  </w:footnote>
  <w:footnote w:id="115">
    <w:p w:rsidR="004820B2" w:rsidRPr="00430298" w:rsidRDefault="004820B2" w:rsidP="00430298">
      <w:pPr>
        <w:pStyle w:val="FootnoteText"/>
      </w:pPr>
      <w:r w:rsidRPr="00430298">
        <w:footnoteRef/>
      </w:r>
      <w:r>
        <w:rPr>
          <w:rFonts w:hint="cs"/>
          <w:rtl/>
        </w:rPr>
        <w:t>)</w:t>
      </w:r>
      <w:r w:rsidRPr="00430298">
        <w:rPr>
          <w:rtl/>
        </w:rPr>
        <w:t xml:space="preserve"> וזהו ע"ד מ"ש רבינו הזקן בהלכות יוהכ"פ (או"ח סתר"ג) "ספק עבירה צריכה יותר תשובה מעבירה ודאית, כי על עבירה ודאית אדם מתחרט בכל לבו, אבל ספק עבירה הוא מתברך בלבבו לומר שמא לא עשיתי עבירה, ואינו מתחרט עלי' חרטה גמורה, והרי נשאר עונש העבירה עליו, ולכך הי' צריך קרבן אשם תלוי הבא על הספק להיות יותר ביוקר מקרבן חטאת הבא על הודאי" (היינו חטאת בת דנקא ואשם שתי סלעים - כיון שבקרבן חטאת ברור לו שחטא, אם כי בשוגג</w:t>
      </w:r>
      <w:r w:rsidRPr="00430298">
        <w:t>,</w:t>
      </w:r>
      <w:r w:rsidRPr="00430298">
        <w:rPr>
          <w:rtl/>
        </w:rPr>
        <w:t xml:space="preserve"> וענין זה מבואר בהמשך השיחה). </w:t>
      </w:r>
    </w:p>
  </w:footnote>
  <w:footnote w:id="116">
    <w:p w:rsidR="004820B2" w:rsidRPr="00430298" w:rsidRDefault="004820B2" w:rsidP="00430298">
      <w:pPr>
        <w:pStyle w:val="FootnoteText"/>
      </w:pPr>
      <w:r w:rsidRPr="00430298">
        <w:footnoteRef/>
      </w:r>
      <w:r>
        <w:rPr>
          <w:rFonts w:hint="cs"/>
          <w:rtl/>
        </w:rPr>
        <w:t>)</w:t>
      </w:r>
      <w:r w:rsidRPr="00430298">
        <w:rPr>
          <w:rtl/>
        </w:rPr>
        <w:t xml:space="preserve"> בדף כג, ב.</w:t>
      </w:r>
    </w:p>
  </w:footnote>
  <w:footnote w:id="117">
    <w:p w:rsidR="004820B2" w:rsidRPr="00430298" w:rsidRDefault="004820B2" w:rsidP="00430298">
      <w:pPr>
        <w:pStyle w:val="FootnoteText"/>
      </w:pPr>
      <w:r w:rsidRPr="00430298">
        <w:footnoteRef/>
      </w:r>
      <w:r>
        <w:rPr>
          <w:rFonts w:hint="cs"/>
          <w:rtl/>
        </w:rPr>
        <w:t>)</w:t>
      </w:r>
      <w:r w:rsidRPr="00430298">
        <w:rPr>
          <w:rtl/>
        </w:rPr>
        <w:t xml:space="preserve"> שם.</w:t>
      </w:r>
    </w:p>
  </w:footnote>
  <w:footnote w:id="118">
    <w:p w:rsidR="004820B2" w:rsidRPr="00430298" w:rsidRDefault="004820B2" w:rsidP="00430298">
      <w:pPr>
        <w:pStyle w:val="FootnoteText"/>
      </w:pPr>
      <w:r w:rsidRPr="00430298">
        <w:footnoteRef/>
      </w:r>
      <w:r>
        <w:rPr>
          <w:rFonts w:hint="cs"/>
          <w:rtl/>
        </w:rPr>
        <w:t>)</w:t>
      </w:r>
      <w:r w:rsidRPr="00430298">
        <w:rPr>
          <w:rtl/>
        </w:rPr>
        <w:t xml:space="preserve"> כג, ב.</w:t>
      </w:r>
    </w:p>
  </w:footnote>
  <w:footnote w:id="119">
    <w:p w:rsidR="004820B2" w:rsidRPr="00430298" w:rsidRDefault="004820B2" w:rsidP="00430298">
      <w:pPr>
        <w:pStyle w:val="FootnoteText"/>
      </w:pPr>
      <w:r w:rsidRPr="00430298">
        <w:footnoteRef/>
      </w:r>
      <w:r>
        <w:rPr>
          <w:rFonts w:hint="cs"/>
          <w:rtl/>
        </w:rPr>
        <w:t>)</w:t>
      </w:r>
      <w:r w:rsidRPr="00430298">
        <w:rPr>
          <w:rtl/>
        </w:rPr>
        <w:t xml:space="preserve"> עבודה ברורה.</w:t>
      </w:r>
    </w:p>
  </w:footnote>
  <w:footnote w:id="120">
    <w:p w:rsidR="004820B2" w:rsidRPr="00430298" w:rsidRDefault="004820B2" w:rsidP="00430298">
      <w:pPr>
        <w:pStyle w:val="FootnoteText"/>
      </w:pPr>
      <w:r w:rsidRPr="00430298">
        <w:footnoteRef/>
      </w:r>
      <w:r>
        <w:rPr>
          <w:rFonts w:hint="cs"/>
          <w:rtl/>
        </w:rPr>
        <w:t>)</w:t>
      </w:r>
      <w:r w:rsidRPr="00430298">
        <w:rPr>
          <w:rtl/>
        </w:rPr>
        <w:t xml:space="preserve"> ולהעיר ממש"כ בהמשנה הראשונה של מס' שבועות</w:t>
      </w:r>
      <w:r w:rsidRPr="00430298">
        <w:t>:</w:t>
      </w:r>
      <w:r w:rsidRPr="00430298">
        <w:rPr>
          <w:rtl/>
        </w:rPr>
        <w:t xml:space="preserve"> "שעיר הנעשה בפנים ויום הכפורים תולה עד שיודע לו"</w:t>
      </w:r>
      <w:r w:rsidRPr="00430298">
        <w:t xml:space="preserve"> . . </w:t>
      </w:r>
      <w:r w:rsidRPr="00430298">
        <w:rPr>
          <w:rtl/>
        </w:rPr>
        <w:t>ופירש"י (ד"ה "תולה"</w:t>
      </w:r>
      <w:r w:rsidRPr="00430298">
        <w:t>)</w:t>
      </w:r>
      <w:r w:rsidRPr="00430298">
        <w:rPr>
          <w:rtl/>
        </w:rPr>
        <w:t xml:space="preserve"> "להגין עליו מן היסורין. שאע"פ שאינו יודע שחטא יש לו לדאג, שכל השוגגין צריכים כפרה לכשידעו, אלמא קודם ידיע ענושים הן".</w:t>
      </w:r>
    </w:p>
    <w:p w:rsidR="004820B2" w:rsidRPr="00430298" w:rsidRDefault="004820B2" w:rsidP="00430298">
      <w:pPr>
        <w:pStyle w:val="FootnoteText"/>
      </w:pPr>
      <w:r w:rsidRPr="00430298">
        <w:rPr>
          <w:rtl/>
        </w:rPr>
        <w:t>ויש לומר בענין זה ב' נקודות: 1) הביאור בזה ש"כל השוגגין צריכין כפרה</w:t>
      </w:r>
      <w:r w:rsidRPr="00430298">
        <w:t xml:space="preserve"> . . </w:t>
      </w:r>
      <w:r w:rsidRPr="00430298">
        <w:rPr>
          <w:rtl/>
        </w:rPr>
        <w:t>ענושים הן" כמבואר לעיל החומר של עבירות שנעשו בשוגג</w:t>
      </w:r>
      <w:r w:rsidRPr="00430298">
        <w:t xml:space="preserve"> </w:t>
      </w:r>
      <w:r w:rsidRPr="00430298">
        <w:rPr>
          <w:rtl/>
        </w:rPr>
        <w:t>שזה מראה על גודל הפגם בנפשו. 2) זה שעד שמביא החוטא בשוגג קרבנו צריך הגנה מיסורין הוא דוגמה לענין של הגנה וכו' במצב של ספק כבפנים.</w:t>
      </w:r>
    </w:p>
  </w:footnote>
  <w:footnote w:id="121">
    <w:p w:rsidR="004820B2" w:rsidRPr="00430298" w:rsidRDefault="004820B2" w:rsidP="00430298">
      <w:pPr>
        <w:pStyle w:val="FootnoteText"/>
      </w:pPr>
      <w:r w:rsidRPr="00430298">
        <w:footnoteRef/>
      </w:r>
      <w:r>
        <w:rPr>
          <w:rFonts w:hint="cs"/>
          <w:rtl/>
        </w:rPr>
        <w:t>)</w:t>
      </w:r>
      <w:r w:rsidRPr="00430298">
        <w:rPr>
          <w:rtl/>
        </w:rPr>
        <w:t xml:space="preserve"> שפת אמת.</w:t>
      </w:r>
    </w:p>
  </w:footnote>
  <w:footnote w:id="122">
    <w:p w:rsidR="004820B2" w:rsidRPr="00430298" w:rsidRDefault="004820B2" w:rsidP="00430298">
      <w:pPr>
        <w:pStyle w:val="FootnoteText"/>
      </w:pPr>
      <w:r w:rsidRPr="00430298">
        <w:footnoteRef/>
      </w:r>
      <w:r>
        <w:rPr>
          <w:rFonts w:hint="cs"/>
          <w:rtl/>
        </w:rPr>
        <w:t>)</w:t>
      </w:r>
      <w:r w:rsidRPr="00430298">
        <w:rPr>
          <w:rtl/>
        </w:rPr>
        <w:t xml:space="preserve"> כריתות דף כה, א.</w:t>
      </w:r>
    </w:p>
  </w:footnote>
  <w:footnote w:id="123">
    <w:p w:rsidR="004820B2" w:rsidRPr="00430298" w:rsidRDefault="004820B2" w:rsidP="00430298">
      <w:pPr>
        <w:pStyle w:val="FootnoteText"/>
      </w:pPr>
      <w:r w:rsidRPr="00430298">
        <w:footnoteRef/>
      </w:r>
      <w:r>
        <w:rPr>
          <w:rFonts w:hint="cs"/>
          <w:rtl/>
        </w:rPr>
        <w:t>)</w:t>
      </w:r>
      <w:r w:rsidRPr="00430298">
        <w:rPr>
          <w:rtl/>
        </w:rPr>
        <w:t xml:space="preserve"> ע</w:t>
      </w:r>
      <w:r w:rsidRPr="00430298">
        <w:t>'</w:t>
      </w:r>
      <w:r w:rsidRPr="00430298">
        <w:rPr>
          <w:rtl/>
        </w:rPr>
        <w:t xml:space="preserve"> 1149 ואילך. וראה ג"כ בארוכה בלקו"ש שם ע' 1144 ואילך. ובחלק י</w:t>
      </w:r>
      <w:r w:rsidRPr="00430298">
        <w:t>"</w:t>
      </w:r>
      <w:r w:rsidRPr="00430298">
        <w:rPr>
          <w:rtl/>
        </w:rPr>
        <w:t xml:space="preserve">ט ע' 348 ואילך.  </w:t>
      </w:r>
    </w:p>
  </w:footnote>
  <w:footnote w:id="124">
    <w:p w:rsidR="004820B2" w:rsidRPr="00430298" w:rsidRDefault="004820B2" w:rsidP="00430298">
      <w:pPr>
        <w:pStyle w:val="FootnoteText"/>
      </w:pPr>
      <w:r w:rsidRPr="00430298">
        <w:footnoteRef/>
      </w:r>
      <w:r>
        <w:rPr>
          <w:rFonts w:hint="cs"/>
          <w:rtl/>
        </w:rPr>
        <w:t>)</w:t>
      </w:r>
      <w:r w:rsidRPr="00430298">
        <w:rPr>
          <w:rtl/>
        </w:rPr>
        <w:t xml:space="preserve"> יג,א.</w:t>
      </w:r>
    </w:p>
  </w:footnote>
  <w:footnote w:id="125">
    <w:p w:rsidR="004820B2" w:rsidRPr="00430298" w:rsidRDefault="004820B2" w:rsidP="00430298">
      <w:pPr>
        <w:pStyle w:val="FootnoteText"/>
      </w:pPr>
      <w:r w:rsidRPr="00430298">
        <w:footnoteRef/>
      </w:r>
      <w:r>
        <w:rPr>
          <w:rFonts w:hint="cs"/>
          <w:rtl/>
        </w:rPr>
        <w:t>)</w:t>
      </w:r>
      <w:r w:rsidRPr="00430298">
        <w:rPr>
          <w:rtl/>
        </w:rPr>
        <w:t xml:space="preserve"> ולהעיר ממ"ש ברש"ש על המשנה בכריתות (אודות בבא בן בוטא כנ"ל) בד"ה חוץ מאחר יוה"כ</w:t>
      </w:r>
      <w:r w:rsidRPr="00430298">
        <w:t xml:space="preserve">: </w:t>
      </w:r>
      <w:r w:rsidRPr="00430298">
        <w:rPr>
          <w:rtl/>
        </w:rPr>
        <w:t>"אבל יוה"כ דכל היום מכפר והוא לא הי' יכול להביאו אלא קודם תמיד של בה"ע, א"כ יחסר הרבה ממע"ל לכן ליכא חשש כ"כ שמא חטא בינתיים".</w:t>
      </w:r>
    </w:p>
    <w:p w:rsidR="004820B2" w:rsidRPr="00430298" w:rsidRDefault="004820B2" w:rsidP="00430298">
      <w:pPr>
        <w:pStyle w:val="FootnoteText"/>
      </w:pPr>
      <w:r w:rsidRPr="00430298">
        <w:rPr>
          <w:rtl/>
        </w:rPr>
        <w:t xml:space="preserve"> ועפ"ז י"ל כמו"כ במה שנתגלה ע"י עיצומו של יום, שנשאר רק קצת זמן אח"כ, ולכן אפי' במחרת יו"כ לא הביא בבא בן בוטא קרבן. ועצ"ע.</w:t>
      </w:r>
    </w:p>
  </w:footnote>
  <w:footnote w:id="126">
    <w:p w:rsidR="004820B2" w:rsidRPr="00430298" w:rsidRDefault="004820B2" w:rsidP="00430298">
      <w:pPr>
        <w:pStyle w:val="FootnoteText"/>
      </w:pPr>
      <w:r w:rsidRPr="00430298">
        <w:footnoteRef/>
      </w:r>
      <w:r>
        <w:rPr>
          <w:rFonts w:hint="cs"/>
          <w:rtl/>
        </w:rPr>
        <w:t>)</w:t>
      </w:r>
      <w:r w:rsidRPr="00430298">
        <w:rPr>
          <w:rtl/>
        </w:rPr>
        <w:t xml:space="preserve"> במס' סוכה שלו (רמד,ב ואילך).</w:t>
      </w:r>
    </w:p>
  </w:footnote>
  <w:footnote w:id="127">
    <w:p w:rsidR="004820B2" w:rsidRPr="00430298" w:rsidRDefault="004820B2" w:rsidP="00430298">
      <w:pPr>
        <w:pStyle w:val="FootnoteText"/>
      </w:pPr>
      <w:r w:rsidRPr="00430298">
        <w:footnoteRef/>
      </w:r>
      <w:r>
        <w:rPr>
          <w:rFonts w:hint="cs"/>
          <w:rtl/>
        </w:rPr>
        <w:t>)</w:t>
      </w:r>
      <w:r w:rsidRPr="00430298">
        <w:rPr>
          <w:rtl/>
        </w:rPr>
        <w:t xml:space="preserve"> תורת מנחם חלק ל"ח ע' 69.</w:t>
      </w:r>
    </w:p>
  </w:footnote>
  <w:footnote w:id="128">
    <w:p w:rsidR="004820B2" w:rsidRPr="00430298" w:rsidRDefault="004820B2" w:rsidP="00430298">
      <w:pPr>
        <w:pStyle w:val="FootnoteText"/>
      </w:pPr>
      <w:r w:rsidRPr="00430298">
        <w:footnoteRef/>
      </w:r>
      <w:r>
        <w:rPr>
          <w:rFonts w:hint="cs"/>
          <w:rtl/>
        </w:rPr>
        <w:t>)</w:t>
      </w:r>
      <w:r w:rsidRPr="00430298">
        <w:rPr>
          <w:rtl/>
        </w:rPr>
        <w:t xml:space="preserve"> ע' 124 ואילך.</w:t>
      </w:r>
    </w:p>
  </w:footnote>
  <w:footnote w:id="129">
    <w:p w:rsidR="004820B2" w:rsidRPr="00430298" w:rsidRDefault="004820B2" w:rsidP="00430298">
      <w:pPr>
        <w:pStyle w:val="FootnoteText"/>
      </w:pPr>
      <w:r w:rsidRPr="00430298">
        <w:footnoteRef/>
      </w:r>
      <w:r>
        <w:rPr>
          <w:rFonts w:hint="cs"/>
          <w:rtl/>
        </w:rPr>
        <w:t>)</w:t>
      </w:r>
      <w:r w:rsidRPr="00430298">
        <w:rPr>
          <w:rtl/>
        </w:rPr>
        <w:t xml:space="preserve"> כמ"ש הרמב"ם הל' תשובה פ"א, הל' ב.</w:t>
      </w:r>
    </w:p>
  </w:footnote>
  <w:footnote w:id="130">
    <w:p w:rsidR="004820B2" w:rsidRPr="00430298" w:rsidRDefault="004820B2" w:rsidP="00430298">
      <w:pPr>
        <w:pStyle w:val="FootnoteText"/>
      </w:pPr>
      <w:r w:rsidRPr="00430298">
        <w:footnoteRef/>
      </w:r>
      <w:r>
        <w:rPr>
          <w:rFonts w:hint="cs"/>
          <w:rtl/>
        </w:rPr>
        <w:t>)</w:t>
      </w:r>
      <w:r w:rsidRPr="00430298">
        <w:rPr>
          <w:rtl/>
        </w:rPr>
        <w:t xml:space="preserve"> כמ"ש הרמב"ם שם.</w:t>
      </w:r>
    </w:p>
  </w:footnote>
  <w:footnote w:id="131">
    <w:p w:rsidR="004820B2" w:rsidRPr="00430298" w:rsidRDefault="004820B2" w:rsidP="00430298">
      <w:pPr>
        <w:pStyle w:val="FootnoteText"/>
      </w:pPr>
      <w:r w:rsidRPr="00430298">
        <w:footnoteRef/>
      </w:r>
      <w:r>
        <w:rPr>
          <w:rFonts w:hint="cs"/>
          <w:rtl/>
        </w:rPr>
        <w:t>)</w:t>
      </w:r>
      <w:r w:rsidRPr="00430298">
        <w:rPr>
          <w:rtl/>
        </w:rPr>
        <w:t xml:space="preserve"> שם, הל', ג.</w:t>
      </w:r>
    </w:p>
  </w:footnote>
  <w:footnote w:id="132">
    <w:p w:rsidR="004820B2" w:rsidRPr="00430298" w:rsidRDefault="004820B2" w:rsidP="00430298">
      <w:pPr>
        <w:pStyle w:val="FootnoteText"/>
      </w:pPr>
      <w:r w:rsidRPr="00430298">
        <w:footnoteRef/>
      </w:r>
      <w:r>
        <w:rPr>
          <w:rFonts w:hint="cs"/>
          <w:rtl/>
        </w:rPr>
        <w:t>)</w:t>
      </w:r>
      <w:r w:rsidRPr="00430298">
        <w:rPr>
          <w:rtl/>
        </w:rPr>
        <w:t xml:space="preserve"> באות ז.</w:t>
      </w:r>
    </w:p>
  </w:footnote>
  <w:footnote w:id="133">
    <w:p w:rsidR="004820B2" w:rsidRPr="00430298" w:rsidRDefault="004820B2" w:rsidP="00430298">
      <w:pPr>
        <w:pStyle w:val="FootnoteText"/>
      </w:pPr>
      <w:r w:rsidRPr="00430298">
        <w:footnoteRef/>
      </w:r>
      <w:r>
        <w:rPr>
          <w:rFonts w:hint="cs"/>
          <w:rtl/>
        </w:rPr>
        <w:t>)</w:t>
      </w:r>
      <w:r w:rsidRPr="00430298">
        <w:rPr>
          <w:rtl/>
        </w:rPr>
        <w:t xml:space="preserve"> הל' שגגות, פ"ג, הל' ט.</w:t>
      </w:r>
    </w:p>
  </w:footnote>
  <w:footnote w:id="134">
    <w:p w:rsidR="004820B2" w:rsidRPr="00430298" w:rsidRDefault="004820B2" w:rsidP="00430298">
      <w:pPr>
        <w:pStyle w:val="FootnoteText"/>
      </w:pPr>
      <w:r w:rsidRPr="00430298">
        <w:footnoteRef/>
      </w:r>
      <w:r>
        <w:rPr>
          <w:rFonts w:hint="cs"/>
          <w:rtl/>
        </w:rPr>
        <w:t>)</w:t>
      </w:r>
      <w:r w:rsidRPr="00430298">
        <w:rPr>
          <w:rtl/>
        </w:rPr>
        <w:t xml:space="preserve"> בהל' י.</w:t>
      </w:r>
    </w:p>
  </w:footnote>
  <w:footnote w:id="135">
    <w:p w:rsidR="004820B2" w:rsidRPr="00430298" w:rsidRDefault="004820B2" w:rsidP="00430298">
      <w:pPr>
        <w:pStyle w:val="FootnoteText"/>
      </w:pPr>
      <w:r w:rsidRPr="00430298">
        <w:footnoteRef/>
      </w:r>
      <w:r>
        <w:rPr>
          <w:rFonts w:hint="cs"/>
          <w:rtl/>
        </w:rPr>
        <w:t>)</w:t>
      </w:r>
      <w:r w:rsidRPr="00430298">
        <w:rPr>
          <w:rtl/>
        </w:rPr>
        <w:t xml:space="preserve"> דף יח,א.</w:t>
      </w:r>
    </w:p>
  </w:footnote>
  <w:footnote w:id="136">
    <w:p w:rsidR="004820B2" w:rsidRPr="00430298" w:rsidRDefault="004820B2" w:rsidP="00430298">
      <w:pPr>
        <w:pStyle w:val="FootnoteText"/>
      </w:pPr>
      <w:r w:rsidRPr="00430298">
        <w:footnoteRef/>
      </w:r>
      <w:r>
        <w:rPr>
          <w:rFonts w:hint="cs"/>
          <w:rtl/>
        </w:rPr>
        <w:t>)</w:t>
      </w:r>
      <w:r w:rsidRPr="00430298">
        <w:rPr>
          <w:rtl/>
        </w:rPr>
        <w:t xml:space="preserve"> אות ח.</w:t>
      </w:r>
    </w:p>
  </w:footnote>
  <w:footnote w:id="137">
    <w:p w:rsidR="004820B2" w:rsidRPr="00430298" w:rsidRDefault="004820B2" w:rsidP="00430298">
      <w:pPr>
        <w:pStyle w:val="FootnoteText"/>
      </w:pPr>
      <w:r w:rsidRPr="00430298">
        <w:footnoteRef/>
      </w:r>
      <w:r>
        <w:rPr>
          <w:rFonts w:hint="cs"/>
          <w:rtl/>
        </w:rPr>
        <w:t>)</w:t>
      </w:r>
      <w:r w:rsidRPr="00430298">
        <w:rPr>
          <w:rtl/>
        </w:rPr>
        <w:t xml:space="preserve"> ולהעיר שמציין שם</w:t>
      </w:r>
      <w:r w:rsidRPr="00430298">
        <w:t xml:space="preserve"> </w:t>
      </w:r>
      <w:r w:rsidRPr="00430298">
        <w:rPr>
          <w:rtl/>
        </w:rPr>
        <w:t>בהערה</w:t>
      </w:r>
      <w:r w:rsidRPr="00430298">
        <w:t xml:space="preserve"> 49:</w:t>
      </w:r>
      <w:r w:rsidRPr="00430298">
        <w:rPr>
          <w:rtl/>
        </w:rPr>
        <w:t>"ראה לקו"ש ח"ד ע' 1151 ואילך</w:t>
      </w:r>
      <w:r w:rsidRPr="00430298">
        <w:t xml:space="preserve">" </w:t>
      </w:r>
      <w:r w:rsidRPr="00430298">
        <w:rPr>
          <w:rtl/>
        </w:rPr>
        <w:t>שזוהי השיחה שהובאה לעיל בפנים אודות ג' המדריגות בקשר של בנ"י עם הקב"ה.</w:t>
      </w:r>
    </w:p>
  </w:footnote>
  <w:footnote w:id="138">
    <w:p w:rsidR="004820B2" w:rsidRPr="00430298" w:rsidRDefault="004820B2" w:rsidP="00430298">
      <w:pPr>
        <w:pStyle w:val="FootnoteText"/>
      </w:pPr>
      <w:r w:rsidRPr="00430298">
        <w:footnoteRef/>
      </w:r>
      <w:r>
        <w:rPr>
          <w:rFonts w:hint="cs"/>
          <w:rtl/>
        </w:rPr>
        <w:t>)</w:t>
      </w:r>
      <w:r w:rsidRPr="00430298">
        <w:rPr>
          <w:rtl/>
        </w:rPr>
        <w:t xml:space="preserve"> באות ה.</w:t>
      </w:r>
    </w:p>
  </w:footnote>
  <w:footnote w:id="139">
    <w:p w:rsidR="004820B2" w:rsidRPr="00430298" w:rsidRDefault="004820B2" w:rsidP="00430298">
      <w:pPr>
        <w:pStyle w:val="FootnoteText"/>
      </w:pPr>
      <w:r w:rsidRPr="00430298">
        <w:footnoteRef/>
      </w:r>
      <w:r>
        <w:rPr>
          <w:rFonts w:hint="cs"/>
          <w:rtl/>
        </w:rPr>
        <w:t>)</w:t>
      </w:r>
      <w:r w:rsidRPr="00430298">
        <w:rPr>
          <w:rtl/>
        </w:rPr>
        <w:t xml:space="preserve"> במכות שם.</w:t>
      </w:r>
    </w:p>
  </w:footnote>
  <w:footnote w:id="140">
    <w:p w:rsidR="004820B2" w:rsidRPr="00430298" w:rsidRDefault="004820B2" w:rsidP="00430298">
      <w:pPr>
        <w:pStyle w:val="FootnoteText"/>
      </w:pPr>
      <w:r w:rsidRPr="00430298">
        <w:footnoteRef/>
      </w:r>
      <w:r>
        <w:rPr>
          <w:rFonts w:hint="cs"/>
          <w:rtl/>
        </w:rPr>
        <w:t>)</w:t>
      </w:r>
      <w:r w:rsidRPr="00430298">
        <w:rPr>
          <w:rtl/>
        </w:rPr>
        <w:t xml:space="preserve"> במדבר לה, כה</w:t>
      </w:r>
      <w:r w:rsidRPr="00430298">
        <w:t>.</w:t>
      </w:r>
    </w:p>
  </w:footnote>
  <w:footnote w:id="141">
    <w:p w:rsidR="004820B2" w:rsidRPr="00430298" w:rsidRDefault="004820B2" w:rsidP="00430298">
      <w:pPr>
        <w:pStyle w:val="FootnoteText"/>
      </w:pPr>
      <w:r w:rsidRPr="00430298">
        <w:footnoteRef/>
      </w:r>
      <w:r>
        <w:rPr>
          <w:rFonts w:hint="cs"/>
          <w:rtl/>
        </w:rPr>
        <w:t>)</w:t>
      </w:r>
      <w:r w:rsidRPr="00430298">
        <w:rPr>
          <w:rtl/>
        </w:rPr>
        <w:t xml:space="preserve"> בלקו"ש חלק ד ע' 1309,</w:t>
      </w:r>
      <w:r w:rsidRPr="00430298">
        <w:t xml:space="preserve"> </w:t>
      </w:r>
      <w:r w:rsidRPr="00430298">
        <w:rPr>
          <w:rtl/>
        </w:rPr>
        <w:t>ע' 1339, ובעוד כ"מ.</w:t>
      </w:r>
    </w:p>
  </w:footnote>
  <w:footnote w:id="142">
    <w:p w:rsidR="004820B2" w:rsidRPr="00430298" w:rsidRDefault="004820B2" w:rsidP="00430298">
      <w:pPr>
        <w:pStyle w:val="FootnoteText"/>
      </w:pPr>
      <w:r w:rsidRPr="00430298">
        <w:footnoteRef/>
      </w:r>
      <w:r>
        <w:rPr>
          <w:rFonts w:hint="cs"/>
          <w:rtl/>
        </w:rPr>
        <w:t>)</w:t>
      </w:r>
      <w:r w:rsidRPr="00430298">
        <w:rPr>
          <w:rtl/>
        </w:rPr>
        <w:t xml:space="preserve"> וזה שהכה"ג שייך למיתה אע"פ  שההריגה היתה לאחרי יו"כ, היינו במשך כל השנה (כפשטות הגמ'), הרי מצינו זה ג"כ בפסח כנ"ל בלקו"ש ח"ג, שע"י זהירות מחמץ בח' ימים אינו שייך לבוא לידי איסור שוגג כל השנה. ועצ"ע.</w:t>
      </w:r>
    </w:p>
  </w:footnote>
  <w:footnote w:id="143">
    <w:p w:rsidR="004820B2" w:rsidRPr="00BC3AFB" w:rsidRDefault="004820B2" w:rsidP="00BC3AFB">
      <w:pPr>
        <w:pStyle w:val="FootnoteText"/>
      </w:pPr>
      <w:r w:rsidRPr="00BC3AFB">
        <w:footnoteRef/>
      </w:r>
      <w:r>
        <w:rPr>
          <w:rFonts w:hint="cs"/>
          <w:rtl/>
        </w:rPr>
        <w:t>)</w:t>
      </w:r>
      <w:r w:rsidRPr="00BC3AFB">
        <w:rPr>
          <w:rtl/>
        </w:rPr>
        <w:t xml:space="preserve"> לע"נ אבי זקני הרה"ח ר' </w:t>
      </w:r>
      <w:r w:rsidRPr="00966B44">
        <w:rPr>
          <w:b/>
          <w:bCs/>
          <w:rtl/>
        </w:rPr>
        <w:t xml:space="preserve">צבי אבא </w:t>
      </w:r>
      <w:r w:rsidRPr="00BC3AFB">
        <w:rPr>
          <w:rtl/>
        </w:rPr>
        <w:t xml:space="preserve">בן </w:t>
      </w:r>
      <w:r w:rsidRPr="00966B44">
        <w:rPr>
          <w:b/>
          <w:bCs/>
          <w:rtl/>
        </w:rPr>
        <w:t>חיים דובער</w:t>
      </w:r>
      <w:r w:rsidRPr="00BC3AFB">
        <w:rPr>
          <w:rtl/>
        </w:rPr>
        <w:t xml:space="preserve"> ע"ה </w:t>
      </w:r>
      <w:r w:rsidRPr="00966B44">
        <w:rPr>
          <w:b/>
          <w:bCs/>
          <w:rtl/>
        </w:rPr>
        <w:t>לרמן</w:t>
      </w:r>
      <w:r w:rsidRPr="00BC3AFB">
        <w:rPr>
          <w:rtl/>
        </w:rPr>
        <w:t>, אשר כ"ק אדמו"ר כתב לו "המצוה דהווה זהיר בה טפי, דודאי כבר נוכח שבנידן דידי' - היא החינוך על טהרת הקדש במוסד כ"ק  אדמו"ר מו"ח נשיא ישראל" .</w:t>
      </w:r>
    </w:p>
    <w:p w:rsidR="004820B2" w:rsidRPr="00BC3AFB" w:rsidRDefault="004820B2" w:rsidP="00BC3AFB">
      <w:pPr>
        <w:pStyle w:val="FootnoteText"/>
      </w:pPr>
      <w:r w:rsidRPr="00BC3AFB">
        <w:rPr>
          <w:rtl/>
        </w:rPr>
        <w:t xml:space="preserve">ולע"נ האשה החשובה </w:t>
      </w:r>
      <w:r w:rsidRPr="00966B44">
        <w:rPr>
          <w:b/>
          <w:bCs/>
          <w:rtl/>
        </w:rPr>
        <w:t>גוטא</w:t>
      </w:r>
      <w:r w:rsidRPr="00BC3AFB">
        <w:rPr>
          <w:rtl/>
        </w:rPr>
        <w:t xml:space="preserve"> בת </w:t>
      </w:r>
      <w:r w:rsidRPr="00966B44">
        <w:rPr>
          <w:b/>
          <w:bCs/>
          <w:rtl/>
        </w:rPr>
        <w:t>פרץ</w:t>
      </w:r>
      <w:r w:rsidRPr="00BC3AFB">
        <w:rPr>
          <w:rtl/>
        </w:rPr>
        <w:t xml:space="preserve"> ע"ה  </w:t>
      </w:r>
      <w:r w:rsidRPr="00966B44">
        <w:rPr>
          <w:b/>
          <w:bCs/>
          <w:rtl/>
        </w:rPr>
        <w:t>שפירא</w:t>
      </w:r>
      <w:r w:rsidRPr="00BC3AFB">
        <w:rPr>
          <w:rtl/>
        </w:rPr>
        <w:t>.</w:t>
      </w:r>
    </w:p>
  </w:footnote>
  <w:footnote w:id="144">
    <w:p w:rsidR="004820B2" w:rsidRPr="00BC3AFB" w:rsidRDefault="004820B2" w:rsidP="00BC3AFB">
      <w:pPr>
        <w:pStyle w:val="FootnoteText"/>
      </w:pPr>
      <w:r w:rsidRPr="00BC3AFB">
        <w:footnoteRef/>
      </w:r>
      <w:r>
        <w:rPr>
          <w:rFonts w:hint="cs"/>
          <w:rtl/>
        </w:rPr>
        <w:t xml:space="preserve">) </w:t>
      </w:r>
      <w:r w:rsidRPr="00BC3AFB">
        <w:rPr>
          <w:rtl/>
        </w:rPr>
        <w:t>מס' חולין דף קי"א ע"ב, יו"ד סי' צ"ה.</w:t>
      </w:r>
    </w:p>
  </w:footnote>
  <w:footnote w:id="145">
    <w:p w:rsidR="004820B2" w:rsidRPr="00BC3AFB" w:rsidRDefault="004820B2" w:rsidP="00BC3AFB">
      <w:pPr>
        <w:pStyle w:val="FootnoteText"/>
      </w:pPr>
      <w:r w:rsidRPr="00BC3AFB">
        <w:footnoteRef/>
      </w:r>
      <w:r>
        <w:rPr>
          <w:rFonts w:hint="cs"/>
          <w:rtl/>
        </w:rPr>
        <w:t>)</w:t>
      </w:r>
      <w:r w:rsidRPr="00BC3AFB">
        <w:rPr>
          <w:rtl/>
        </w:rPr>
        <w:t xml:space="preserve"> תוס' חולין שם ד"ה "הלכתא", וראשונים שם. זבחים צ"ו ע"א תוס' ד"ה ואם". טו"ר (והב"י) יו"ד שם ושו"ע סעי' ב'.</w:t>
      </w:r>
    </w:p>
  </w:footnote>
  <w:footnote w:id="146">
    <w:p w:rsidR="004820B2" w:rsidRPr="00BC3AFB" w:rsidRDefault="004820B2" w:rsidP="00BC3AFB">
      <w:pPr>
        <w:pStyle w:val="FootnoteText"/>
      </w:pPr>
      <w:r w:rsidRPr="00BC3AFB">
        <w:footnoteRef/>
      </w:r>
      <w:r>
        <w:rPr>
          <w:rFonts w:hint="cs"/>
          <w:rtl/>
        </w:rPr>
        <w:t>)</w:t>
      </w:r>
      <w:r w:rsidRPr="00BC3AFB">
        <w:rPr>
          <w:rtl/>
        </w:rPr>
        <w:t xml:space="preserve"> לפי הר"ן ועוד כדלקמן.</w:t>
      </w:r>
    </w:p>
  </w:footnote>
  <w:footnote w:id="147">
    <w:p w:rsidR="004820B2" w:rsidRPr="00BC3AFB" w:rsidRDefault="004820B2" w:rsidP="00BC3AFB">
      <w:pPr>
        <w:pStyle w:val="FootnoteText"/>
      </w:pPr>
      <w:r w:rsidRPr="00BC3AFB">
        <w:footnoteRef/>
      </w:r>
      <w:r>
        <w:rPr>
          <w:rFonts w:hint="cs"/>
          <w:rtl/>
        </w:rPr>
        <w:t>)</w:t>
      </w:r>
      <w:r w:rsidRPr="00BC3AFB">
        <w:rPr>
          <w:rtl/>
        </w:rPr>
        <w:t xml:space="preserve"> שם.</w:t>
      </w:r>
    </w:p>
  </w:footnote>
  <w:footnote w:id="148">
    <w:p w:rsidR="004820B2" w:rsidRPr="00BC3AFB" w:rsidRDefault="004820B2" w:rsidP="00BC3AFB">
      <w:pPr>
        <w:pStyle w:val="FootnoteText"/>
      </w:pPr>
      <w:r w:rsidRPr="00BC3AFB">
        <w:footnoteRef/>
      </w:r>
      <w:r>
        <w:rPr>
          <w:rFonts w:hint="cs"/>
          <w:rtl/>
        </w:rPr>
        <w:t>)</w:t>
      </w:r>
      <w:r w:rsidRPr="00BC3AFB">
        <w:rPr>
          <w:rtl/>
        </w:rPr>
        <w:t xml:space="preserve"> ד"ה הנ"ל.</w:t>
      </w:r>
    </w:p>
  </w:footnote>
  <w:footnote w:id="149">
    <w:p w:rsidR="004820B2" w:rsidRPr="00BC3AFB" w:rsidRDefault="004820B2" w:rsidP="00BC3AFB">
      <w:pPr>
        <w:pStyle w:val="FootnoteText"/>
      </w:pPr>
      <w:r w:rsidRPr="00BC3AFB">
        <w:footnoteRef/>
      </w:r>
      <w:r>
        <w:rPr>
          <w:rFonts w:hint="cs"/>
          <w:rtl/>
        </w:rPr>
        <w:t>)</w:t>
      </w:r>
      <w:r w:rsidRPr="00BC3AFB">
        <w:rPr>
          <w:rtl/>
        </w:rPr>
        <w:t xml:space="preserve"> ואולי יש לדייק מד"ה "כולי האי" (מכללא איתמר דרב..) שכתב רש"י "שחוזר ונותן טעם בבישול..", דהיינו ע"י בישול חוזר ונותן טעם בדבר אחר (ולכן הוה נ"ט בר נ"ט, עיין רמב"ן, ור"ן), ובזה פליג שמואל דהוה נ"ט בנ"ט ומותר. א"כ סבר דגם ע"י בישול אומרים נ"ט בר נ"ט.</w:t>
      </w:r>
    </w:p>
    <w:p w:rsidR="004820B2" w:rsidRPr="00BC3AFB" w:rsidRDefault="004820B2" w:rsidP="00BC3AFB">
      <w:pPr>
        <w:pStyle w:val="FootnoteText"/>
      </w:pPr>
      <w:r w:rsidRPr="00BC3AFB">
        <w:rPr>
          <w:rtl/>
        </w:rPr>
        <w:t>אבל יש לפרש "בבישול" דהיינו התבשיל שנתבשל, או בבישול הוא ע"י חמימות כל דהוא ולא שנתבשלו ממש ע"ג האש, וצ"ע.</w:t>
      </w:r>
    </w:p>
  </w:footnote>
  <w:footnote w:id="150">
    <w:p w:rsidR="004820B2" w:rsidRPr="00BC3AFB" w:rsidRDefault="004820B2" w:rsidP="00BC3AFB">
      <w:pPr>
        <w:pStyle w:val="FootnoteText"/>
      </w:pPr>
      <w:r w:rsidRPr="00BC3AFB">
        <w:footnoteRef/>
      </w:r>
      <w:r>
        <w:rPr>
          <w:rFonts w:hint="cs"/>
          <w:rtl/>
        </w:rPr>
        <w:t>)</w:t>
      </w:r>
      <w:r w:rsidRPr="00BC3AFB">
        <w:rPr>
          <w:rtl/>
        </w:rPr>
        <w:t xml:space="preserve"> ועיין במרדכי שהביא שיש לדייק שכן סובר רש"י מד"ה "דגים שעלו בקערה"- "מן הצלי" אבל נתבשלו בלע טעם הרבה, ע"ש.</w:t>
      </w:r>
    </w:p>
    <w:p w:rsidR="004820B2" w:rsidRPr="00BC3AFB" w:rsidRDefault="004820B2" w:rsidP="00BC3AFB">
      <w:pPr>
        <w:pStyle w:val="FootnoteText"/>
      </w:pPr>
      <w:r w:rsidRPr="00BC3AFB">
        <w:rPr>
          <w:rtl/>
        </w:rPr>
        <w:t xml:space="preserve"> וצ"ע דלכאורה אין זה מן המוכרח, שי"ל דזה באה לאפוקי שעלו מן הבישול דהוה ג' נ"ט (ע"י המים), עיין מהר"ם שי"ף? ועוד שבפשטות מדובר "שהעלו מן הצלי כשהיו רותחים..", ולא שצלו בהקערה זו, ומאין יש לדייק ולא שיבשלו בהקערה?</w:t>
      </w:r>
    </w:p>
  </w:footnote>
  <w:footnote w:id="151">
    <w:p w:rsidR="004820B2" w:rsidRPr="00BC3AFB" w:rsidRDefault="004820B2" w:rsidP="00BC3AFB">
      <w:pPr>
        <w:pStyle w:val="FootnoteText"/>
      </w:pPr>
      <w:r w:rsidRPr="00BC3AFB">
        <w:footnoteRef/>
      </w:r>
      <w:r>
        <w:rPr>
          <w:rFonts w:hint="cs"/>
          <w:rtl/>
        </w:rPr>
        <w:t>)</w:t>
      </w:r>
      <w:r w:rsidRPr="00BC3AFB">
        <w:rPr>
          <w:rtl/>
        </w:rPr>
        <w:t xml:space="preserve"> רמב"ן, רשב"א. </w:t>
      </w:r>
    </w:p>
  </w:footnote>
  <w:footnote w:id="152">
    <w:p w:rsidR="004820B2" w:rsidRPr="00BC3AFB" w:rsidRDefault="004820B2" w:rsidP="00BC3AFB">
      <w:pPr>
        <w:pStyle w:val="FootnoteText"/>
      </w:pPr>
      <w:r w:rsidRPr="00BC3AFB">
        <w:footnoteRef/>
      </w:r>
      <w:r>
        <w:rPr>
          <w:rFonts w:hint="cs"/>
          <w:rtl/>
        </w:rPr>
        <w:t>)</w:t>
      </w:r>
      <w:r w:rsidRPr="00BC3AFB">
        <w:rPr>
          <w:rtl/>
        </w:rPr>
        <w:t xml:space="preserve"> פסחים ע"ו ע"א</w:t>
      </w:r>
    </w:p>
  </w:footnote>
  <w:footnote w:id="153">
    <w:p w:rsidR="004820B2" w:rsidRPr="00BC3AFB" w:rsidRDefault="004820B2" w:rsidP="00BC3AFB">
      <w:pPr>
        <w:pStyle w:val="FootnoteText"/>
      </w:pPr>
      <w:r w:rsidRPr="00BC3AFB">
        <w:footnoteRef/>
      </w:r>
      <w:r>
        <w:rPr>
          <w:rFonts w:hint="cs"/>
          <w:rtl/>
        </w:rPr>
        <w:t xml:space="preserve">) </w:t>
      </w:r>
      <w:r w:rsidRPr="00BC3AFB">
        <w:rPr>
          <w:rtl/>
        </w:rPr>
        <w:t xml:space="preserve">ר"ן, ורשב"א. </w:t>
      </w:r>
    </w:p>
  </w:footnote>
  <w:footnote w:id="154">
    <w:p w:rsidR="004820B2" w:rsidRPr="00BC3AFB" w:rsidRDefault="004820B2" w:rsidP="00BC3AFB">
      <w:pPr>
        <w:pStyle w:val="FootnoteText"/>
      </w:pPr>
      <w:r w:rsidRPr="00BC3AFB">
        <w:footnoteRef/>
      </w:r>
      <w:r>
        <w:rPr>
          <w:rFonts w:hint="cs"/>
          <w:rtl/>
        </w:rPr>
        <w:t>)</w:t>
      </w:r>
      <w:r w:rsidRPr="00BC3AFB">
        <w:rPr>
          <w:rtl/>
        </w:rPr>
        <w:t xml:space="preserve"> וכן משמע בתוס' "דכחד טעמא חשיב".</w:t>
      </w:r>
    </w:p>
  </w:footnote>
  <w:footnote w:id="155">
    <w:p w:rsidR="004820B2" w:rsidRPr="00BC3AFB" w:rsidRDefault="004820B2" w:rsidP="00BC3AFB">
      <w:pPr>
        <w:pStyle w:val="FootnoteText"/>
      </w:pPr>
      <w:r w:rsidRPr="00BC3AFB">
        <w:footnoteRef/>
      </w:r>
      <w:r>
        <w:rPr>
          <w:rFonts w:hint="cs"/>
          <w:rtl/>
        </w:rPr>
        <w:t>)</w:t>
      </w:r>
      <w:r w:rsidRPr="00BC3AFB">
        <w:rPr>
          <w:rtl/>
        </w:rPr>
        <w:t xml:space="preserve"> כמו שהקשה הרמב"ן כנ"ל, וכמו שיתבאר לקמן. </w:t>
      </w:r>
    </w:p>
  </w:footnote>
  <w:footnote w:id="156">
    <w:p w:rsidR="004820B2" w:rsidRPr="00BC3AFB" w:rsidRDefault="004820B2" w:rsidP="00BC3AFB">
      <w:pPr>
        <w:pStyle w:val="FootnoteText"/>
      </w:pPr>
      <w:r w:rsidRPr="00BC3AFB">
        <w:footnoteRef/>
      </w:r>
      <w:r>
        <w:rPr>
          <w:rFonts w:hint="cs"/>
          <w:rtl/>
        </w:rPr>
        <w:t xml:space="preserve">) </w:t>
      </w:r>
      <w:r w:rsidRPr="00BC3AFB">
        <w:rPr>
          <w:rtl/>
        </w:rPr>
        <w:t xml:space="preserve">פסחים מ"ד ע"ב.  </w:t>
      </w:r>
    </w:p>
  </w:footnote>
  <w:footnote w:id="157">
    <w:p w:rsidR="004820B2" w:rsidRPr="00BC3AFB" w:rsidRDefault="004820B2" w:rsidP="00BC3AFB">
      <w:pPr>
        <w:pStyle w:val="FootnoteText"/>
      </w:pPr>
      <w:r w:rsidRPr="00BC3AFB">
        <w:footnoteRef/>
      </w:r>
      <w:r>
        <w:rPr>
          <w:rFonts w:hint="cs"/>
          <w:rtl/>
        </w:rPr>
        <w:t>)</w:t>
      </w:r>
      <w:r w:rsidRPr="00BC3AFB">
        <w:rPr>
          <w:rtl/>
        </w:rPr>
        <w:t xml:space="preserve"> עיין ראש יוסף כאן.</w:t>
      </w:r>
    </w:p>
  </w:footnote>
  <w:footnote w:id="158">
    <w:p w:rsidR="004820B2" w:rsidRPr="00BC3AFB" w:rsidRDefault="004820B2" w:rsidP="00BC3AFB">
      <w:pPr>
        <w:pStyle w:val="FootnoteText"/>
      </w:pPr>
      <w:r w:rsidRPr="00BC3AFB">
        <w:footnoteRef/>
      </w:r>
      <w:r>
        <w:rPr>
          <w:rFonts w:hint="cs"/>
          <w:rtl/>
        </w:rPr>
        <w:t>)</w:t>
      </w:r>
      <w:r w:rsidRPr="00BC3AFB">
        <w:rPr>
          <w:rtl/>
        </w:rPr>
        <w:t xml:space="preserve"> ראה רשב"א.</w:t>
      </w:r>
    </w:p>
  </w:footnote>
  <w:footnote w:id="159">
    <w:p w:rsidR="004820B2" w:rsidRPr="00BC3AFB" w:rsidRDefault="004820B2" w:rsidP="00BC3AFB">
      <w:pPr>
        <w:pStyle w:val="FootnoteText"/>
      </w:pPr>
      <w:r w:rsidRPr="00BC3AFB">
        <w:footnoteRef/>
      </w:r>
      <w:r>
        <w:rPr>
          <w:rFonts w:hint="cs"/>
          <w:rtl/>
        </w:rPr>
        <w:t>)</w:t>
      </w:r>
      <w:r w:rsidRPr="00BC3AFB">
        <w:rPr>
          <w:rtl/>
        </w:rPr>
        <w:t xml:space="preserve"> וכן לגבי נותר ".. דכל יום נעשה גיעול לחבירו"... זבחים צ"ז. ועיין ר"ן פסחים דף ח' רע"ב, וז"ל "..אלא בקדשים שבשעת בליעתם של כלים לא היה שם איסור עליו, שעדיין לא נק' נותר, לפיכך לא חל שמו על אותה בליע מעוטת שנשארה לאחר הגעלה. </w:t>
      </w:r>
    </w:p>
  </w:footnote>
  <w:footnote w:id="160">
    <w:p w:rsidR="004820B2" w:rsidRPr="00BC3AFB" w:rsidRDefault="004820B2" w:rsidP="00BC3AFB">
      <w:pPr>
        <w:pStyle w:val="FootnoteText"/>
      </w:pPr>
      <w:r w:rsidRPr="00BC3AFB">
        <w:footnoteRef/>
      </w:r>
      <w:r>
        <w:rPr>
          <w:rFonts w:hint="cs"/>
          <w:rtl/>
        </w:rPr>
        <w:t>)</w:t>
      </w:r>
      <w:r w:rsidRPr="00BC3AFB">
        <w:rPr>
          <w:rtl/>
        </w:rPr>
        <w:t xml:space="preserve"> שו"ע אדמו"ר הזקן או"ח סי' תמ"ז סעי' מ"ה, עיין שם. </w:t>
      </w:r>
    </w:p>
  </w:footnote>
  <w:footnote w:id="161">
    <w:p w:rsidR="004820B2" w:rsidRPr="00BC3AFB" w:rsidRDefault="004820B2" w:rsidP="00BC3AFB">
      <w:pPr>
        <w:pStyle w:val="FootnoteText"/>
      </w:pPr>
      <w:r w:rsidRPr="00BC3AFB">
        <w:footnoteRef/>
      </w:r>
      <w:r>
        <w:rPr>
          <w:rFonts w:hint="cs"/>
          <w:rtl/>
        </w:rPr>
        <w:t>)</w:t>
      </w:r>
      <w:r w:rsidRPr="00BC3AFB">
        <w:rPr>
          <w:rtl/>
        </w:rPr>
        <w:t xml:space="preserve"> דרכי משה הארוך או"ח שם.</w:t>
      </w:r>
    </w:p>
  </w:footnote>
  <w:footnote w:id="162">
    <w:p w:rsidR="004820B2" w:rsidRPr="00BC3AFB" w:rsidRDefault="004820B2" w:rsidP="00BC3AFB">
      <w:pPr>
        <w:pStyle w:val="FootnoteText"/>
      </w:pPr>
      <w:r w:rsidRPr="00BC3AFB">
        <w:footnoteRef/>
      </w:r>
      <w:r>
        <w:rPr>
          <w:rFonts w:hint="cs"/>
          <w:rtl/>
        </w:rPr>
        <w:t>)</w:t>
      </w:r>
      <w:r w:rsidRPr="00BC3AFB">
        <w:rPr>
          <w:rtl/>
        </w:rPr>
        <w:t xml:space="preserve"> מ"א שם סקכ"ד.</w:t>
      </w:r>
    </w:p>
  </w:footnote>
  <w:footnote w:id="163">
    <w:p w:rsidR="004820B2" w:rsidRPr="00BC3AFB" w:rsidRDefault="004820B2" w:rsidP="00BC3AFB">
      <w:pPr>
        <w:pStyle w:val="FootnoteText"/>
      </w:pPr>
      <w:r w:rsidRPr="00BC3AFB">
        <w:footnoteRef/>
      </w:r>
      <w:r>
        <w:rPr>
          <w:rFonts w:hint="cs"/>
          <w:rtl/>
        </w:rPr>
        <w:t>)</w:t>
      </w:r>
      <w:r w:rsidRPr="00BC3AFB">
        <w:rPr>
          <w:rtl/>
        </w:rPr>
        <w:t xml:space="preserve"> בפרק ב' סי' ז'.</w:t>
      </w:r>
    </w:p>
  </w:footnote>
  <w:footnote w:id="164">
    <w:p w:rsidR="004820B2" w:rsidRPr="00BC3AFB" w:rsidRDefault="004820B2" w:rsidP="00BC3AFB">
      <w:pPr>
        <w:pStyle w:val="FootnoteText"/>
      </w:pPr>
      <w:r w:rsidRPr="00BC3AFB">
        <w:footnoteRef/>
      </w:r>
      <w:r>
        <w:rPr>
          <w:rFonts w:hint="cs"/>
          <w:rtl/>
        </w:rPr>
        <w:t>)</w:t>
      </w:r>
      <w:r w:rsidRPr="00BC3AFB">
        <w:rPr>
          <w:rtl/>
        </w:rPr>
        <w:t xml:space="preserve"> פסחים דף ח' רע"ב.</w:t>
      </w:r>
    </w:p>
  </w:footnote>
  <w:footnote w:id="165">
    <w:p w:rsidR="004820B2" w:rsidRPr="00BC3AFB" w:rsidRDefault="004820B2" w:rsidP="00BC3AFB">
      <w:pPr>
        <w:pStyle w:val="FootnoteText"/>
      </w:pPr>
      <w:r w:rsidRPr="00BC3AFB">
        <w:footnoteRef/>
      </w:r>
      <w:r>
        <w:rPr>
          <w:rFonts w:hint="cs"/>
          <w:rtl/>
        </w:rPr>
        <w:t>)</w:t>
      </w:r>
      <w:r w:rsidRPr="00BC3AFB">
        <w:rPr>
          <w:rtl/>
        </w:rPr>
        <w:t xml:space="preserve"> ושיעור זה כדי גרידה ולא סגי בהדחה הוא משום: </w:t>
      </w:r>
    </w:p>
    <w:p w:rsidR="004820B2" w:rsidRPr="00BC3AFB" w:rsidRDefault="004820B2" w:rsidP="00BC3AFB">
      <w:pPr>
        <w:pStyle w:val="FootnoteText"/>
      </w:pPr>
      <w:r w:rsidRPr="00BC3AFB">
        <w:rPr>
          <w:rtl/>
        </w:rPr>
        <w:t xml:space="preserve"> א- כדברי הר"ן, שבדבר לח לא מהני הדחה, ורק אדרבה נסרך בו יותר. </w:t>
      </w:r>
    </w:p>
    <w:p w:rsidR="004820B2" w:rsidRPr="00BC3AFB" w:rsidRDefault="004820B2" w:rsidP="00BC3AFB">
      <w:pPr>
        <w:pStyle w:val="FootnoteText"/>
      </w:pPr>
      <w:r w:rsidRPr="00BC3AFB">
        <w:rPr>
          <w:rtl/>
        </w:rPr>
        <w:t xml:space="preserve"> ב- כדרברי המרדכי ועוד, שבקישות יש בו חריפות קצת מועלת להבליע כדי גרידה.</w:t>
      </w:r>
    </w:p>
    <w:p w:rsidR="004820B2" w:rsidRPr="00BC3AFB" w:rsidRDefault="004820B2" w:rsidP="00BC3AFB">
      <w:pPr>
        <w:pStyle w:val="FootnoteText"/>
      </w:pPr>
      <w:r w:rsidRPr="00BC3AFB">
        <w:rPr>
          <w:rtl/>
        </w:rPr>
        <w:t>ולפי אופן הב' הי' יכל לתרץ קושית הראשונים, שהקישות יש בו חריפות קצת ודי בזה להפליט טעם ראשון בכדי גרידה.</w:t>
      </w:r>
    </w:p>
    <w:p w:rsidR="004820B2" w:rsidRPr="00BC3AFB" w:rsidRDefault="004820B2" w:rsidP="00BC3AFB">
      <w:pPr>
        <w:pStyle w:val="FootnoteText"/>
      </w:pPr>
      <w:r w:rsidRPr="00BC3AFB">
        <w:rPr>
          <w:rtl/>
        </w:rPr>
        <w:t>רק דלפי הכתוב בפנים הרי לקושתא דמילתא לית לי לרש"י דאיסור של צנון ובישול הוא משום טעם ראשון - ממשו, רק גזירה משום פליטה מרובה כנ"ל בפנים.</w:t>
      </w:r>
    </w:p>
    <w:p w:rsidR="004820B2" w:rsidRPr="00BC3AFB" w:rsidRDefault="004820B2" w:rsidP="00BC3AFB">
      <w:pPr>
        <w:pStyle w:val="FootnoteText"/>
      </w:pPr>
      <w:r w:rsidRPr="00BC3AFB">
        <w:rPr>
          <w:rtl/>
        </w:rPr>
        <w:t xml:space="preserve">אבל אכ"ז גם רש"י יכול לסבול טעם זה של גרידה בקישות משום דחריפי קצת, והוה רק לענין דבלע כדי גרידה (,לא לענין טעם ראשון כנ"ל). </w:t>
      </w:r>
    </w:p>
  </w:footnote>
  <w:footnote w:id="166">
    <w:p w:rsidR="004820B2" w:rsidRPr="00BC3AFB" w:rsidRDefault="004820B2" w:rsidP="00BC3AFB">
      <w:pPr>
        <w:pStyle w:val="FootnoteText"/>
      </w:pPr>
      <w:r w:rsidRPr="00BC3AFB">
        <w:footnoteRef/>
      </w:r>
      <w:r>
        <w:rPr>
          <w:rFonts w:hint="cs"/>
          <w:rtl/>
        </w:rPr>
        <w:t>)</w:t>
      </w:r>
      <w:r w:rsidRPr="00BC3AFB">
        <w:rPr>
          <w:rtl/>
        </w:rPr>
        <w:t xml:space="preserve"> ראה לקו"ש ח"כ ע' 157 ובכ"מ.</w:t>
      </w:r>
    </w:p>
  </w:footnote>
  <w:footnote w:id="167">
    <w:p w:rsidR="004820B2" w:rsidRDefault="004820B2" w:rsidP="00BC3AFB">
      <w:pPr>
        <w:pStyle w:val="FootnoteText"/>
      </w:pPr>
      <w:r w:rsidRPr="00BC3AFB">
        <w:footnoteRef/>
      </w:r>
      <w:r>
        <w:rPr>
          <w:rFonts w:hint="cs"/>
          <w:rtl/>
        </w:rPr>
        <w:t xml:space="preserve">) </w:t>
      </w:r>
      <w:r w:rsidRPr="00BC3AFB">
        <w:rPr>
          <w:rtl/>
        </w:rPr>
        <w:t xml:space="preserve">ראה יד מלאכי כללי הפוסקים, כללי רש"י. </w:t>
      </w:r>
    </w:p>
  </w:footnote>
  <w:footnote w:id="168">
    <w:p w:rsidR="004820B2" w:rsidRPr="007128D2" w:rsidRDefault="004820B2" w:rsidP="007128D2">
      <w:pPr>
        <w:pStyle w:val="FootnoteText"/>
      </w:pPr>
      <w:r w:rsidRPr="007128D2">
        <w:footnoteRef/>
      </w:r>
      <w:r>
        <w:rPr>
          <w:rFonts w:hint="cs"/>
          <w:rtl/>
        </w:rPr>
        <w:t>)</w:t>
      </w:r>
      <w:r w:rsidRPr="007128D2">
        <w:rPr>
          <w:rtl/>
        </w:rPr>
        <w:t xml:space="preserve"> </w:t>
      </w:r>
      <w:r w:rsidRPr="007128D2">
        <w:rPr>
          <w:rFonts w:hint="cs"/>
          <w:rtl/>
        </w:rPr>
        <w:t>בתורת לוי״צ שם עמ׳ קלח דהחילוק בין הני ב׳ בחי׳ מקיף בספירות הוא</w:t>
      </w:r>
      <w:r w:rsidRPr="007128D2">
        <w:rPr>
          <w:rtl/>
        </w:rPr>
        <w:t xml:space="preserve">, </w:t>
      </w:r>
      <w:r w:rsidRPr="007128D2">
        <w:rPr>
          <w:rFonts w:hint="cs"/>
          <w:rtl/>
        </w:rPr>
        <w:t xml:space="preserve">דבחי׳ ״מקיף הקרוב״ הוא מדריגת ״תבונה״ </w:t>
      </w:r>
      <w:r w:rsidRPr="007128D2">
        <w:rPr>
          <w:rtl/>
        </w:rPr>
        <w:t>[</w:t>
      </w:r>
      <w:r w:rsidRPr="007128D2">
        <w:rPr>
          <w:rFonts w:hint="cs"/>
          <w:rtl/>
        </w:rPr>
        <w:t>היינו</w:t>
      </w:r>
      <w:r w:rsidRPr="007128D2">
        <w:rPr>
          <w:rtl/>
        </w:rPr>
        <w:t xml:space="preserve">, </w:t>
      </w:r>
      <w:r w:rsidRPr="007128D2">
        <w:rPr>
          <w:rFonts w:hint="cs"/>
          <w:rtl/>
        </w:rPr>
        <w:t>בחי׳ חיצוניות הבינה</w:t>
      </w:r>
      <w:r w:rsidRPr="007128D2">
        <w:rPr>
          <w:rtl/>
        </w:rPr>
        <w:t xml:space="preserve">, </w:t>
      </w:r>
      <w:r w:rsidRPr="007128D2">
        <w:rPr>
          <w:rFonts w:hint="cs"/>
          <w:rtl/>
        </w:rPr>
        <w:t>״מדות שבבינה״</w:t>
      </w:r>
      <w:r w:rsidRPr="007128D2">
        <w:rPr>
          <w:rtl/>
        </w:rPr>
        <w:t xml:space="preserve">, </w:t>
      </w:r>
      <w:r w:rsidRPr="007128D2">
        <w:rPr>
          <w:rFonts w:hint="cs"/>
          <w:rtl/>
        </w:rPr>
        <w:t xml:space="preserve">שהיא דרגת השכל שבבינה כפי שהוא מתייחס כבר אל ענין המדות </w:t>
      </w:r>
      <w:r w:rsidRPr="007128D2">
        <w:rPr>
          <w:rtl/>
        </w:rPr>
        <w:t xml:space="preserve">– </w:t>
      </w:r>
      <w:r w:rsidRPr="007128D2">
        <w:rPr>
          <w:rFonts w:hint="cs"/>
          <w:rtl/>
        </w:rPr>
        <w:t xml:space="preserve">ראה לקו״ש חל״ט עמ׳ </w:t>
      </w:r>
      <w:r w:rsidRPr="007128D2">
        <w:rPr>
          <w:rtl/>
        </w:rPr>
        <w:t xml:space="preserve">65 </w:t>
      </w:r>
      <w:r w:rsidRPr="007128D2">
        <w:rPr>
          <w:rFonts w:hint="cs"/>
          <w:rtl/>
        </w:rPr>
        <w:t>ובכ״מ</w:t>
      </w:r>
      <w:r w:rsidRPr="007128D2">
        <w:rPr>
          <w:rtl/>
        </w:rPr>
        <w:t xml:space="preserve">], </w:t>
      </w:r>
      <w:r w:rsidRPr="007128D2">
        <w:rPr>
          <w:rFonts w:hint="cs"/>
          <w:rtl/>
        </w:rPr>
        <w:t xml:space="preserve">ובחי׳ ״מקיף הרחוק״ הוא מדריגת ״אימא עילאה״ </w:t>
      </w:r>
      <w:r w:rsidRPr="007128D2">
        <w:rPr>
          <w:rtl/>
        </w:rPr>
        <w:t>[</w:t>
      </w:r>
      <w:r w:rsidRPr="007128D2">
        <w:rPr>
          <w:rFonts w:hint="cs"/>
          <w:rtl/>
        </w:rPr>
        <w:t>שהיא ספירת הבינה עצמה</w:t>
      </w:r>
      <w:r w:rsidRPr="007128D2">
        <w:rPr>
          <w:rtl/>
        </w:rPr>
        <w:t>].</w:t>
      </w:r>
    </w:p>
    <w:p w:rsidR="004820B2" w:rsidRPr="007128D2" w:rsidRDefault="004820B2" w:rsidP="007128D2">
      <w:pPr>
        <w:pStyle w:val="FootnoteText"/>
      </w:pPr>
      <w:r w:rsidRPr="007128D2">
        <w:rPr>
          <w:rFonts w:hint="cs"/>
          <w:rtl/>
        </w:rPr>
        <w:t>ולמעלה יותר בכתר</w:t>
      </w:r>
      <w:r w:rsidRPr="007128D2">
        <w:rPr>
          <w:rtl/>
        </w:rPr>
        <w:t xml:space="preserve">, </w:t>
      </w:r>
      <w:r w:rsidRPr="007128D2">
        <w:rPr>
          <w:rFonts w:hint="cs"/>
          <w:rtl/>
        </w:rPr>
        <w:t>דבחי׳ ״מקיף הקרוב״ היא מדריגת אריך אנפין</w:t>
      </w:r>
      <w:r w:rsidRPr="007128D2">
        <w:rPr>
          <w:rtl/>
        </w:rPr>
        <w:t xml:space="preserve">, </w:t>
      </w:r>
      <w:r w:rsidRPr="007128D2">
        <w:rPr>
          <w:rFonts w:hint="cs"/>
          <w:rtl/>
        </w:rPr>
        <w:t>בחי׳ חיצוניות הכתר</w:t>
      </w:r>
      <w:r w:rsidRPr="007128D2">
        <w:rPr>
          <w:rtl/>
        </w:rPr>
        <w:t xml:space="preserve">, </w:t>
      </w:r>
      <w:r w:rsidRPr="007128D2">
        <w:rPr>
          <w:rFonts w:hint="cs"/>
          <w:rtl/>
        </w:rPr>
        <w:t>ובחי׳ ״מקיף הרחוק״ היא מדריגת ״עתיק יומין״ ורדל״א</w:t>
      </w:r>
      <w:r w:rsidRPr="007128D2">
        <w:rPr>
          <w:rtl/>
        </w:rPr>
        <w:t xml:space="preserve">, </w:t>
      </w:r>
      <w:r w:rsidRPr="007128D2">
        <w:rPr>
          <w:rFonts w:hint="cs"/>
          <w:rtl/>
        </w:rPr>
        <w:t xml:space="preserve">בחי׳ פנימיות הכתר </w:t>
      </w:r>
      <w:r w:rsidRPr="007128D2">
        <w:rPr>
          <w:rtl/>
        </w:rPr>
        <w:t>[</w:t>
      </w:r>
      <w:r w:rsidRPr="007128D2">
        <w:rPr>
          <w:rFonts w:hint="cs"/>
          <w:rtl/>
        </w:rPr>
        <w:t xml:space="preserve">וראה גם עד״ז בתו״מ התוועדויות ה׳תשמ״ו ח״ב עמ׳ </w:t>
      </w:r>
      <w:r w:rsidRPr="007128D2">
        <w:rPr>
          <w:rtl/>
        </w:rPr>
        <w:t xml:space="preserve">491 </w:t>
      </w:r>
      <w:r w:rsidRPr="007128D2">
        <w:rPr>
          <w:rFonts w:hint="cs"/>
          <w:rtl/>
        </w:rPr>
        <w:t>ובהנסמן שם דמקיף הקרוב ומקיף הרחוק הם הם ב׳ המדריגות דאריך ועתיק שבכתר</w:t>
      </w:r>
      <w:r w:rsidRPr="007128D2">
        <w:rPr>
          <w:rtl/>
        </w:rPr>
        <w:t xml:space="preserve">], </w:t>
      </w:r>
      <w:r w:rsidRPr="007128D2">
        <w:rPr>
          <w:rFonts w:hint="cs"/>
          <w:rtl/>
        </w:rPr>
        <w:t>עיי״ש</w:t>
      </w:r>
      <w:r w:rsidRPr="007128D2">
        <w:rPr>
          <w:rtl/>
        </w:rPr>
        <w:t xml:space="preserve">. </w:t>
      </w:r>
    </w:p>
    <w:p w:rsidR="004820B2" w:rsidRPr="007128D2" w:rsidRDefault="004820B2" w:rsidP="007128D2">
      <w:pPr>
        <w:pStyle w:val="FootnoteText"/>
      </w:pPr>
      <w:r w:rsidRPr="007128D2">
        <w:rPr>
          <w:rFonts w:hint="cs"/>
          <w:rtl/>
        </w:rPr>
        <w:t>ויש להעיר בזה</w:t>
      </w:r>
      <w:r w:rsidRPr="007128D2">
        <w:rPr>
          <w:rtl/>
        </w:rPr>
        <w:t xml:space="preserve">, </w:t>
      </w:r>
      <w:r w:rsidRPr="007128D2">
        <w:rPr>
          <w:rFonts w:hint="cs"/>
          <w:rtl/>
        </w:rPr>
        <w:t xml:space="preserve">דהנה בספה״ש ה׳תש״א עמ׳ </w:t>
      </w:r>
      <w:r w:rsidRPr="007128D2">
        <w:rPr>
          <w:rtl/>
        </w:rPr>
        <w:t xml:space="preserve">137 </w:t>
      </w:r>
      <w:r w:rsidRPr="007128D2">
        <w:rPr>
          <w:rFonts w:hint="cs"/>
          <w:rtl/>
        </w:rPr>
        <w:t>מסופר אודות הבעש״ט נ״ע אשר פעם עשה מופת בעיר בראד ורצו להחרימו ח״ו</w:t>
      </w:r>
      <w:r w:rsidRPr="007128D2">
        <w:rPr>
          <w:rtl/>
        </w:rPr>
        <w:t xml:space="preserve">, </w:t>
      </w:r>
      <w:r w:rsidRPr="007128D2">
        <w:rPr>
          <w:rFonts w:hint="cs"/>
          <w:rtl/>
        </w:rPr>
        <w:t>ואמר הבעש״ט שהוא אינו עושה את המופתים בעצמו כי אם בשותפות עם אביי</w:t>
      </w:r>
      <w:r w:rsidRPr="007128D2">
        <w:rPr>
          <w:rtl/>
        </w:rPr>
        <w:t xml:space="preserve">, </w:t>
      </w:r>
      <w:r w:rsidRPr="007128D2">
        <w:rPr>
          <w:rFonts w:hint="cs"/>
          <w:rtl/>
        </w:rPr>
        <w:t>עיי״ש עוד בהמשך הדברים</w:t>
      </w:r>
      <w:r w:rsidRPr="007128D2">
        <w:rPr>
          <w:rtl/>
        </w:rPr>
        <w:t xml:space="preserve">. </w:t>
      </w:r>
    </w:p>
    <w:p w:rsidR="004820B2" w:rsidRPr="007128D2" w:rsidRDefault="004820B2" w:rsidP="007128D2">
      <w:pPr>
        <w:pStyle w:val="FootnoteText"/>
      </w:pPr>
      <w:r w:rsidRPr="007128D2">
        <w:rPr>
          <w:rFonts w:hint="cs"/>
          <w:rtl/>
        </w:rPr>
        <w:t>ולהמבואר בדברי הרלוי״צ זצ״ל במהותו ומדריגתו של אביי שהיה שורש נשמתו מבחי׳ ״מקיף הרחוק״</w:t>
      </w:r>
      <w:r w:rsidRPr="007128D2">
        <w:rPr>
          <w:rtl/>
        </w:rPr>
        <w:t xml:space="preserve">, </w:t>
      </w:r>
      <w:r w:rsidRPr="007128D2">
        <w:rPr>
          <w:rFonts w:hint="cs"/>
          <w:rtl/>
        </w:rPr>
        <w:t>יש להעיר אודות השייכות המיוחדת שבין אביי להבעש״ט</w:t>
      </w:r>
      <w:r w:rsidRPr="007128D2">
        <w:rPr>
          <w:rtl/>
        </w:rPr>
        <w:t xml:space="preserve">, </w:t>
      </w:r>
      <w:r w:rsidRPr="007128D2">
        <w:rPr>
          <w:rFonts w:hint="cs"/>
          <w:rtl/>
        </w:rPr>
        <w:t>דהנה ראה בתו״מ התוועדויות ה׳תשמ״ו שם ובהנסמן שם דהבעש״ט והמגיד ממעזריטש נ״ע שייכים לב׳ המדריגות דאריך ועתיק שבכתר</w:t>
      </w:r>
      <w:r w:rsidRPr="007128D2">
        <w:rPr>
          <w:rtl/>
        </w:rPr>
        <w:t xml:space="preserve">, </w:t>
      </w:r>
      <w:r w:rsidRPr="007128D2">
        <w:rPr>
          <w:rFonts w:hint="cs"/>
          <w:rtl/>
        </w:rPr>
        <w:t>דהבעש״ט הוא בחי׳ ״עתיק יומין״ והרב המגיד הוא בחי׳ ״אריך אנפין״</w:t>
      </w:r>
      <w:r w:rsidRPr="007128D2">
        <w:rPr>
          <w:rtl/>
        </w:rPr>
        <w:t xml:space="preserve">, </w:t>
      </w:r>
      <w:r w:rsidRPr="007128D2">
        <w:rPr>
          <w:rFonts w:hint="cs"/>
          <w:rtl/>
        </w:rPr>
        <w:t>עיי״ש</w:t>
      </w:r>
      <w:r w:rsidRPr="007128D2">
        <w:rPr>
          <w:rtl/>
        </w:rPr>
        <w:t xml:space="preserve">. </w:t>
      </w:r>
    </w:p>
    <w:p w:rsidR="004820B2" w:rsidRPr="007128D2" w:rsidRDefault="004820B2" w:rsidP="007128D2">
      <w:pPr>
        <w:pStyle w:val="FootnoteText"/>
      </w:pPr>
      <w:r w:rsidRPr="007128D2">
        <w:rPr>
          <w:rFonts w:hint="cs"/>
          <w:rtl/>
        </w:rPr>
        <w:t>ונמצא מבואר דגם הבעש״ט שייך לבחי׳ ״מקיף הרחוק״</w:t>
      </w:r>
      <w:r w:rsidRPr="007128D2">
        <w:rPr>
          <w:rtl/>
        </w:rPr>
        <w:t xml:space="preserve">, </w:t>
      </w:r>
      <w:r w:rsidRPr="007128D2">
        <w:rPr>
          <w:rFonts w:hint="cs"/>
          <w:rtl/>
        </w:rPr>
        <w:t>בחי׳ עתיק יומין</w:t>
      </w:r>
      <w:r w:rsidRPr="007128D2">
        <w:rPr>
          <w:rtl/>
        </w:rPr>
        <w:t xml:space="preserve">, </w:t>
      </w:r>
      <w:r w:rsidRPr="007128D2">
        <w:rPr>
          <w:rFonts w:hint="cs"/>
          <w:rtl/>
        </w:rPr>
        <w:t>שהיא היא גם שורש נשמתו ומהותו דאביי</w:t>
      </w:r>
      <w:r w:rsidRPr="007128D2">
        <w:rPr>
          <w:rtl/>
        </w:rPr>
        <w:t xml:space="preserve">, </w:t>
      </w:r>
      <w:r w:rsidRPr="007128D2">
        <w:rPr>
          <w:rFonts w:hint="cs"/>
          <w:rtl/>
        </w:rPr>
        <w:t>וכמבואר בתורת לוי״צ שם</w:t>
      </w:r>
      <w:r w:rsidRPr="007128D2">
        <w:rPr>
          <w:rtl/>
        </w:rPr>
        <w:t xml:space="preserve">, </w:t>
      </w:r>
      <w:r w:rsidRPr="007128D2">
        <w:rPr>
          <w:rFonts w:hint="cs"/>
          <w:rtl/>
        </w:rPr>
        <w:t>ומבואר אפוא דאיכא שייכות מיוחדת בין אביי והבעש״ט במהותם ומדריגתם ע״ד הסוד</w:t>
      </w:r>
      <w:r w:rsidRPr="007128D2">
        <w:rPr>
          <w:rtl/>
        </w:rPr>
        <w:t>.</w:t>
      </w:r>
    </w:p>
    <w:p w:rsidR="004820B2" w:rsidRPr="007128D2" w:rsidRDefault="004820B2" w:rsidP="007128D2">
      <w:pPr>
        <w:pStyle w:val="FootnoteText"/>
      </w:pPr>
      <w:r w:rsidRPr="007128D2">
        <w:rPr>
          <w:rFonts w:hint="cs"/>
          <w:rtl/>
        </w:rPr>
        <w:t>ודאתינן להכי יש להעיר עוד בהשייכות שבין אביי להבעש״ט</w:t>
      </w:r>
      <w:r w:rsidRPr="007128D2">
        <w:rPr>
          <w:rtl/>
        </w:rPr>
        <w:t xml:space="preserve">, </w:t>
      </w:r>
      <w:r w:rsidRPr="007128D2">
        <w:rPr>
          <w:rFonts w:hint="cs"/>
          <w:rtl/>
        </w:rPr>
        <w:t xml:space="preserve">והוא ע״פ המובא בספר ׳סיפורים נוראים׳ להרב יעקב קאדאניר ז״ל בתחילתו בשם אדמו״ר הזקן נ״ע שאמר ״שאופן השכלתו בלימוד נגלה </w:t>
      </w:r>
      <w:r w:rsidRPr="007128D2">
        <w:rPr>
          <w:rtl/>
        </w:rPr>
        <w:t xml:space="preserve">– </w:t>
      </w:r>
      <w:r w:rsidRPr="007128D2">
        <w:rPr>
          <w:rFonts w:hint="cs"/>
          <w:rtl/>
        </w:rPr>
        <w:t xml:space="preserve">של הבעש״ט </w:t>
      </w:r>
      <w:r w:rsidRPr="007128D2">
        <w:rPr>
          <w:rtl/>
        </w:rPr>
        <w:t xml:space="preserve">– </w:t>
      </w:r>
      <w:r w:rsidRPr="007128D2">
        <w:rPr>
          <w:rFonts w:hint="cs"/>
          <w:rtl/>
        </w:rPr>
        <w:t>היה ממש מהות השכלת אביי דווקא״</w:t>
      </w:r>
      <w:r w:rsidRPr="007128D2">
        <w:rPr>
          <w:rtl/>
        </w:rPr>
        <w:t xml:space="preserve">, </w:t>
      </w:r>
      <w:r w:rsidRPr="007128D2">
        <w:rPr>
          <w:rFonts w:hint="cs"/>
          <w:rtl/>
        </w:rPr>
        <w:t>והמשיך אדה״ז כי דרך הלימוד בנגלה דתורה של הבעש״ט ״זהו מהות השכלות אביי דוקא ולא השכלות רבא</w:t>
      </w:r>
      <w:r w:rsidRPr="007128D2">
        <w:rPr>
          <w:rtl/>
        </w:rPr>
        <w:t xml:space="preserve">, </w:t>
      </w:r>
      <w:r w:rsidRPr="007128D2">
        <w:rPr>
          <w:rFonts w:hint="cs"/>
          <w:rtl/>
        </w:rPr>
        <w:t>כי השכלתו היה באופן אחר״ עיי״ש</w:t>
      </w:r>
      <w:r w:rsidRPr="007128D2">
        <w:rPr>
          <w:rtl/>
        </w:rPr>
        <w:t>.</w:t>
      </w:r>
    </w:p>
    <w:p w:rsidR="004820B2" w:rsidRPr="007128D2" w:rsidRDefault="004820B2" w:rsidP="007128D2">
      <w:pPr>
        <w:pStyle w:val="FootnoteText"/>
      </w:pPr>
      <w:r w:rsidRPr="007128D2">
        <w:rPr>
          <w:rFonts w:hint="cs"/>
          <w:rtl/>
        </w:rPr>
        <w:t>ויש להעיר גם מהמובא להלן מגמ׳ ר״ה יח</w:t>
      </w:r>
      <w:r w:rsidRPr="007128D2">
        <w:rPr>
          <w:rtl/>
        </w:rPr>
        <w:t xml:space="preserve">, </w:t>
      </w:r>
      <w:r w:rsidRPr="007128D2">
        <w:rPr>
          <w:rFonts w:hint="cs"/>
          <w:rtl/>
        </w:rPr>
        <w:t xml:space="preserve">א דאביי עסק גם בתורה וגם בגמילות חסדים והי׳ מעורב עם הבריות </w:t>
      </w:r>
      <w:r w:rsidRPr="007128D2">
        <w:rPr>
          <w:rtl/>
        </w:rPr>
        <w:t>[</w:t>
      </w:r>
      <w:r w:rsidRPr="007128D2">
        <w:rPr>
          <w:rFonts w:hint="cs"/>
          <w:rtl/>
        </w:rPr>
        <w:t>משא״כ רבא שעסק רק בתורה</w:t>
      </w:r>
      <w:r w:rsidRPr="007128D2">
        <w:rPr>
          <w:rtl/>
        </w:rPr>
        <w:t xml:space="preserve">] </w:t>
      </w:r>
      <w:r w:rsidRPr="007128D2">
        <w:rPr>
          <w:rFonts w:hint="cs"/>
          <w:rtl/>
        </w:rPr>
        <w:t>עיי״ש</w:t>
      </w:r>
      <w:r w:rsidRPr="007128D2">
        <w:rPr>
          <w:rtl/>
        </w:rPr>
        <w:t xml:space="preserve">, </w:t>
      </w:r>
      <w:r w:rsidRPr="007128D2">
        <w:rPr>
          <w:rFonts w:hint="cs"/>
          <w:rtl/>
        </w:rPr>
        <w:t>ואולי יש לקשר גם זה עם דרכו של הבעש״ט נ״ע בעבודת ה׳</w:t>
      </w:r>
      <w:r w:rsidRPr="007128D2">
        <w:rPr>
          <w:rtl/>
        </w:rPr>
        <w:t xml:space="preserve">, </w:t>
      </w:r>
      <w:r w:rsidRPr="007128D2">
        <w:rPr>
          <w:rFonts w:hint="cs"/>
          <w:rtl/>
        </w:rPr>
        <w:t>שקירב גם אנשים פשוטים וכו׳ מתוך אהבת ישראל וכידוע</w:t>
      </w:r>
      <w:r w:rsidRPr="007128D2">
        <w:rPr>
          <w:rtl/>
        </w:rPr>
        <w:t>.</w:t>
      </w:r>
    </w:p>
  </w:footnote>
  <w:footnote w:id="169">
    <w:p w:rsidR="004820B2" w:rsidRPr="007128D2" w:rsidRDefault="004820B2" w:rsidP="00966B44">
      <w:pPr>
        <w:pStyle w:val="FootnoteText"/>
      </w:pPr>
      <w:r w:rsidRPr="007128D2">
        <w:footnoteRef/>
      </w:r>
      <w:r>
        <w:rPr>
          <w:rFonts w:hint="cs"/>
          <w:rtl/>
        </w:rPr>
        <w:t>)</w:t>
      </w:r>
      <w:r w:rsidRPr="007128D2">
        <w:rPr>
          <w:rtl/>
        </w:rPr>
        <w:t xml:space="preserve"> </w:t>
      </w:r>
      <w:r w:rsidRPr="007128D2">
        <w:rPr>
          <w:rFonts w:hint="cs"/>
          <w:rtl/>
        </w:rPr>
        <w:t>בתורת לוי״צ שם עמ׳ קלח</w:t>
      </w:r>
      <w:r w:rsidRPr="007128D2">
        <w:rPr>
          <w:rtl/>
        </w:rPr>
        <w:t>-</w:t>
      </w:r>
      <w:r w:rsidRPr="007128D2">
        <w:rPr>
          <w:rFonts w:hint="cs"/>
          <w:rtl/>
        </w:rPr>
        <w:t>ט נדפס ״וראי׳ לזה ממה שאיתא בברכות בפ׳ מי שאכלו דמ״ז אביי ורבא וכו׳״</w:t>
      </w:r>
      <w:r w:rsidRPr="007128D2">
        <w:rPr>
          <w:rtl/>
        </w:rPr>
        <w:t xml:space="preserve">. </w:t>
      </w:r>
      <w:r w:rsidRPr="007128D2">
        <w:rPr>
          <w:rFonts w:hint="cs"/>
          <w:rtl/>
        </w:rPr>
        <w:t>וצריך לתקן ״דמ״ח״</w:t>
      </w:r>
      <w:r w:rsidRPr="007128D2">
        <w:rPr>
          <w:rtl/>
        </w:rPr>
        <w:t xml:space="preserve">. </w:t>
      </w:r>
      <w:r w:rsidRPr="007128D2">
        <w:rPr>
          <w:rFonts w:hint="cs"/>
          <w:rtl/>
        </w:rPr>
        <w:t>ונראה דכמו כן צריך לתקן במש״כ לפנ״ז ״בפ׳ מי שאכלו״</w:t>
      </w:r>
      <w:r w:rsidRPr="007128D2">
        <w:rPr>
          <w:rtl/>
        </w:rPr>
        <w:t xml:space="preserve">, </w:t>
      </w:r>
      <w:r w:rsidRPr="007128D2">
        <w:rPr>
          <w:rFonts w:hint="cs"/>
          <w:rtl/>
        </w:rPr>
        <w:t>דהרי הוא במס׳ בברכות ״בפ׳ שלשה שאכלו״</w:t>
      </w:r>
      <w:r w:rsidRPr="007128D2">
        <w:rPr>
          <w:rtl/>
        </w:rPr>
        <w:t xml:space="preserve">, </w:t>
      </w:r>
      <w:r w:rsidRPr="007128D2">
        <w:rPr>
          <w:rFonts w:hint="cs"/>
          <w:rtl/>
        </w:rPr>
        <w:t>וכנראה שהיה כתוב ״בפ׳ ג׳ שאכלו״</w:t>
      </w:r>
      <w:r w:rsidRPr="007128D2">
        <w:rPr>
          <w:rtl/>
        </w:rPr>
        <w:t>.</w:t>
      </w:r>
    </w:p>
  </w:footnote>
  <w:footnote w:id="170">
    <w:p w:rsidR="004820B2" w:rsidRPr="007128D2" w:rsidRDefault="004820B2" w:rsidP="007128D2">
      <w:pPr>
        <w:pStyle w:val="FootnoteText"/>
      </w:pPr>
      <w:r w:rsidRPr="007128D2">
        <w:footnoteRef/>
      </w:r>
      <w:r>
        <w:rPr>
          <w:rFonts w:hint="cs"/>
          <w:rtl/>
        </w:rPr>
        <w:t>)</w:t>
      </w:r>
      <w:r w:rsidRPr="007128D2">
        <w:rPr>
          <w:rtl/>
        </w:rPr>
        <w:t xml:space="preserve"> </w:t>
      </w:r>
      <w:r w:rsidRPr="007128D2">
        <w:rPr>
          <w:rFonts w:hint="cs"/>
          <w:rtl/>
        </w:rPr>
        <w:t>וראה בספר ׳מכתב סופר׳ להגר״ש סופר ז״ל ח״א בדרוש השישי לפ׳ שמות בסופו שהביא הך מעשה דאביי ורבא והקשה ע״ז ״ולכאורה יש לדייק מה שינוי זה מזה</w:t>
      </w:r>
      <w:r w:rsidRPr="007128D2">
        <w:rPr>
          <w:rtl/>
        </w:rPr>
        <w:t xml:space="preserve">, </w:t>
      </w:r>
      <w:r w:rsidRPr="007128D2">
        <w:rPr>
          <w:rFonts w:hint="cs"/>
          <w:rtl/>
        </w:rPr>
        <w:t>הא תרתי כלפי שמיא אחוי</w:t>
      </w:r>
      <w:r w:rsidRPr="007128D2">
        <w:rPr>
          <w:rtl/>
        </w:rPr>
        <w:t xml:space="preserve">, </w:t>
      </w:r>
      <w:r w:rsidRPr="007128D2">
        <w:rPr>
          <w:rFonts w:hint="cs"/>
          <w:rtl/>
        </w:rPr>
        <w:t>רק זה בפנים מן הבית וזה מבחוץ</w:t>
      </w:r>
      <w:r w:rsidRPr="007128D2">
        <w:rPr>
          <w:rtl/>
        </w:rPr>
        <w:t xml:space="preserve">, </w:t>
      </w:r>
      <w:r w:rsidRPr="007128D2">
        <w:rPr>
          <w:rFonts w:hint="cs"/>
          <w:rtl/>
        </w:rPr>
        <w:t xml:space="preserve">ומאי שנא״ </w:t>
      </w:r>
      <w:r w:rsidRPr="007128D2">
        <w:rPr>
          <w:rtl/>
        </w:rPr>
        <w:t>[</w:t>
      </w:r>
      <w:r w:rsidRPr="007128D2">
        <w:rPr>
          <w:rFonts w:hint="cs"/>
          <w:rtl/>
        </w:rPr>
        <w:t>ועיי״ש מש״כ לפי דרכו</w:t>
      </w:r>
      <w:r w:rsidRPr="007128D2">
        <w:rPr>
          <w:rtl/>
        </w:rPr>
        <w:t xml:space="preserve">, </w:t>
      </w:r>
      <w:r w:rsidRPr="007128D2">
        <w:rPr>
          <w:rFonts w:hint="cs"/>
          <w:rtl/>
        </w:rPr>
        <w:t>והובא להלן בהערות</w:t>
      </w:r>
      <w:r w:rsidRPr="007128D2">
        <w:rPr>
          <w:rtl/>
        </w:rPr>
        <w:t>].</w:t>
      </w:r>
    </w:p>
  </w:footnote>
  <w:footnote w:id="171">
    <w:p w:rsidR="004820B2" w:rsidRPr="007128D2" w:rsidRDefault="004820B2" w:rsidP="007128D2">
      <w:pPr>
        <w:pStyle w:val="FootnoteText"/>
      </w:pPr>
      <w:r w:rsidRPr="007128D2">
        <w:footnoteRef/>
      </w:r>
      <w:r>
        <w:rPr>
          <w:rFonts w:hint="cs"/>
          <w:rtl/>
        </w:rPr>
        <w:t>)</w:t>
      </w:r>
      <w:r w:rsidRPr="007128D2">
        <w:rPr>
          <w:rtl/>
        </w:rPr>
        <w:t xml:space="preserve"> </w:t>
      </w:r>
      <w:r w:rsidRPr="007128D2">
        <w:rPr>
          <w:rFonts w:hint="cs"/>
          <w:rtl/>
        </w:rPr>
        <w:t>ולהעיר ממה שפירש בזה בספר ׳אדרת אליהו׳ לרבי רפאל עמנואל ריקי ז״ל לברכות שם וז״ל ״אחוי לשמי טללא</w:t>
      </w:r>
      <w:r w:rsidRPr="007128D2">
        <w:rPr>
          <w:rtl/>
        </w:rPr>
        <w:t xml:space="preserve">, </w:t>
      </w:r>
      <w:r w:rsidRPr="007128D2">
        <w:rPr>
          <w:rFonts w:hint="cs"/>
          <w:rtl/>
        </w:rPr>
        <w:t>הוא בפנימיות הבית</w:t>
      </w:r>
      <w:r w:rsidRPr="007128D2">
        <w:rPr>
          <w:rtl/>
        </w:rPr>
        <w:t xml:space="preserve">, </w:t>
      </w:r>
      <w:r w:rsidRPr="007128D2">
        <w:rPr>
          <w:rFonts w:hint="cs"/>
          <w:rtl/>
        </w:rPr>
        <w:t>וירמוז לאור פנימי</w:t>
      </w:r>
      <w:r w:rsidRPr="007128D2">
        <w:rPr>
          <w:rtl/>
        </w:rPr>
        <w:t xml:space="preserve">, </w:t>
      </w:r>
      <w:r w:rsidRPr="007128D2">
        <w:rPr>
          <w:rFonts w:hint="cs"/>
          <w:rtl/>
        </w:rPr>
        <w:t>נפק לברא אחוי כלפי שמיא</w:t>
      </w:r>
      <w:r w:rsidRPr="007128D2">
        <w:rPr>
          <w:rtl/>
        </w:rPr>
        <w:t xml:space="preserve">, </w:t>
      </w:r>
      <w:r w:rsidRPr="007128D2">
        <w:rPr>
          <w:rFonts w:hint="cs"/>
          <w:rtl/>
        </w:rPr>
        <w:t>וירמוז לאור מקיף״</w:t>
      </w:r>
      <w:r w:rsidRPr="007128D2">
        <w:rPr>
          <w:rtl/>
        </w:rPr>
        <w:t xml:space="preserve">. </w:t>
      </w:r>
    </w:p>
    <w:p w:rsidR="004820B2" w:rsidRPr="007128D2" w:rsidRDefault="004820B2" w:rsidP="007128D2">
      <w:pPr>
        <w:pStyle w:val="FootnoteText"/>
      </w:pPr>
      <w:r w:rsidRPr="007128D2">
        <w:rPr>
          <w:rFonts w:hint="cs"/>
          <w:rtl/>
        </w:rPr>
        <w:t>האומנם דלדברי הרלוי״צ זצ״ל מתבאר הפירוש באו״א</w:t>
      </w:r>
      <w:r w:rsidRPr="007128D2">
        <w:rPr>
          <w:rtl/>
        </w:rPr>
        <w:t xml:space="preserve">, </w:t>
      </w:r>
      <w:r w:rsidRPr="007128D2">
        <w:rPr>
          <w:rFonts w:hint="cs"/>
          <w:rtl/>
        </w:rPr>
        <w:t>דשניהם הן אביי והן רבא הצביעו על ״אור מקיף״</w:t>
      </w:r>
      <w:r w:rsidRPr="007128D2">
        <w:rPr>
          <w:rtl/>
        </w:rPr>
        <w:t xml:space="preserve">, </w:t>
      </w:r>
      <w:r w:rsidRPr="007128D2">
        <w:rPr>
          <w:rFonts w:hint="cs"/>
          <w:rtl/>
        </w:rPr>
        <w:t xml:space="preserve">אלא דרבא הצביע על בחי׳ ״מקיף הקרוב״ </w:t>
      </w:r>
      <w:r w:rsidRPr="007128D2">
        <w:rPr>
          <w:rtl/>
        </w:rPr>
        <w:t>[</w:t>
      </w:r>
      <w:r w:rsidRPr="007128D2">
        <w:rPr>
          <w:rFonts w:hint="cs"/>
          <w:rtl/>
        </w:rPr>
        <w:t>והא ד״אחוי לשמי טללא״</w:t>
      </w:r>
      <w:r w:rsidRPr="007128D2">
        <w:rPr>
          <w:rtl/>
        </w:rPr>
        <w:t xml:space="preserve">, </w:t>
      </w:r>
      <w:r w:rsidRPr="007128D2">
        <w:rPr>
          <w:rFonts w:hint="cs"/>
          <w:rtl/>
        </w:rPr>
        <w:t>דהיינו על גג הבית</w:t>
      </w:r>
      <w:r w:rsidRPr="007128D2">
        <w:rPr>
          <w:rtl/>
        </w:rPr>
        <w:t xml:space="preserve">, </w:t>
      </w:r>
      <w:r w:rsidRPr="007128D2">
        <w:rPr>
          <w:rFonts w:hint="cs"/>
          <w:rtl/>
        </w:rPr>
        <w:t>אינו מורה על ״פנימיות הבית״ כמ״ש ב׳אדרת אליהו׳ לפי דרכו</w:t>
      </w:r>
      <w:r w:rsidRPr="007128D2">
        <w:rPr>
          <w:rtl/>
        </w:rPr>
        <w:t xml:space="preserve">, </w:t>
      </w:r>
      <w:r w:rsidRPr="007128D2">
        <w:rPr>
          <w:rFonts w:hint="cs"/>
          <w:rtl/>
        </w:rPr>
        <w:t>אלא על ענין הבית בכלל וצורת הריבוע של הבית בפרט</w:t>
      </w:r>
      <w:r w:rsidRPr="007128D2">
        <w:rPr>
          <w:rtl/>
        </w:rPr>
        <w:t xml:space="preserve">, </w:t>
      </w:r>
      <w:r w:rsidRPr="007128D2">
        <w:rPr>
          <w:rFonts w:hint="cs"/>
          <w:rtl/>
        </w:rPr>
        <w:t>שמרמז לבחי׳ ״מקיף הקרוב״</w:t>
      </w:r>
      <w:r w:rsidRPr="007128D2">
        <w:rPr>
          <w:rtl/>
        </w:rPr>
        <w:t xml:space="preserve">], </w:t>
      </w:r>
      <w:r w:rsidRPr="007128D2">
        <w:rPr>
          <w:rFonts w:hint="cs"/>
          <w:rtl/>
        </w:rPr>
        <w:t>ואביי על בחי׳ ״מקיף הרחוק״</w:t>
      </w:r>
      <w:r w:rsidRPr="007128D2">
        <w:rPr>
          <w:rtl/>
        </w:rPr>
        <w:t xml:space="preserve">, </w:t>
      </w:r>
      <w:r w:rsidRPr="007128D2">
        <w:rPr>
          <w:rFonts w:hint="cs"/>
          <w:rtl/>
        </w:rPr>
        <w:t>וכמוש״נ בדברי הרלוי״צ זצ״ל וכדלהלן בפנים בארוכה</w:t>
      </w:r>
      <w:r w:rsidRPr="007128D2">
        <w:rPr>
          <w:rtl/>
        </w:rPr>
        <w:t>.</w:t>
      </w:r>
    </w:p>
  </w:footnote>
  <w:footnote w:id="172">
    <w:p w:rsidR="004820B2" w:rsidRPr="007128D2" w:rsidRDefault="004820B2" w:rsidP="007128D2">
      <w:pPr>
        <w:pStyle w:val="FootnoteText"/>
      </w:pPr>
      <w:r w:rsidRPr="007128D2">
        <w:footnoteRef/>
      </w:r>
      <w:r>
        <w:rPr>
          <w:rFonts w:hint="cs"/>
          <w:rtl/>
        </w:rPr>
        <w:t>)</w:t>
      </w:r>
      <w:r w:rsidRPr="007128D2">
        <w:rPr>
          <w:rtl/>
        </w:rPr>
        <w:t xml:space="preserve"> </w:t>
      </w:r>
      <w:r w:rsidRPr="007128D2">
        <w:rPr>
          <w:rFonts w:hint="cs"/>
          <w:rtl/>
        </w:rPr>
        <w:t>וי״ל דבזה יבואר גם עומק כוונת רבה שכאשר שמע את מענתם הגיב באמרו ״תרווייכו רבנן הויתו</w:t>
      </w:r>
      <w:r w:rsidRPr="007128D2">
        <w:rPr>
          <w:rtl/>
        </w:rPr>
        <w:t xml:space="preserve">, </w:t>
      </w:r>
      <w:r w:rsidRPr="007128D2">
        <w:rPr>
          <w:rFonts w:hint="cs"/>
          <w:rtl/>
        </w:rPr>
        <w:t>היינו דאמרי אינשי בוצין בוצין מקטפיה ידיע״</w:t>
      </w:r>
      <w:r w:rsidRPr="007128D2">
        <w:rPr>
          <w:rtl/>
        </w:rPr>
        <w:t xml:space="preserve">. </w:t>
      </w:r>
    </w:p>
    <w:p w:rsidR="004820B2" w:rsidRPr="007128D2" w:rsidRDefault="004820B2" w:rsidP="007128D2">
      <w:pPr>
        <w:pStyle w:val="FootnoteText"/>
      </w:pPr>
      <w:r w:rsidRPr="007128D2">
        <w:rPr>
          <w:rFonts w:hint="cs"/>
          <w:rtl/>
        </w:rPr>
        <w:t>ולכאורה בהשקפה ראשונה לפי פשוטו צ״ב</w:t>
      </w:r>
      <w:r w:rsidRPr="007128D2">
        <w:rPr>
          <w:rtl/>
        </w:rPr>
        <w:t xml:space="preserve">, </w:t>
      </w:r>
      <w:r w:rsidRPr="007128D2">
        <w:rPr>
          <w:rFonts w:hint="cs"/>
          <w:rtl/>
        </w:rPr>
        <w:t xml:space="preserve">דמה ראה ושמע רבה בתשובתם שהתפעל כ״כ עד שאמר כי מתוכן דבריהם הוא מבין כי לעתיד ״תרווייכו רבנן הויתו וכו׳״ </w:t>
      </w:r>
      <w:r w:rsidRPr="007128D2">
        <w:rPr>
          <w:rtl/>
        </w:rPr>
        <w:t>[</w:t>
      </w:r>
      <w:r w:rsidRPr="007128D2">
        <w:rPr>
          <w:rFonts w:hint="cs"/>
          <w:rtl/>
        </w:rPr>
        <w:t>וראה מה שפירש בזה בספר ׳מכתב סופר׳ להגר״ש סופר ז״ל ח״א בדרוש השישי לפ׳ שמות בסופו והובאו דבריו להלן בהערות</w:t>
      </w:r>
      <w:r w:rsidRPr="007128D2">
        <w:rPr>
          <w:rtl/>
        </w:rPr>
        <w:t xml:space="preserve">, </w:t>
      </w:r>
      <w:r w:rsidRPr="007128D2">
        <w:rPr>
          <w:rFonts w:hint="cs"/>
          <w:rtl/>
        </w:rPr>
        <w:t>וראה גם בפי׳ בניהו ובן יהוידע לבעל הבן איש חי ז״ל מש״כ בזה לפי דרכו</w:t>
      </w:r>
      <w:r w:rsidRPr="007128D2">
        <w:rPr>
          <w:rtl/>
        </w:rPr>
        <w:t xml:space="preserve">, </w:t>
      </w:r>
      <w:r w:rsidRPr="007128D2">
        <w:rPr>
          <w:rFonts w:hint="cs"/>
          <w:rtl/>
        </w:rPr>
        <w:t>ואכ״מ</w:t>
      </w:r>
      <w:r w:rsidRPr="007128D2">
        <w:rPr>
          <w:rtl/>
        </w:rPr>
        <w:t>].</w:t>
      </w:r>
    </w:p>
    <w:p w:rsidR="004820B2" w:rsidRPr="007128D2" w:rsidRDefault="004820B2" w:rsidP="007128D2">
      <w:pPr>
        <w:pStyle w:val="FootnoteText"/>
      </w:pPr>
      <w:r w:rsidRPr="007128D2">
        <w:rPr>
          <w:rFonts w:hint="cs"/>
          <w:rtl/>
        </w:rPr>
        <w:t>אמנם להמבואר בדברי הרלוי״צ זצ״ל יש לומר דהתכוון בזה רבה לנקודת ה״לשיטתייהו״ שלהם ע״ד הסוד</w:t>
      </w:r>
      <w:r w:rsidRPr="007128D2">
        <w:rPr>
          <w:rtl/>
        </w:rPr>
        <w:t xml:space="preserve">, </w:t>
      </w:r>
      <w:r w:rsidRPr="007128D2">
        <w:rPr>
          <w:rFonts w:hint="cs"/>
          <w:rtl/>
        </w:rPr>
        <w:t>והיינו שמתוכן דבריהם הבין רבה דהאחד נתכוון ונטה לבחי׳ ״מקיף הקרוב״ והשני נתכוון ונטה לבחי׳ ״מקיף הרחוק״</w:t>
      </w:r>
      <w:r w:rsidRPr="007128D2">
        <w:rPr>
          <w:rtl/>
        </w:rPr>
        <w:t xml:space="preserve">, </w:t>
      </w:r>
      <w:r w:rsidRPr="007128D2">
        <w:rPr>
          <w:rFonts w:hint="cs"/>
          <w:rtl/>
        </w:rPr>
        <w:t>וכי כל אחד מהם ענה בהתאם למהותו ומדריגתו</w:t>
      </w:r>
      <w:r w:rsidRPr="007128D2">
        <w:rPr>
          <w:rtl/>
        </w:rPr>
        <w:t xml:space="preserve">, </w:t>
      </w:r>
      <w:r w:rsidRPr="007128D2">
        <w:rPr>
          <w:rFonts w:hint="cs"/>
          <w:rtl/>
        </w:rPr>
        <w:t>וכמוש״נ בפנים בארוכה בדברי הרלוי״צ זצ״ל</w:t>
      </w:r>
      <w:r w:rsidRPr="007128D2">
        <w:rPr>
          <w:rtl/>
        </w:rPr>
        <w:t>.</w:t>
      </w:r>
    </w:p>
    <w:p w:rsidR="004820B2" w:rsidRPr="007128D2" w:rsidRDefault="004820B2" w:rsidP="007128D2">
      <w:pPr>
        <w:pStyle w:val="FootnoteText"/>
      </w:pPr>
      <w:r w:rsidRPr="007128D2">
        <w:rPr>
          <w:rFonts w:hint="cs"/>
          <w:rtl/>
        </w:rPr>
        <w:t>ואולי יש להוסיף עוד ע״ד החידוד שעד״ז ראה רבה בתוכן דבריהם גם יסוד ושורש לשיטתם הכללית דאביי ורבא בדרך הלימוד בש״ס בכלל</w:t>
      </w:r>
      <w:r w:rsidRPr="007128D2">
        <w:rPr>
          <w:rtl/>
        </w:rPr>
        <w:t xml:space="preserve">, </w:t>
      </w:r>
      <w:r w:rsidRPr="007128D2">
        <w:rPr>
          <w:rFonts w:hint="cs"/>
          <w:rtl/>
        </w:rPr>
        <w:t>והיינו דמאופן ופרטי מענתם ראה והבין איך כי מזה ישתשל לעתיד גם ה״לשיטתייהו״ שלהם ע״ד ההלכה בכמה וכמה מחלוקות שלהם בש״ס</w:t>
      </w:r>
      <w:r w:rsidRPr="007128D2">
        <w:rPr>
          <w:rtl/>
        </w:rPr>
        <w:t xml:space="preserve">, </w:t>
      </w:r>
      <w:r w:rsidRPr="007128D2">
        <w:rPr>
          <w:rFonts w:hint="cs"/>
          <w:rtl/>
        </w:rPr>
        <w:t>וכפי שיתבאר בסימנים שלפנינו ביסוד דברי הרלוי״צ זצ״ל בס״ד</w:t>
      </w:r>
      <w:r w:rsidRPr="007128D2">
        <w:rPr>
          <w:rtl/>
        </w:rPr>
        <w:t xml:space="preserve">, </w:t>
      </w:r>
      <w:r w:rsidRPr="007128D2">
        <w:rPr>
          <w:rFonts w:hint="cs"/>
          <w:rtl/>
        </w:rPr>
        <w:t>וזהו שאמר רבה ד״תרווייכו רבנן הויתו כו׳ בוצין בוצין מקטפיה ידיע״</w:t>
      </w:r>
      <w:r w:rsidRPr="007128D2">
        <w:rPr>
          <w:rtl/>
        </w:rPr>
        <w:t>.</w:t>
      </w:r>
    </w:p>
    <w:p w:rsidR="004820B2" w:rsidRPr="007128D2" w:rsidRDefault="004820B2" w:rsidP="007128D2">
      <w:pPr>
        <w:pStyle w:val="FootnoteText"/>
      </w:pPr>
      <w:r w:rsidRPr="007128D2">
        <w:rPr>
          <w:rFonts w:hint="cs"/>
          <w:rtl/>
        </w:rPr>
        <w:t>וראה ב׳מכתב סופר׳ שם שהביא הך מעשה דאביי ורבא והקשה וז״ל ״מאי קאמר בוצין בוצין תרי זימנא</w:t>
      </w:r>
      <w:r w:rsidRPr="007128D2">
        <w:rPr>
          <w:rtl/>
        </w:rPr>
        <w:t xml:space="preserve">, </w:t>
      </w:r>
      <w:r w:rsidRPr="007128D2">
        <w:rPr>
          <w:rFonts w:hint="cs"/>
          <w:rtl/>
        </w:rPr>
        <w:t>הול״ל בוצין מקטפי ידיע״</w:t>
      </w:r>
      <w:r w:rsidRPr="007128D2">
        <w:rPr>
          <w:rtl/>
        </w:rPr>
        <w:t xml:space="preserve">, </w:t>
      </w:r>
      <w:r w:rsidRPr="007128D2">
        <w:rPr>
          <w:rFonts w:hint="cs"/>
          <w:rtl/>
        </w:rPr>
        <w:t>וביאר לפי דרכו שם דאזלי אביי ורבא בזה לשיטתייהו אם לימוד התורה עיקר או העירוב עם הבריות וגמ״ח עיי״ש</w:t>
      </w:r>
      <w:r w:rsidRPr="007128D2">
        <w:rPr>
          <w:rtl/>
        </w:rPr>
        <w:t xml:space="preserve">, </w:t>
      </w:r>
      <w:r w:rsidRPr="007128D2">
        <w:rPr>
          <w:rFonts w:hint="cs"/>
          <w:rtl/>
        </w:rPr>
        <w:t>וסיים ״וע״ז אמר היינו דאמרי אינשי בוצין בוצין מקטפי ידיעי</w:t>
      </w:r>
      <w:r w:rsidRPr="007128D2">
        <w:rPr>
          <w:rtl/>
        </w:rPr>
        <w:t xml:space="preserve">, </w:t>
      </w:r>
      <w:r w:rsidRPr="007128D2">
        <w:rPr>
          <w:rFonts w:hint="cs"/>
          <w:rtl/>
        </w:rPr>
        <w:t>פירוש תרי דלעת בעודן קטנים ידעין וניכר אם יהי׳ טוב</w:t>
      </w:r>
      <w:r w:rsidRPr="007128D2">
        <w:rPr>
          <w:rtl/>
        </w:rPr>
        <w:t xml:space="preserve">, </w:t>
      </w:r>
      <w:r w:rsidRPr="007128D2">
        <w:rPr>
          <w:rFonts w:hint="cs"/>
          <w:rtl/>
        </w:rPr>
        <w:t>כן הני בעודן קטנים ידעין כל חד וחד איך יתעלה ויהי׳ בגדלותו״</w:t>
      </w:r>
      <w:r w:rsidRPr="007128D2">
        <w:rPr>
          <w:rtl/>
        </w:rPr>
        <w:t xml:space="preserve">, </w:t>
      </w:r>
      <w:r w:rsidRPr="007128D2">
        <w:rPr>
          <w:rFonts w:hint="cs"/>
          <w:rtl/>
        </w:rPr>
        <w:t>והיינו דזהו שחזר וכפל רבה ״בוצין בוצין וכו׳״ ב״פ</w:t>
      </w:r>
      <w:r w:rsidRPr="007128D2">
        <w:rPr>
          <w:rtl/>
        </w:rPr>
        <w:t xml:space="preserve">, </w:t>
      </w:r>
      <w:r w:rsidRPr="007128D2">
        <w:rPr>
          <w:rFonts w:hint="cs"/>
          <w:rtl/>
        </w:rPr>
        <w:t>לרמז על שיטתו המיוחדת של כל אחד ואחד מהם</w:t>
      </w:r>
      <w:r w:rsidRPr="007128D2">
        <w:rPr>
          <w:rtl/>
        </w:rPr>
        <w:t>.</w:t>
      </w:r>
    </w:p>
    <w:p w:rsidR="004820B2" w:rsidRPr="007128D2" w:rsidRDefault="004820B2" w:rsidP="007128D2">
      <w:pPr>
        <w:pStyle w:val="FootnoteText"/>
      </w:pPr>
      <w:r w:rsidRPr="007128D2">
        <w:rPr>
          <w:rFonts w:hint="cs"/>
          <w:rtl/>
        </w:rPr>
        <w:t>ובכן אף אנו נאמר כן גם לדרכו של הרלוי״צ זצ״ל</w:t>
      </w:r>
      <w:r w:rsidRPr="007128D2">
        <w:rPr>
          <w:rtl/>
        </w:rPr>
        <w:t xml:space="preserve">, </w:t>
      </w:r>
      <w:r w:rsidRPr="007128D2">
        <w:rPr>
          <w:rFonts w:hint="cs"/>
          <w:rtl/>
        </w:rPr>
        <w:t>דזהו מה שחזר וכפל רבה ״בוצין בוצין וכו׳״ ב״פ</w:t>
      </w:r>
      <w:r w:rsidRPr="007128D2">
        <w:rPr>
          <w:rtl/>
        </w:rPr>
        <w:t xml:space="preserve">, </w:t>
      </w:r>
      <w:r w:rsidRPr="007128D2">
        <w:rPr>
          <w:rFonts w:hint="cs"/>
          <w:rtl/>
        </w:rPr>
        <w:t>לרמז על ב׳ השיטות דאביי ורבא ד״מקיף הרחוק״ ו״מקיף הקרוב״ כל חד וחד לפי מהותו וענינו וכמוש״נ</w:t>
      </w:r>
      <w:r w:rsidRPr="007128D2">
        <w:rPr>
          <w:rtl/>
        </w:rPr>
        <w:t>.</w:t>
      </w:r>
    </w:p>
  </w:footnote>
  <w:footnote w:id="173">
    <w:p w:rsidR="004820B2" w:rsidRPr="007128D2" w:rsidRDefault="004820B2" w:rsidP="007128D2">
      <w:pPr>
        <w:pStyle w:val="FootnoteText"/>
      </w:pPr>
      <w:r w:rsidRPr="007128D2">
        <w:footnoteRef/>
      </w:r>
      <w:r>
        <w:rPr>
          <w:rFonts w:hint="cs"/>
          <w:rtl/>
        </w:rPr>
        <w:t>)</w:t>
      </w:r>
      <w:r w:rsidRPr="007128D2">
        <w:rPr>
          <w:rtl/>
        </w:rPr>
        <w:t xml:space="preserve"> </w:t>
      </w:r>
      <w:r w:rsidRPr="007128D2">
        <w:rPr>
          <w:rFonts w:hint="cs"/>
          <w:rtl/>
        </w:rPr>
        <w:t>ויש להעיר ממה שפירש הגראי״ה קוק ז״ל בספרו ׳עין איה׳ לברכות שם בביאור תוכן מענתם דאביי ורבא וז״ל ״הנטי׳ הטבעית לדעת אלקים מתגלה ביותר בתור רגש פנימי אצל אנשי שם המצויינים</w:t>
      </w:r>
      <w:r w:rsidRPr="007128D2">
        <w:rPr>
          <w:rtl/>
        </w:rPr>
        <w:t xml:space="preserve">, </w:t>
      </w:r>
      <w:r w:rsidRPr="007128D2">
        <w:rPr>
          <w:rFonts w:hint="cs"/>
          <w:rtl/>
        </w:rPr>
        <w:t>ויותר מזה שגם כללות דרכים הפרטיים שבידיעת הדרישה האלקית שמתחלקים חכמי לב בהיותם באים בימים</w:t>
      </w:r>
      <w:r w:rsidRPr="007128D2">
        <w:rPr>
          <w:rtl/>
        </w:rPr>
        <w:t xml:space="preserve">, </w:t>
      </w:r>
      <w:r w:rsidRPr="007128D2">
        <w:rPr>
          <w:rFonts w:hint="cs"/>
          <w:rtl/>
        </w:rPr>
        <w:t>סבת החלוקה היא נטועה בנפש מראש</w:t>
      </w:r>
      <w:r w:rsidRPr="007128D2">
        <w:rPr>
          <w:rtl/>
        </w:rPr>
        <w:t>.</w:t>
      </w:r>
    </w:p>
    <w:p w:rsidR="004820B2" w:rsidRPr="007128D2" w:rsidRDefault="004820B2" w:rsidP="007128D2">
      <w:pPr>
        <w:pStyle w:val="FootnoteText"/>
      </w:pPr>
      <w:r w:rsidRPr="007128D2">
        <w:rPr>
          <w:rFonts w:hint="cs"/>
          <w:rtl/>
        </w:rPr>
        <w:t>ובאשר שישנם חכמים שמגמתם בדעת האלקים היא ע״פ הדברים המשוערים והמוגבלים</w:t>
      </w:r>
      <w:r w:rsidRPr="007128D2">
        <w:rPr>
          <w:rtl/>
        </w:rPr>
        <w:t xml:space="preserve">, </w:t>
      </w:r>
      <w:r w:rsidRPr="007128D2">
        <w:rPr>
          <w:rFonts w:hint="cs"/>
          <w:rtl/>
        </w:rPr>
        <w:t>כמו ע״י בירור החכמות בדברים המוחשים לאמתתם לעמוד על סודם וסדרם</w:t>
      </w:r>
      <w:r w:rsidRPr="007128D2">
        <w:rPr>
          <w:rtl/>
        </w:rPr>
        <w:t xml:space="preserve">, </w:t>
      </w:r>
      <w:r w:rsidRPr="007128D2">
        <w:rPr>
          <w:rFonts w:hint="cs"/>
          <w:rtl/>
        </w:rPr>
        <w:t>ודעת התורה להלכותיה ופרטותיה</w:t>
      </w:r>
      <w:r w:rsidRPr="007128D2">
        <w:rPr>
          <w:rtl/>
        </w:rPr>
        <w:t xml:space="preserve">, </w:t>
      </w:r>
      <w:r w:rsidRPr="007128D2">
        <w:rPr>
          <w:rFonts w:hint="cs"/>
          <w:rtl/>
        </w:rPr>
        <w:t>ובזה ימצאו עצמם דבקים בקונם ויודעים את שמו ית׳</w:t>
      </w:r>
      <w:r w:rsidRPr="007128D2">
        <w:rPr>
          <w:rtl/>
        </w:rPr>
        <w:t>.</w:t>
      </w:r>
    </w:p>
    <w:p w:rsidR="004820B2" w:rsidRPr="007128D2" w:rsidRDefault="004820B2" w:rsidP="007128D2">
      <w:pPr>
        <w:pStyle w:val="FootnoteText"/>
      </w:pPr>
      <w:r w:rsidRPr="007128D2">
        <w:rPr>
          <w:rFonts w:hint="cs"/>
          <w:rtl/>
        </w:rPr>
        <w:t>וישנם כאלה שמטבע נפשם אינם יכולים להסתפק בדרישת הדברים המוגבלים והם מתרוממים לשוטט ברעיונות בהכרת רוממות א</w:t>
      </w:r>
      <w:r w:rsidRPr="007128D2">
        <w:rPr>
          <w:rtl/>
        </w:rPr>
        <w:t>-</w:t>
      </w:r>
      <w:r w:rsidRPr="007128D2">
        <w:rPr>
          <w:rFonts w:hint="cs"/>
          <w:rtl/>
        </w:rPr>
        <w:t>ל ית׳ בהשערה פנימית בהגיון נעלה</w:t>
      </w:r>
      <w:r w:rsidRPr="007128D2">
        <w:rPr>
          <w:rtl/>
        </w:rPr>
        <w:t xml:space="preserve">, </w:t>
      </w:r>
      <w:r w:rsidRPr="007128D2">
        <w:rPr>
          <w:rFonts w:hint="cs"/>
          <w:rtl/>
        </w:rPr>
        <w:t>ובזה אינם מצומצמים אל פרטי נתיבות דברים קצובים ומוגבלים</w:t>
      </w:r>
      <w:r w:rsidRPr="007128D2">
        <w:rPr>
          <w:rtl/>
        </w:rPr>
        <w:t xml:space="preserve">, </w:t>
      </w:r>
      <w:r w:rsidRPr="007128D2">
        <w:rPr>
          <w:rFonts w:hint="cs"/>
          <w:rtl/>
        </w:rPr>
        <w:t>ויותר ממה שיש לדבר בפה ולשון הם מרגישים בהגיון לבבם</w:t>
      </w:r>
      <w:r w:rsidRPr="007128D2">
        <w:rPr>
          <w:rtl/>
        </w:rPr>
        <w:t xml:space="preserve">, </w:t>
      </w:r>
      <w:r w:rsidRPr="007128D2">
        <w:rPr>
          <w:rFonts w:hint="cs"/>
          <w:rtl/>
        </w:rPr>
        <w:t>ומרוממות ההגיון הפנימי מכירים ג״כ ההכרח שמחייב את ההשלמה האנושית לבוא ע״י השיעבוד לדרישה ולקיום של כל הדברים המוגבלים</w:t>
      </w:r>
      <w:r w:rsidRPr="007128D2">
        <w:rPr>
          <w:rtl/>
        </w:rPr>
        <w:t xml:space="preserve">, </w:t>
      </w:r>
      <w:r w:rsidRPr="007128D2">
        <w:rPr>
          <w:rFonts w:hint="cs"/>
          <w:rtl/>
        </w:rPr>
        <w:t>מחכמה ודרישת התורה ופרטיה וכו׳</w:t>
      </w:r>
      <w:r w:rsidRPr="007128D2">
        <w:rPr>
          <w:rtl/>
        </w:rPr>
        <w:t xml:space="preserve">. </w:t>
      </w:r>
    </w:p>
    <w:p w:rsidR="004820B2" w:rsidRPr="007128D2" w:rsidRDefault="004820B2" w:rsidP="007128D2">
      <w:pPr>
        <w:pStyle w:val="FootnoteText"/>
      </w:pPr>
      <w:r w:rsidRPr="007128D2">
        <w:rPr>
          <w:rFonts w:hint="cs"/>
          <w:rtl/>
        </w:rPr>
        <w:t>על כן רבא אחוי לשמי טללא</w:t>
      </w:r>
      <w:r w:rsidRPr="007128D2">
        <w:rPr>
          <w:rtl/>
        </w:rPr>
        <w:t xml:space="preserve">, </w:t>
      </w:r>
      <w:r w:rsidRPr="007128D2">
        <w:rPr>
          <w:rFonts w:hint="cs"/>
          <w:rtl/>
        </w:rPr>
        <w:t xml:space="preserve">כי היתה נטייתו אל שקידת התורה ודרישת כל אמת בפרטיהם </w:t>
      </w:r>
      <w:r w:rsidRPr="007128D2">
        <w:rPr>
          <w:rtl/>
        </w:rPr>
        <w:t>[</w:t>
      </w:r>
      <w:r w:rsidRPr="007128D2">
        <w:rPr>
          <w:rFonts w:hint="cs"/>
          <w:rtl/>
        </w:rPr>
        <w:t>בפרטיה</w:t>
      </w:r>
      <w:r w:rsidRPr="007128D2">
        <w:rPr>
          <w:rtl/>
        </w:rPr>
        <w:t xml:space="preserve">] </w:t>
      </w:r>
      <w:r w:rsidRPr="007128D2">
        <w:rPr>
          <w:rFonts w:hint="cs"/>
          <w:rtl/>
        </w:rPr>
        <w:t>המוגבלים</w:t>
      </w:r>
      <w:r w:rsidRPr="007128D2">
        <w:rPr>
          <w:rtl/>
        </w:rPr>
        <w:t xml:space="preserve">, </w:t>
      </w:r>
      <w:r w:rsidRPr="007128D2">
        <w:rPr>
          <w:rFonts w:hint="cs"/>
          <w:rtl/>
        </w:rPr>
        <w:t>ובזה יבוא להכרת קונו ית׳</w:t>
      </w:r>
      <w:r w:rsidRPr="007128D2">
        <w:rPr>
          <w:rtl/>
        </w:rPr>
        <w:t xml:space="preserve">, </w:t>
      </w:r>
      <w:r w:rsidRPr="007128D2">
        <w:rPr>
          <w:rFonts w:hint="cs"/>
          <w:rtl/>
        </w:rPr>
        <w:t>וזאת הנטי׳ משלה בנפשו גם בילדות</w:t>
      </w:r>
      <w:r w:rsidRPr="007128D2">
        <w:rPr>
          <w:rtl/>
        </w:rPr>
        <w:t xml:space="preserve">, </w:t>
      </w:r>
      <w:r w:rsidRPr="007128D2">
        <w:rPr>
          <w:rFonts w:hint="cs"/>
          <w:rtl/>
        </w:rPr>
        <w:t>למצוא מנוחה ג״כ בצל אהל</w:t>
      </w:r>
      <w:r w:rsidRPr="007128D2">
        <w:rPr>
          <w:rtl/>
        </w:rPr>
        <w:t xml:space="preserve">, </w:t>
      </w:r>
      <w:r w:rsidRPr="007128D2">
        <w:rPr>
          <w:rFonts w:hint="cs"/>
          <w:rtl/>
        </w:rPr>
        <w:t>ובזה יבוא אל המנוחה והתעודה הרוממה</w:t>
      </w:r>
      <w:r w:rsidRPr="007128D2">
        <w:rPr>
          <w:rtl/>
        </w:rPr>
        <w:t>.</w:t>
      </w:r>
    </w:p>
    <w:p w:rsidR="004820B2" w:rsidRPr="007128D2" w:rsidRDefault="004820B2" w:rsidP="007128D2">
      <w:pPr>
        <w:pStyle w:val="FootnoteText"/>
      </w:pPr>
      <w:r w:rsidRPr="007128D2">
        <w:rPr>
          <w:rFonts w:hint="cs"/>
          <w:rtl/>
        </w:rPr>
        <w:t>אביי אמנם שאף אל הרחבת הידיעה בההכרה הפנימית שמתנשאת אל למעלה מכל גבול</w:t>
      </w:r>
      <w:r w:rsidRPr="007128D2">
        <w:rPr>
          <w:rtl/>
        </w:rPr>
        <w:t xml:space="preserve">, </w:t>
      </w:r>
      <w:r w:rsidRPr="007128D2">
        <w:rPr>
          <w:rFonts w:hint="cs"/>
          <w:rtl/>
        </w:rPr>
        <w:t>ודחקו טבעי הפנימי לבטא רגשות נפשו ברחמנא היכי יתיב</w:t>
      </w:r>
      <w:r w:rsidRPr="007128D2">
        <w:rPr>
          <w:rtl/>
        </w:rPr>
        <w:t xml:space="preserve">, </w:t>
      </w:r>
      <w:r w:rsidRPr="007128D2">
        <w:rPr>
          <w:rFonts w:hint="cs"/>
          <w:rtl/>
        </w:rPr>
        <w:t>ע״י דנפיק לברא ואחוי כלפי שמיא אל מרחב אין קץ</w:t>
      </w:r>
      <w:r w:rsidRPr="007128D2">
        <w:rPr>
          <w:rtl/>
        </w:rPr>
        <w:t>.</w:t>
      </w:r>
    </w:p>
    <w:p w:rsidR="004820B2" w:rsidRPr="007128D2" w:rsidRDefault="004820B2" w:rsidP="007128D2">
      <w:pPr>
        <w:pStyle w:val="FootnoteText"/>
      </w:pPr>
      <w:r w:rsidRPr="007128D2">
        <w:rPr>
          <w:rFonts w:hint="cs"/>
          <w:rtl/>
        </w:rPr>
        <w:t>והיינו דאמרי אינשי בוצין בוצין מקטפיה ידיע</w:t>
      </w:r>
      <w:r w:rsidRPr="007128D2">
        <w:rPr>
          <w:rtl/>
        </w:rPr>
        <w:t xml:space="preserve">, </w:t>
      </w:r>
      <w:r w:rsidRPr="007128D2">
        <w:rPr>
          <w:rFonts w:hint="cs"/>
          <w:rtl/>
        </w:rPr>
        <w:t xml:space="preserve">שההכנה הנפשית מתגברת באדם וניכרת בעוצם התחלת הילדות באופן רשמי כ״כ עד שנוכל ג״כ לדעת איזה דרך יבחר הילד אשר שאר רוחו מתגלה בו״ עכ״ל לעניננו </w:t>
      </w:r>
      <w:r w:rsidRPr="007128D2">
        <w:rPr>
          <w:rtl/>
        </w:rPr>
        <w:t>[</w:t>
      </w:r>
      <w:r w:rsidRPr="007128D2">
        <w:rPr>
          <w:rFonts w:hint="cs"/>
          <w:rtl/>
        </w:rPr>
        <w:t>וראה עוד להלן בהערות הבאות</w:t>
      </w:r>
      <w:r w:rsidRPr="007128D2">
        <w:rPr>
          <w:rtl/>
        </w:rPr>
        <w:t>].</w:t>
      </w:r>
    </w:p>
    <w:p w:rsidR="004820B2" w:rsidRPr="007128D2" w:rsidRDefault="004820B2" w:rsidP="007128D2">
      <w:pPr>
        <w:pStyle w:val="FootnoteText"/>
      </w:pPr>
      <w:r w:rsidRPr="007128D2">
        <w:rPr>
          <w:rFonts w:hint="cs"/>
          <w:rtl/>
        </w:rPr>
        <w:t>והדברים עולים בקנה אחד עם ביאור הרלוי״צ זצ״ל שבפנים</w:t>
      </w:r>
      <w:r w:rsidRPr="007128D2">
        <w:rPr>
          <w:rtl/>
        </w:rPr>
        <w:t xml:space="preserve">, </w:t>
      </w:r>
      <w:r w:rsidRPr="007128D2">
        <w:rPr>
          <w:rFonts w:hint="cs"/>
          <w:rtl/>
        </w:rPr>
        <w:t>דרבא היה נוטה בטבע נפשו לידיעת הדרישה האלקית ״ע״פ הדברים המשוערים והמוגבלים״ דייקא</w:t>
      </w:r>
      <w:r w:rsidRPr="007128D2">
        <w:rPr>
          <w:rtl/>
        </w:rPr>
        <w:t xml:space="preserve">, </w:t>
      </w:r>
      <w:r w:rsidRPr="007128D2">
        <w:rPr>
          <w:rFonts w:hint="cs"/>
          <w:rtl/>
        </w:rPr>
        <w:t>ובסגנון ביאור הרלוי״צ זצ״ל שהתייחס רבא רק לדרגת האלקות שבבחי׳ ״מקיף הקרוב״</w:t>
      </w:r>
      <w:r w:rsidRPr="007128D2">
        <w:rPr>
          <w:rtl/>
        </w:rPr>
        <w:t xml:space="preserve">, </w:t>
      </w:r>
      <w:r w:rsidRPr="007128D2">
        <w:rPr>
          <w:rFonts w:hint="cs"/>
          <w:rtl/>
        </w:rPr>
        <w:t>״שיש בו קצת אחיזה ויש לו שייכות לאור פנימי״</w:t>
      </w:r>
      <w:r w:rsidRPr="007128D2">
        <w:rPr>
          <w:rtl/>
        </w:rPr>
        <w:t>,</w:t>
      </w:r>
      <w:r w:rsidRPr="007128D2">
        <w:rPr>
          <w:rFonts w:hint="cs"/>
          <w:rtl/>
        </w:rPr>
        <w:t xml:space="preserve"> ולכן בהצביעו על ״רחמנא״ הראה לתקרת הבית</w:t>
      </w:r>
      <w:r w:rsidRPr="007128D2">
        <w:rPr>
          <w:rtl/>
        </w:rPr>
        <w:t xml:space="preserve">, </w:t>
      </w:r>
      <w:r w:rsidRPr="007128D2">
        <w:rPr>
          <w:rFonts w:hint="cs"/>
          <w:rtl/>
        </w:rPr>
        <w:t>משא״כ אביי היה נוטה מטבע נפשו ״אל הרחבת הידיעה בההכרה הפנימית שמתנשאת אל למעלה מכל גבול״</w:t>
      </w:r>
      <w:r w:rsidRPr="007128D2">
        <w:rPr>
          <w:rtl/>
        </w:rPr>
        <w:t xml:space="preserve">, </w:t>
      </w:r>
      <w:r w:rsidRPr="007128D2">
        <w:rPr>
          <w:rFonts w:hint="cs"/>
          <w:rtl/>
        </w:rPr>
        <w:t>והיינו בסגנון ביאור הרלוי״צ זצ״ל שהתייחס אביי לדרגא האלוקית הנעלית יותר שבבחי׳ ״מקיף הרחוק״</w:t>
      </w:r>
      <w:r w:rsidRPr="007128D2">
        <w:rPr>
          <w:rtl/>
        </w:rPr>
        <w:t xml:space="preserve">, </w:t>
      </w:r>
      <w:r w:rsidRPr="007128D2">
        <w:rPr>
          <w:rFonts w:hint="cs"/>
          <w:rtl/>
        </w:rPr>
        <w:t>״שאין בו שום אחיזה ואין לו שייכות להאור פנימי״</w:t>
      </w:r>
      <w:r w:rsidRPr="007128D2">
        <w:rPr>
          <w:rtl/>
        </w:rPr>
        <w:t xml:space="preserve">, </w:t>
      </w:r>
      <w:r w:rsidRPr="007128D2">
        <w:rPr>
          <w:rFonts w:hint="cs"/>
          <w:rtl/>
        </w:rPr>
        <w:t>ולכן הראה לשמים ״אל מרחב אין קץ״</w:t>
      </w:r>
      <w:r w:rsidRPr="007128D2">
        <w:rPr>
          <w:rtl/>
        </w:rPr>
        <w:t>.</w:t>
      </w:r>
    </w:p>
    <w:p w:rsidR="004820B2" w:rsidRPr="007128D2" w:rsidRDefault="004820B2" w:rsidP="007128D2">
      <w:pPr>
        <w:pStyle w:val="FootnoteText"/>
      </w:pPr>
      <w:r w:rsidRPr="007128D2">
        <w:rPr>
          <w:rtl/>
        </w:rPr>
        <w:t>[</w:t>
      </w:r>
      <w:r w:rsidRPr="007128D2">
        <w:rPr>
          <w:rFonts w:hint="cs"/>
          <w:rtl/>
        </w:rPr>
        <w:t>ולהעיר עוד דדברי הגראי״ה קוק ז״ל הנ״ל מתאימים היטב ועולים בקנה אחד גם להמבואר להלן בדברינו סימן ג׳ ובסימנים הבאים בארוכה</w:t>
      </w:r>
      <w:r w:rsidRPr="007128D2">
        <w:rPr>
          <w:rtl/>
        </w:rPr>
        <w:t xml:space="preserve">, </w:t>
      </w:r>
      <w:r w:rsidRPr="007128D2">
        <w:rPr>
          <w:rFonts w:hint="cs"/>
          <w:rtl/>
        </w:rPr>
        <w:t>דאזלי אביי ורבא בכל זה לשיטתייהו גם ע״ד הנגלה וההלכה</w:t>
      </w:r>
      <w:r w:rsidRPr="007128D2">
        <w:rPr>
          <w:rtl/>
        </w:rPr>
        <w:t xml:space="preserve">, </w:t>
      </w:r>
      <w:r w:rsidRPr="007128D2">
        <w:rPr>
          <w:rFonts w:hint="cs"/>
          <w:rtl/>
        </w:rPr>
        <w:t>והיינו אם מתייחסים בהלכה למציאות הממשית והמוחשית בלבד</w:t>
      </w:r>
      <w:r w:rsidRPr="007128D2">
        <w:rPr>
          <w:rtl/>
        </w:rPr>
        <w:t xml:space="preserve">, </w:t>
      </w:r>
      <w:r w:rsidRPr="007128D2">
        <w:rPr>
          <w:rFonts w:hint="cs"/>
          <w:rtl/>
        </w:rPr>
        <w:t>או שאזלינן גם בתר המציאות הרוחנית והמופשטת</w:t>
      </w:r>
      <w:r w:rsidRPr="007128D2">
        <w:rPr>
          <w:rtl/>
        </w:rPr>
        <w:t xml:space="preserve">, </w:t>
      </w:r>
      <w:r w:rsidRPr="007128D2">
        <w:rPr>
          <w:rFonts w:hint="cs"/>
          <w:rtl/>
        </w:rPr>
        <w:t>וכן בהמסתעף מזה בכמה חקירות וענינים וכמוש״נ</w:t>
      </w:r>
      <w:r w:rsidRPr="007128D2">
        <w:rPr>
          <w:rtl/>
        </w:rPr>
        <w:t xml:space="preserve">, </w:t>
      </w:r>
      <w:r w:rsidRPr="007128D2">
        <w:rPr>
          <w:rFonts w:hint="cs"/>
          <w:rtl/>
        </w:rPr>
        <w:t>יעויי״ש בארוכה</w:t>
      </w:r>
      <w:r w:rsidRPr="007128D2">
        <w:rPr>
          <w:rtl/>
        </w:rPr>
        <w:t>].</w:t>
      </w:r>
    </w:p>
    <w:p w:rsidR="004820B2" w:rsidRPr="007128D2" w:rsidRDefault="004820B2" w:rsidP="007128D2">
      <w:pPr>
        <w:pStyle w:val="FootnoteText"/>
      </w:pPr>
      <w:r w:rsidRPr="007128D2">
        <w:rPr>
          <w:rFonts w:hint="cs"/>
          <w:rtl/>
        </w:rPr>
        <w:t xml:space="preserve">אלא שלדברי הרלוי״צ זצ״ל מתבאר לא רק גדר ה״מה״ </w:t>
      </w:r>
      <w:r w:rsidRPr="007128D2">
        <w:rPr>
          <w:rtl/>
        </w:rPr>
        <w:t>[</w:t>
      </w:r>
      <w:r w:rsidRPr="007128D2">
        <w:rPr>
          <w:rFonts w:hint="cs"/>
          <w:rtl/>
        </w:rPr>
        <w:t>כנגד מה ולאיזו דרגא התייחסו אביי ורבא</w:t>
      </w:r>
      <w:r w:rsidRPr="007128D2">
        <w:rPr>
          <w:rtl/>
        </w:rPr>
        <w:t xml:space="preserve">], </w:t>
      </w:r>
      <w:r w:rsidRPr="007128D2">
        <w:rPr>
          <w:rFonts w:hint="cs"/>
          <w:rtl/>
        </w:rPr>
        <w:t xml:space="preserve">אלא גם גדר ה״למה״ </w:t>
      </w:r>
      <w:r w:rsidRPr="007128D2">
        <w:rPr>
          <w:rtl/>
        </w:rPr>
        <w:t>[</w:t>
      </w:r>
      <w:r w:rsidRPr="007128D2">
        <w:rPr>
          <w:rFonts w:hint="cs"/>
          <w:rtl/>
        </w:rPr>
        <w:t>היינו טעמו ומהותו של דבר</w:t>
      </w:r>
      <w:r w:rsidRPr="007128D2">
        <w:rPr>
          <w:rtl/>
        </w:rPr>
        <w:t xml:space="preserve">], </w:t>
      </w:r>
      <w:r w:rsidRPr="007128D2">
        <w:rPr>
          <w:rFonts w:hint="cs"/>
          <w:rtl/>
        </w:rPr>
        <w:t>כלומר</w:t>
      </w:r>
      <w:r w:rsidRPr="007128D2">
        <w:rPr>
          <w:rtl/>
        </w:rPr>
        <w:t xml:space="preserve">, </w:t>
      </w:r>
      <w:r w:rsidRPr="007128D2">
        <w:rPr>
          <w:rFonts w:hint="cs"/>
          <w:rtl/>
        </w:rPr>
        <w:t>מדוע אכן נטו כל אחד לדרכו הנ״ל</w:t>
      </w:r>
      <w:r w:rsidRPr="007128D2">
        <w:rPr>
          <w:rtl/>
        </w:rPr>
        <w:t xml:space="preserve">, </w:t>
      </w:r>
      <w:r w:rsidRPr="007128D2">
        <w:rPr>
          <w:rFonts w:hint="cs"/>
          <w:rtl/>
        </w:rPr>
        <w:t>דרבא נטה ל״דרישת הדברים המוגבלים״ ואביי שאף לידיעה נעלית יותר ״שמתנשאת אל למעלה מכל גבול״</w:t>
      </w:r>
      <w:r w:rsidRPr="007128D2">
        <w:rPr>
          <w:rtl/>
        </w:rPr>
        <w:t xml:space="preserve">, </w:t>
      </w:r>
      <w:r w:rsidRPr="007128D2">
        <w:rPr>
          <w:rFonts w:hint="cs"/>
          <w:rtl/>
        </w:rPr>
        <w:t>ומעתה למש״נ בדברי הרלוי״צ זצ״ל מבואר זה היטב</w:t>
      </w:r>
      <w:r w:rsidRPr="007128D2">
        <w:rPr>
          <w:rtl/>
        </w:rPr>
        <w:t xml:space="preserve">, </w:t>
      </w:r>
      <w:r w:rsidRPr="007128D2">
        <w:rPr>
          <w:rFonts w:hint="cs"/>
          <w:rtl/>
        </w:rPr>
        <w:t>והיינו משום דשורש נשמת רבא נמשך מבחי׳ ״מקיף הקרוב״</w:t>
      </w:r>
      <w:r w:rsidRPr="007128D2">
        <w:rPr>
          <w:rtl/>
        </w:rPr>
        <w:t xml:space="preserve">, </w:t>
      </w:r>
      <w:r w:rsidRPr="007128D2">
        <w:rPr>
          <w:rFonts w:hint="cs"/>
          <w:rtl/>
        </w:rPr>
        <w:t>משא״כ שורש נשמת אביי שנמשך מבחי׳ ״מקיף הרחוק״ שהיא מדריגה נעלית יותר</w:t>
      </w:r>
      <w:r w:rsidRPr="007128D2">
        <w:rPr>
          <w:rtl/>
        </w:rPr>
        <w:t xml:space="preserve">, </w:t>
      </w:r>
      <w:r w:rsidRPr="007128D2">
        <w:rPr>
          <w:rFonts w:hint="cs"/>
          <w:rtl/>
        </w:rPr>
        <w:t>וכמוש״נ בפנים בארוכה</w:t>
      </w:r>
      <w:r w:rsidRPr="007128D2">
        <w:rPr>
          <w:rtl/>
        </w:rPr>
        <w:t>.</w:t>
      </w:r>
    </w:p>
    <w:p w:rsidR="004820B2" w:rsidRPr="007128D2" w:rsidRDefault="004820B2" w:rsidP="007128D2">
      <w:pPr>
        <w:pStyle w:val="FootnoteText"/>
      </w:pPr>
      <w:r w:rsidRPr="007128D2">
        <w:rPr>
          <w:rFonts w:hint="cs"/>
          <w:rtl/>
        </w:rPr>
        <w:t>זאת ועוד</w:t>
      </w:r>
      <w:r w:rsidRPr="007128D2">
        <w:rPr>
          <w:rtl/>
        </w:rPr>
        <w:t xml:space="preserve">, </w:t>
      </w:r>
      <w:r w:rsidRPr="007128D2">
        <w:rPr>
          <w:rFonts w:hint="cs"/>
          <w:rtl/>
        </w:rPr>
        <w:t>לביאור הרלוי״צ זצ״ל הנה הדבר מתבטא גם במספר שנות חייהם</w:t>
      </w:r>
      <w:r w:rsidRPr="007128D2">
        <w:rPr>
          <w:rtl/>
        </w:rPr>
        <w:t xml:space="preserve">, </w:t>
      </w:r>
      <w:r w:rsidRPr="007128D2">
        <w:rPr>
          <w:rFonts w:hint="cs"/>
          <w:rtl/>
        </w:rPr>
        <w:t>גם בפירוש שמותיהם</w:t>
      </w:r>
      <w:r w:rsidRPr="007128D2">
        <w:rPr>
          <w:rtl/>
        </w:rPr>
        <w:t xml:space="preserve">, </w:t>
      </w:r>
      <w:r w:rsidRPr="007128D2">
        <w:rPr>
          <w:rFonts w:hint="cs"/>
          <w:rtl/>
        </w:rPr>
        <w:t>וגם בביאור סברת מחלוקתם ע״ד הסוד בסוגיא דקידושין שלא נמסרו לביאה ובסוגיא דגילוי מילתא בגיטא</w:t>
      </w:r>
      <w:r w:rsidRPr="007128D2">
        <w:rPr>
          <w:rtl/>
        </w:rPr>
        <w:t xml:space="preserve">, </w:t>
      </w:r>
      <w:r w:rsidRPr="007128D2">
        <w:rPr>
          <w:rFonts w:hint="cs"/>
          <w:rtl/>
        </w:rPr>
        <w:t>וגם בטעם הפנימי לקביעת ההלכה בדרך כלל כרבא וביע״ל קג״ם כאביי</w:t>
      </w:r>
      <w:r w:rsidRPr="007128D2">
        <w:rPr>
          <w:rtl/>
        </w:rPr>
        <w:t xml:space="preserve">, </w:t>
      </w:r>
      <w:r w:rsidRPr="007128D2">
        <w:rPr>
          <w:rFonts w:hint="cs"/>
          <w:rtl/>
        </w:rPr>
        <w:t>שכל זה מסתעף משורש נשמתם ומדריגתם דאביי ורבא מבחי׳ ״מקיף הרחוק״ או ״מקיף הקרוב״</w:t>
      </w:r>
      <w:r w:rsidRPr="007128D2">
        <w:rPr>
          <w:rtl/>
        </w:rPr>
        <w:t xml:space="preserve">, </w:t>
      </w:r>
      <w:r w:rsidRPr="007128D2">
        <w:rPr>
          <w:rFonts w:hint="cs"/>
          <w:rtl/>
        </w:rPr>
        <w:t>וכמוש״נ כל זה היטב בדברי הרלוי״צ זצ״ל ובסימנים הבאים בע״ה</w:t>
      </w:r>
      <w:r w:rsidRPr="007128D2">
        <w:rPr>
          <w:rtl/>
        </w:rPr>
        <w:t>.</w:t>
      </w:r>
    </w:p>
  </w:footnote>
  <w:footnote w:id="174">
    <w:p w:rsidR="004820B2" w:rsidRPr="007128D2" w:rsidRDefault="004820B2" w:rsidP="007128D2">
      <w:pPr>
        <w:pStyle w:val="FootnoteText"/>
      </w:pPr>
      <w:r w:rsidRPr="007128D2">
        <w:footnoteRef/>
      </w:r>
      <w:r>
        <w:rPr>
          <w:rFonts w:hint="cs"/>
          <w:rtl/>
        </w:rPr>
        <w:t>)</w:t>
      </w:r>
      <w:r w:rsidRPr="007128D2">
        <w:rPr>
          <w:rtl/>
        </w:rPr>
        <w:t xml:space="preserve"> </w:t>
      </w:r>
      <w:r w:rsidRPr="007128D2">
        <w:rPr>
          <w:rFonts w:hint="cs"/>
          <w:rtl/>
        </w:rPr>
        <w:t xml:space="preserve">גירסת הגמ׳ שלפנינו היא ״רבה ואביי וכו׳״ </w:t>
      </w:r>
      <w:r w:rsidRPr="007128D2">
        <w:rPr>
          <w:rtl/>
        </w:rPr>
        <w:t>[</w:t>
      </w:r>
      <w:r w:rsidRPr="007128D2">
        <w:rPr>
          <w:rFonts w:hint="cs"/>
          <w:rtl/>
        </w:rPr>
        <w:t>וכ״ה גם גירסת התוס׳ שם</w:t>
      </w:r>
      <w:r w:rsidRPr="007128D2">
        <w:rPr>
          <w:rtl/>
        </w:rPr>
        <w:t xml:space="preserve">], </w:t>
      </w:r>
      <w:r w:rsidRPr="007128D2">
        <w:rPr>
          <w:rFonts w:hint="cs"/>
          <w:rtl/>
        </w:rPr>
        <w:t xml:space="preserve">אך גירסת רש״י </w:t>
      </w:r>
      <w:r w:rsidRPr="007128D2">
        <w:rPr>
          <w:rtl/>
        </w:rPr>
        <w:t>[</w:t>
      </w:r>
      <w:r w:rsidRPr="007128D2">
        <w:rPr>
          <w:rFonts w:hint="cs"/>
          <w:rtl/>
        </w:rPr>
        <w:t>בפירוש הראשון</w:t>
      </w:r>
      <w:r w:rsidRPr="007128D2">
        <w:rPr>
          <w:rtl/>
        </w:rPr>
        <w:t xml:space="preserve">] </w:t>
      </w:r>
      <w:r w:rsidRPr="007128D2">
        <w:rPr>
          <w:rFonts w:hint="cs"/>
          <w:rtl/>
        </w:rPr>
        <w:t>היא ״אביי ורבא וכו׳״</w:t>
      </w:r>
      <w:r w:rsidRPr="007128D2">
        <w:rPr>
          <w:rtl/>
        </w:rPr>
        <w:t xml:space="preserve">, </w:t>
      </w:r>
      <w:r w:rsidRPr="007128D2">
        <w:rPr>
          <w:rFonts w:hint="cs"/>
          <w:rtl/>
        </w:rPr>
        <w:t>וכן היא הגירסא בראבי״ה בתשובה סי׳ קסז</w:t>
      </w:r>
      <w:r w:rsidRPr="007128D2">
        <w:rPr>
          <w:rtl/>
        </w:rPr>
        <w:t xml:space="preserve">, </w:t>
      </w:r>
      <w:r w:rsidRPr="007128D2">
        <w:rPr>
          <w:rFonts w:hint="cs"/>
          <w:rtl/>
        </w:rPr>
        <w:t>וכ״ה גם הגירסא בע״י</w:t>
      </w:r>
      <w:r w:rsidRPr="007128D2">
        <w:rPr>
          <w:rtl/>
        </w:rPr>
        <w:t xml:space="preserve">. </w:t>
      </w:r>
      <w:r w:rsidRPr="007128D2">
        <w:rPr>
          <w:rFonts w:hint="cs"/>
          <w:rtl/>
        </w:rPr>
        <w:t>ובתורת לוי״צ שם אזיל לפי גירסא זו שברש״י וראבי״ה וע״י</w:t>
      </w:r>
      <w:r w:rsidRPr="007128D2">
        <w:rPr>
          <w:rtl/>
        </w:rPr>
        <w:t>.</w:t>
      </w:r>
    </w:p>
    <w:p w:rsidR="004820B2" w:rsidRPr="007128D2" w:rsidRDefault="004820B2" w:rsidP="007128D2">
      <w:pPr>
        <w:pStyle w:val="FootnoteText"/>
      </w:pPr>
      <w:r w:rsidRPr="007128D2">
        <w:rPr>
          <w:rFonts w:hint="cs"/>
          <w:rtl/>
        </w:rPr>
        <w:t>וראה בספר ׳מחקרים בדרכי התלמוד וחידותיו׳ להג״ר מרגליות ז״ל סימן כ׳ שעמד על המחקר בזה בנוסח הגמ׳ שם ״אביי ורבא״ או ״רבה ואביי״ עיי״ש</w:t>
      </w:r>
      <w:r w:rsidRPr="007128D2">
        <w:rPr>
          <w:rtl/>
        </w:rPr>
        <w:t>.</w:t>
      </w:r>
    </w:p>
  </w:footnote>
  <w:footnote w:id="175">
    <w:p w:rsidR="004820B2" w:rsidRPr="007128D2" w:rsidRDefault="004820B2" w:rsidP="007128D2">
      <w:pPr>
        <w:pStyle w:val="FootnoteText"/>
      </w:pPr>
      <w:r w:rsidRPr="007128D2">
        <w:footnoteRef/>
      </w:r>
      <w:r>
        <w:rPr>
          <w:rFonts w:hint="cs"/>
          <w:rtl/>
        </w:rPr>
        <w:t>)</w:t>
      </w:r>
      <w:r w:rsidRPr="007128D2">
        <w:rPr>
          <w:rtl/>
        </w:rPr>
        <w:t xml:space="preserve"> </w:t>
      </w:r>
      <w:r w:rsidRPr="007128D2">
        <w:rPr>
          <w:rFonts w:hint="cs"/>
          <w:rtl/>
        </w:rPr>
        <w:t>ויש להעיר ממה שפירש בספר ׳מכתב סופר׳ להגר״ש סופר ז״ל ח״א בדרוש השישי לפ׳ שמות בסופו בביאור החילוק בזה בין אביי ורבא לפי דרכו</w:t>
      </w:r>
      <w:r w:rsidRPr="007128D2">
        <w:rPr>
          <w:rtl/>
        </w:rPr>
        <w:t xml:space="preserve">, </w:t>
      </w:r>
      <w:r w:rsidRPr="007128D2">
        <w:rPr>
          <w:rFonts w:hint="cs"/>
          <w:rtl/>
        </w:rPr>
        <w:t>דאזלי בזה לשיטתייהו גם במעשה הנ״ל דברכות שם ״למי מברכים וכו׳״</w:t>
      </w:r>
      <w:r w:rsidRPr="007128D2">
        <w:rPr>
          <w:rtl/>
        </w:rPr>
        <w:t xml:space="preserve">, </w:t>
      </w:r>
      <w:r w:rsidRPr="007128D2">
        <w:rPr>
          <w:rFonts w:hint="cs"/>
          <w:rtl/>
        </w:rPr>
        <w:t>דרבא הראה על תקרת הבית ואביי יצא החוצה והצביע כלפי שמיא</w:t>
      </w:r>
      <w:r w:rsidRPr="007128D2">
        <w:rPr>
          <w:rtl/>
        </w:rPr>
        <w:t>.</w:t>
      </w:r>
    </w:p>
    <w:p w:rsidR="004820B2" w:rsidRPr="007128D2" w:rsidRDefault="004820B2" w:rsidP="007128D2">
      <w:pPr>
        <w:pStyle w:val="FootnoteText"/>
      </w:pPr>
      <w:r w:rsidRPr="007128D2">
        <w:rPr>
          <w:rFonts w:hint="cs"/>
          <w:rtl/>
        </w:rPr>
        <w:t>וז״ל שם ״וכל חד וחד לשיטתו</w:t>
      </w:r>
      <w:r w:rsidRPr="007128D2">
        <w:rPr>
          <w:rtl/>
        </w:rPr>
        <w:t xml:space="preserve">, </w:t>
      </w:r>
      <w:r w:rsidRPr="007128D2">
        <w:rPr>
          <w:rFonts w:hint="cs"/>
          <w:rtl/>
        </w:rPr>
        <w:t>רבא סבר דאין להקב״ה בעולמו אלא ד׳ אמות של הלכה בביהמ״ד</w:t>
      </w:r>
      <w:r w:rsidRPr="007128D2">
        <w:rPr>
          <w:rtl/>
        </w:rPr>
        <w:t xml:space="preserve">, </w:t>
      </w:r>
      <w:r w:rsidRPr="007128D2">
        <w:rPr>
          <w:rFonts w:hint="cs"/>
          <w:rtl/>
        </w:rPr>
        <w:t>ע״כ לא יצא מביהמ״ד רק אחוי לגבי טללא וקאמר רחמנא הכא יתיב</w:t>
      </w:r>
      <w:r w:rsidRPr="007128D2">
        <w:rPr>
          <w:rtl/>
        </w:rPr>
        <w:t xml:space="preserve">, </w:t>
      </w:r>
      <w:r w:rsidRPr="007128D2">
        <w:rPr>
          <w:rFonts w:hint="cs"/>
          <w:rtl/>
        </w:rPr>
        <w:t>אבל אביי דעסיק בתורה ובגמ״ח סבר דלא על התורה לבד יחי׳ האדם כי אם אף על גמ״ח</w:t>
      </w:r>
      <w:r w:rsidRPr="007128D2">
        <w:rPr>
          <w:rtl/>
        </w:rPr>
        <w:t xml:space="preserve">, </w:t>
      </w:r>
      <w:r w:rsidRPr="007128D2">
        <w:rPr>
          <w:rFonts w:hint="cs"/>
          <w:rtl/>
        </w:rPr>
        <w:t>וצריך האדם גם לצאת מביהמ״ד ולערב את עצמו בין הבריות ולעשות עמהם גמ״ח</w:t>
      </w:r>
      <w:r w:rsidRPr="007128D2">
        <w:rPr>
          <w:rtl/>
        </w:rPr>
        <w:t xml:space="preserve">, </w:t>
      </w:r>
      <w:r w:rsidRPr="007128D2">
        <w:rPr>
          <w:rFonts w:hint="cs"/>
          <w:rtl/>
        </w:rPr>
        <w:t>ע״כ אחוי לשמים מבחוץ לביהמ״ד כנ״ל</w:t>
      </w:r>
      <w:r w:rsidRPr="007128D2">
        <w:rPr>
          <w:rtl/>
        </w:rPr>
        <w:t xml:space="preserve">, </w:t>
      </w:r>
      <w:r w:rsidRPr="007128D2">
        <w:rPr>
          <w:rFonts w:hint="cs"/>
          <w:rtl/>
        </w:rPr>
        <w:t>כי עיקר הוא גמ״ח</w:t>
      </w:r>
      <w:r w:rsidRPr="007128D2">
        <w:rPr>
          <w:rtl/>
        </w:rPr>
        <w:t xml:space="preserve">, </w:t>
      </w:r>
      <w:r w:rsidRPr="007128D2">
        <w:rPr>
          <w:rFonts w:hint="cs"/>
          <w:rtl/>
        </w:rPr>
        <w:t>כי מי שאין לו אלא תורה בלבד וכו׳</w:t>
      </w:r>
      <w:r w:rsidRPr="007128D2">
        <w:rPr>
          <w:rtl/>
        </w:rPr>
        <w:t xml:space="preserve">, </w:t>
      </w:r>
      <w:r w:rsidRPr="007128D2">
        <w:rPr>
          <w:rFonts w:hint="cs"/>
          <w:rtl/>
        </w:rPr>
        <w:t>ע״כ אמר רבה עליהם תרווייכו רבנן הויתי</w:t>
      </w:r>
      <w:r w:rsidRPr="007128D2">
        <w:rPr>
          <w:rtl/>
        </w:rPr>
        <w:t xml:space="preserve">, </w:t>
      </w:r>
      <w:r w:rsidRPr="007128D2">
        <w:rPr>
          <w:rFonts w:hint="cs"/>
          <w:rtl/>
        </w:rPr>
        <w:t>אך בתכונתם אחד משינוי מחבירו מעלת שימצאו בזה לא ימצאו בזה״</w:t>
      </w:r>
      <w:r w:rsidRPr="007128D2">
        <w:rPr>
          <w:rtl/>
        </w:rPr>
        <w:t xml:space="preserve">. </w:t>
      </w:r>
    </w:p>
    <w:p w:rsidR="004820B2" w:rsidRPr="007128D2" w:rsidRDefault="004820B2" w:rsidP="007128D2">
      <w:pPr>
        <w:pStyle w:val="FootnoteText"/>
      </w:pPr>
      <w:r w:rsidRPr="007128D2">
        <w:rPr>
          <w:rFonts w:hint="cs"/>
          <w:rtl/>
        </w:rPr>
        <w:t>ובפנים נתבאר זה באו״א</w:t>
      </w:r>
      <w:r w:rsidRPr="007128D2">
        <w:rPr>
          <w:rtl/>
        </w:rPr>
        <w:t xml:space="preserve">, </w:t>
      </w:r>
      <w:r w:rsidRPr="007128D2">
        <w:rPr>
          <w:rFonts w:hint="cs"/>
          <w:rtl/>
        </w:rPr>
        <w:t>והיינו בהתאם לדרכו של הרלוי״צ זצ״ל</w:t>
      </w:r>
      <w:r w:rsidRPr="007128D2">
        <w:rPr>
          <w:rtl/>
        </w:rPr>
        <w:t xml:space="preserve">, </w:t>
      </w:r>
      <w:r w:rsidRPr="007128D2">
        <w:rPr>
          <w:rFonts w:hint="cs"/>
          <w:rtl/>
        </w:rPr>
        <w:t>ושבעים פנים לתורה</w:t>
      </w:r>
      <w:r w:rsidRPr="007128D2">
        <w:rPr>
          <w:rtl/>
        </w:rPr>
        <w:t>.</w:t>
      </w:r>
    </w:p>
    <w:p w:rsidR="004820B2" w:rsidRPr="007128D2" w:rsidRDefault="004820B2" w:rsidP="007128D2">
      <w:pPr>
        <w:pStyle w:val="FootnoteText"/>
      </w:pPr>
      <w:r w:rsidRPr="007128D2">
        <w:rPr>
          <w:rFonts w:hint="cs"/>
          <w:rtl/>
        </w:rPr>
        <w:t>וראה עוד ב׳שו״ת וחידושי רבנו יוסף נחמיה׳ לרבי יוסף נחמי׳ קורניצר ז״ל סימן עב אות ה׳ שהביא דברי זקנו הגר״ש סופר ז״ל הנ״ל</w:t>
      </w:r>
      <w:r w:rsidRPr="007128D2">
        <w:rPr>
          <w:rtl/>
        </w:rPr>
        <w:t xml:space="preserve">, </w:t>
      </w:r>
      <w:r w:rsidRPr="007128D2">
        <w:rPr>
          <w:rFonts w:hint="cs"/>
          <w:rtl/>
        </w:rPr>
        <w:t>והוסיף לבאר עפ״ז גם מה שקראו לאביי בשם זה</w:t>
      </w:r>
      <w:r w:rsidRPr="007128D2">
        <w:rPr>
          <w:rtl/>
        </w:rPr>
        <w:t xml:space="preserve">, </w:t>
      </w:r>
      <w:r w:rsidRPr="007128D2">
        <w:rPr>
          <w:rFonts w:hint="cs"/>
          <w:rtl/>
        </w:rPr>
        <w:t xml:space="preserve">שהוא על שם ר״ת הכתוב </w:t>
      </w:r>
      <w:r w:rsidRPr="007128D2">
        <w:rPr>
          <w:rtl/>
        </w:rPr>
        <w:t>(</w:t>
      </w:r>
      <w:r w:rsidRPr="007128D2">
        <w:rPr>
          <w:rFonts w:hint="cs"/>
          <w:rtl/>
        </w:rPr>
        <w:t>הושע יד</w:t>
      </w:r>
      <w:r w:rsidRPr="007128D2">
        <w:rPr>
          <w:rtl/>
        </w:rPr>
        <w:t xml:space="preserve">, </w:t>
      </w:r>
      <w:r w:rsidRPr="007128D2">
        <w:rPr>
          <w:rFonts w:hint="cs"/>
          <w:rtl/>
        </w:rPr>
        <w:t>ד</w:t>
      </w:r>
      <w:r w:rsidRPr="007128D2">
        <w:rPr>
          <w:rtl/>
        </w:rPr>
        <w:t xml:space="preserve">) </w:t>
      </w:r>
      <w:r w:rsidRPr="007128D2">
        <w:rPr>
          <w:rFonts w:hint="cs"/>
          <w:rtl/>
        </w:rPr>
        <w:t xml:space="preserve">״א׳שר ב׳ך י׳רוחם י׳תום״ </w:t>
      </w:r>
      <w:r w:rsidRPr="007128D2">
        <w:rPr>
          <w:rtl/>
        </w:rPr>
        <w:t>[</w:t>
      </w:r>
      <w:r w:rsidRPr="007128D2">
        <w:rPr>
          <w:rFonts w:hint="cs"/>
          <w:rtl/>
        </w:rPr>
        <w:t>ראה בזה ׳סדר הדורות׳ ע׳ אביי ובהנסמן שם</w:t>
      </w:r>
      <w:r w:rsidRPr="007128D2">
        <w:rPr>
          <w:rtl/>
        </w:rPr>
        <w:t xml:space="preserve">, </w:t>
      </w:r>
      <w:r w:rsidRPr="007128D2">
        <w:rPr>
          <w:rFonts w:hint="cs"/>
          <w:rtl/>
        </w:rPr>
        <w:t>וראה גם משנ״ת בזה ב׳רשימות׳ חוברת קטז אות יא ואילך עיי״ש</w:t>
      </w:r>
      <w:r w:rsidRPr="007128D2">
        <w:rPr>
          <w:rtl/>
        </w:rPr>
        <w:t xml:space="preserve">], </w:t>
      </w:r>
      <w:r w:rsidRPr="007128D2">
        <w:rPr>
          <w:rFonts w:hint="cs"/>
          <w:rtl/>
        </w:rPr>
        <w:t>וכתב דנראה כי תוכן הכתוב הנ״ל מתאים היטב לתכונת נפשו של אביי</w:t>
      </w:r>
      <w:r w:rsidRPr="007128D2">
        <w:rPr>
          <w:rtl/>
        </w:rPr>
        <w:t xml:space="preserve">, </w:t>
      </w:r>
      <w:r w:rsidRPr="007128D2">
        <w:rPr>
          <w:rFonts w:hint="cs"/>
          <w:rtl/>
        </w:rPr>
        <w:t>וכנ״ל דעיקר עסקו היה בגמ״ח לרחם על הבריות וכו׳</w:t>
      </w:r>
      <w:r w:rsidRPr="007128D2">
        <w:rPr>
          <w:rtl/>
        </w:rPr>
        <w:t xml:space="preserve">, </w:t>
      </w:r>
      <w:r w:rsidRPr="007128D2">
        <w:rPr>
          <w:rFonts w:hint="cs"/>
          <w:rtl/>
        </w:rPr>
        <w:t>ועל כן בהתאם לתכונתו קראו ״אביי״ לאמר ״אשר בך ירוחם יתום״ עיי״ש</w:t>
      </w:r>
      <w:r w:rsidRPr="007128D2">
        <w:rPr>
          <w:rtl/>
        </w:rPr>
        <w:t>.</w:t>
      </w:r>
    </w:p>
  </w:footnote>
  <w:footnote w:id="176">
    <w:p w:rsidR="004820B2" w:rsidRPr="007128D2" w:rsidRDefault="004820B2" w:rsidP="00F50418">
      <w:pPr>
        <w:pStyle w:val="FootnoteText"/>
      </w:pPr>
      <w:r w:rsidRPr="007128D2">
        <w:footnoteRef/>
      </w:r>
      <w:r>
        <w:rPr>
          <w:rFonts w:hint="cs"/>
          <w:rtl/>
        </w:rPr>
        <w:t>)</w:t>
      </w:r>
      <w:r w:rsidRPr="007128D2">
        <w:rPr>
          <w:rtl/>
        </w:rPr>
        <w:t xml:space="preserve"> </w:t>
      </w:r>
      <w:r w:rsidRPr="007128D2">
        <w:rPr>
          <w:rFonts w:hint="cs"/>
          <w:rtl/>
        </w:rPr>
        <w:t>להעיר מסיפור הגמ׳ בע״ז יח</w:t>
      </w:r>
      <w:r w:rsidRPr="007128D2">
        <w:rPr>
          <w:rtl/>
        </w:rPr>
        <w:t xml:space="preserve">, </w:t>
      </w:r>
      <w:r w:rsidRPr="007128D2">
        <w:rPr>
          <w:rFonts w:hint="cs"/>
          <w:rtl/>
        </w:rPr>
        <w:t>א אודות רבי יוסי בן קסמא ורבי חנניא בן תרדיון</w:t>
      </w:r>
      <w:r w:rsidRPr="007128D2">
        <w:rPr>
          <w:rtl/>
        </w:rPr>
        <w:t xml:space="preserve">, </w:t>
      </w:r>
      <w:r w:rsidRPr="007128D2">
        <w:rPr>
          <w:rFonts w:hint="cs"/>
          <w:rtl/>
        </w:rPr>
        <w:t>ובמשנ״ת בזה בפנימיות הענינים בתו״א לאדה״ז תולדות יט</w:t>
      </w:r>
      <w:r w:rsidRPr="007128D2">
        <w:rPr>
          <w:rtl/>
        </w:rPr>
        <w:t xml:space="preserve">, </w:t>
      </w:r>
      <w:r w:rsidRPr="007128D2">
        <w:rPr>
          <w:rFonts w:hint="cs"/>
          <w:rtl/>
        </w:rPr>
        <w:t>ב</w:t>
      </w:r>
      <w:r w:rsidRPr="007128D2">
        <w:rPr>
          <w:rtl/>
        </w:rPr>
        <w:t>-</w:t>
      </w:r>
      <w:r w:rsidRPr="007128D2">
        <w:rPr>
          <w:rFonts w:hint="cs"/>
          <w:rtl/>
        </w:rPr>
        <w:t xml:space="preserve">ג ובלקו״ש ח״כ עמ׳ </w:t>
      </w:r>
      <w:r w:rsidRPr="007128D2">
        <w:rPr>
          <w:rtl/>
        </w:rPr>
        <w:t xml:space="preserve">306-7 </w:t>
      </w:r>
      <w:r w:rsidRPr="007128D2">
        <w:rPr>
          <w:rFonts w:hint="cs"/>
          <w:rtl/>
        </w:rPr>
        <w:t xml:space="preserve">ובתו״מ התוועדויות תשנ״א ח״א עמ׳ </w:t>
      </w:r>
      <w:r w:rsidRPr="007128D2">
        <w:rPr>
          <w:rtl/>
        </w:rPr>
        <w:t xml:space="preserve">349 </w:t>
      </w:r>
      <w:r w:rsidRPr="007128D2">
        <w:rPr>
          <w:rFonts w:hint="cs"/>
          <w:rtl/>
        </w:rPr>
        <w:t xml:space="preserve">ובהערה </w:t>
      </w:r>
      <w:r w:rsidRPr="007128D2">
        <w:rPr>
          <w:rtl/>
        </w:rPr>
        <w:t xml:space="preserve">47. </w:t>
      </w:r>
    </w:p>
    <w:p w:rsidR="004820B2" w:rsidRPr="007128D2" w:rsidRDefault="004820B2" w:rsidP="007128D2">
      <w:pPr>
        <w:pStyle w:val="FootnoteText"/>
      </w:pPr>
      <w:r w:rsidRPr="007128D2">
        <w:rPr>
          <w:rFonts w:hint="cs"/>
          <w:rtl/>
        </w:rPr>
        <w:t>והמתבאר משם דהעוסק בקו א׳ דתורה בלבד</w:t>
      </w:r>
      <w:r w:rsidRPr="007128D2">
        <w:rPr>
          <w:rtl/>
        </w:rPr>
        <w:t xml:space="preserve">, </w:t>
      </w:r>
      <w:r w:rsidRPr="007128D2">
        <w:rPr>
          <w:rFonts w:hint="cs"/>
          <w:rtl/>
        </w:rPr>
        <w:t>יתכן שהוא מצד טבע נפשו האלוקית ותכונותי׳</w:t>
      </w:r>
      <w:r w:rsidRPr="007128D2">
        <w:rPr>
          <w:rtl/>
        </w:rPr>
        <w:t xml:space="preserve">, </w:t>
      </w:r>
      <w:r w:rsidRPr="007128D2">
        <w:rPr>
          <w:rFonts w:hint="cs"/>
          <w:rtl/>
        </w:rPr>
        <w:t>והיינו מצד טבע הרגילות דקדושה המוגבל</w:t>
      </w:r>
      <w:r w:rsidRPr="007128D2">
        <w:rPr>
          <w:rtl/>
        </w:rPr>
        <w:t xml:space="preserve">, </w:t>
      </w:r>
      <w:r w:rsidRPr="007128D2">
        <w:rPr>
          <w:rFonts w:hint="cs"/>
          <w:rtl/>
        </w:rPr>
        <w:t>משא״כ העוסק בשני הקוים</w:t>
      </w:r>
      <w:r w:rsidRPr="007128D2">
        <w:rPr>
          <w:rtl/>
        </w:rPr>
        <w:t xml:space="preserve">, </w:t>
      </w:r>
      <w:r w:rsidRPr="007128D2">
        <w:rPr>
          <w:rFonts w:hint="cs"/>
          <w:rtl/>
        </w:rPr>
        <w:t>שבנוסף על העסק בתורה הוא עוסק גם בהקו דצדקה וגמ״ח</w:t>
      </w:r>
      <w:r w:rsidRPr="007128D2">
        <w:rPr>
          <w:rtl/>
        </w:rPr>
        <w:t xml:space="preserve">, </w:t>
      </w:r>
      <w:r w:rsidRPr="007128D2">
        <w:rPr>
          <w:rFonts w:hint="cs"/>
          <w:rtl/>
        </w:rPr>
        <w:t>הר״ז מורה שעבודתו היא באופן שלמעלה מההגבלה דגדרי מציאותו</w:t>
      </w:r>
      <w:r w:rsidRPr="007128D2">
        <w:rPr>
          <w:rtl/>
        </w:rPr>
        <w:t xml:space="preserve">, </w:t>
      </w:r>
      <w:r w:rsidRPr="007128D2">
        <w:rPr>
          <w:rFonts w:hint="cs"/>
          <w:rtl/>
        </w:rPr>
        <w:t>עיי״ש</w:t>
      </w:r>
      <w:r w:rsidRPr="007128D2">
        <w:rPr>
          <w:rtl/>
        </w:rPr>
        <w:t>.</w:t>
      </w:r>
    </w:p>
  </w:footnote>
  <w:footnote w:id="177">
    <w:p w:rsidR="004820B2" w:rsidRPr="007128D2" w:rsidRDefault="004820B2" w:rsidP="00F50418">
      <w:pPr>
        <w:pStyle w:val="FootnoteText"/>
      </w:pPr>
      <w:r w:rsidRPr="007128D2">
        <w:footnoteRef/>
      </w:r>
      <w:r>
        <w:rPr>
          <w:rFonts w:hint="cs"/>
          <w:rtl/>
        </w:rPr>
        <w:t>)</w:t>
      </w:r>
      <w:r w:rsidRPr="007128D2">
        <w:rPr>
          <w:rtl/>
        </w:rPr>
        <w:t xml:space="preserve"> </w:t>
      </w:r>
      <w:r w:rsidRPr="007128D2">
        <w:rPr>
          <w:rFonts w:hint="cs"/>
          <w:rtl/>
        </w:rPr>
        <w:t xml:space="preserve">ולהעיר ממה שפירש הגראי״ה קוק ז״ל בספרו ׳עין איה׳ לברכות שם לפי דרכו </w:t>
      </w:r>
      <w:r w:rsidRPr="007128D2">
        <w:rPr>
          <w:rtl/>
        </w:rPr>
        <w:t>[</w:t>
      </w:r>
      <w:r w:rsidRPr="007128D2">
        <w:rPr>
          <w:rFonts w:hint="cs"/>
          <w:rtl/>
        </w:rPr>
        <w:t>ראה לעיל בהערה שהובא תוכן ביאורו ביסוד חילוק השקפתם ושיטתם דאביי ורבא</w:t>
      </w:r>
      <w:r w:rsidRPr="007128D2">
        <w:rPr>
          <w:rtl/>
        </w:rPr>
        <w:t xml:space="preserve">] </w:t>
      </w:r>
      <w:r w:rsidRPr="007128D2">
        <w:rPr>
          <w:rFonts w:hint="cs"/>
          <w:rtl/>
        </w:rPr>
        <w:t>וז״ל ״וסעד לדבר אמרם ז״ל רבא עסק בתורה חי ארבעין שנין</w:t>
      </w:r>
      <w:r w:rsidRPr="007128D2">
        <w:rPr>
          <w:rtl/>
        </w:rPr>
        <w:t xml:space="preserve">, </w:t>
      </w:r>
      <w:r w:rsidRPr="007128D2">
        <w:rPr>
          <w:rFonts w:hint="cs"/>
          <w:rtl/>
        </w:rPr>
        <w:t>אביי דעסק בתורה וגמ״ח חי שיתין שנין</w:t>
      </w:r>
      <w:r w:rsidRPr="007128D2">
        <w:rPr>
          <w:rtl/>
        </w:rPr>
        <w:t xml:space="preserve">, </w:t>
      </w:r>
      <w:r w:rsidRPr="007128D2">
        <w:rPr>
          <w:rFonts w:hint="cs"/>
          <w:rtl/>
        </w:rPr>
        <w:t>כי האיש שמתנשא אל מרחב גדול בשאיפות רעיונו</w:t>
      </w:r>
      <w:r w:rsidRPr="007128D2">
        <w:rPr>
          <w:rtl/>
        </w:rPr>
        <w:t xml:space="preserve">, </w:t>
      </w:r>
      <w:r w:rsidRPr="007128D2">
        <w:rPr>
          <w:rFonts w:hint="cs"/>
          <w:rtl/>
        </w:rPr>
        <w:t>לא יוכל לכלא את רוחו רק בשלימות אחת</w:t>
      </w:r>
      <w:r w:rsidRPr="007128D2">
        <w:rPr>
          <w:rtl/>
        </w:rPr>
        <w:t xml:space="preserve">, </w:t>
      </w:r>
      <w:r w:rsidRPr="007128D2">
        <w:rPr>
          <w:rFonts w:hint="cs"/>
          <w:rtl/>
        </w:rPr>
        <w:t>וכשם שמתפשט הוא לכל דרכי הדרישה</w:t>
      </w:r>
      <w:r w:rsidRPr="007128D2">
        <w:rPr>
          <w:rtl/>
        </w:rPr>
        <w:t xml:space="preserve">, </w:t>
      </w:r>
      <w:r w:rsidRPr="007128D2">
        <w:rPr>
          <w:rFonts w:hint="cs"/>
          <w:rtl/>
        </w:rPr>
        <w:t>כך הוא מתרומם ג״כ לכל ענפי השלימות הלימודית והמעשית</w:t>
      </w:r>
      <w:r w:rsidRPr="007128D2">
        <w:rPr>
          <w:rtl/>
        </w:rPr>
        <w:t xml:space="preserve">, </w:t>
      </w:r>
      <w:r w:rsidRPr="007128D2">
        <w:rPr>
          <w:rFonts w:hint="cs"/>
          <w:rtl/>
        </w:rPr>
        <w:t>ע״כ לפי תכונתו לא מנעו עסק גמ״ח ועירוב הבריות מההשתלמות שלפי טבע נפשו שמצאה בהגיון פנימי</w:t>
      </w:r>
      <w:r w:rsidRPr="007128D2">
        <w:rPr>
          <w:rtl/>
        </w:rPr>
        <w:t xml:space="preserve">. </w:t>
      </w:r>
    </w:p>
    <w:p w:rsidR="004820B2" w:rsidRPr="007128D2" w:rsidRDefault="004820B2" w:rsidP="007128D2">
      <w:pPr>
        <w:pStyle w:val="FootnoteText"/>
      </w:pPr>
      <w:r w:rsidRPr="007128D2">
        <w:rPr>
          <w:rFonts w:hint="cs"/>
          <w:rtl/>
        </w:rPr>
        <w:t>אבל רבא מצא בתורת ה׳ חפצו</w:t>
      </w:r>
      <w:r w:rsidRPr="007128D2">
        <w:rPr>
          <w:rtl/>
        </w:rPr>
        <w:t xml:space="preserve">, </w:t>
      </w:r>
      <w:r w:rsidRPr="007128D2">
        <w:rPr>
          <w:rFonts w:hint="cs"/>
          <w:rtl/>
        </w:rPr>
        <w:t>ולא היה אפשר לו להפרד מאהבתה של תורה ששגה באהבתה עד אין קץ</w:t>
      </w:r>
      <w:r w:rsidRPr="007128D2">
        <w:rPr>
          <w:rtl/>
        </w:rPr>
        <w:t xml:space="preserve">, </w:t>
      </w:r>
      <w:r w:rsidRPr="007128D2">
        <w:rPr>
          <w:rFonts w:hint="cs"/>
          <w:rtl/>
        </w:rPr>
        <w:t>כי רק בה מצא אשרו ותעודתו היותר גבוהה בקדושתה״</w:t>
      </w:r>
      <w:r w:rsidRPr="007128D2">
        <w:rPr>
          <w:rtl/>
        </w:rPr>
        <w:t>.</w:t>
      </w:r>
    </w:p>
    <w:p w:rsidR="004820B2" w:rsidRPr="007128D2" w:rsidRDefault="004820B2" w:rsidP="007128D2">
      <w:pPr>
        <w:pStyle w:val="FootnoteText"/>
      </w:pPr>
      <w:r w:rsidRPr="007128D2">
        <w:rPr>
          <w:rFonts w:hint="cs"/>
          <w:rtl/>
        </w:rPr>
        <w:t>ובפנים נתבאר באו״א קצת</w:t>
      </w:r>
      <w:r w:rsidRPr="007128D2">
        <w:rPr>
          <w:rtl/>
        </w:rPr>
        <w:t xml:space="preserve">, </w:t>
      </w:r>
      <w:r w:rsidRPr="007128D2">
        <w:rPr>
          <w:rFonts w:hint="cs"/>
          <w:rtl/>
        </w:rPr>
        <w:t>והיינו ביסוד ביאור הרלוי״צ זצ״ל</w:t>
      </w:r>
      <w:r w:rsidRPr="007128D2">
        <w:rPr>
          <w:rtl/>
        </w:rPr>
        <w:t xml:space="preserve">, </w:t>
      </w:r>
      <w:r w:rsidRPr="007128D2">
        <w:rPr>
          <w:rFonts w:hint="cs"/>
          <w:rtl/>
        </w:rPr>
        <w:t>דרבא היה עסקו מוגבל בתחום וקו א׳</w:t>
      </w:r>
      <w:r w:rsidRPr="007128D2">
        <w:rPr>
          <w:rtl/>
        </w:rPr>
        <w:t xml:space="preserve">, </w:t>
      </w:r>
      <w:r w:rsidRPr="007128D2">
        <w:rPr>
          <w:rFonts w:hint="cs"/>
          <w:rtl/>
        </w:rPr>
        <w:t>בהתאם למדריגתו המוגבלת שמבחי׳ מקיף הקרוב</w:t>
      </w:r>
      <w:r w:rsidRPr="007128D2">
        <w:rPr>
          <w:rtl/>
        </w:rPr>
        <w:t xml:space="preserve">, </w:t>
      </w:r>
      <w:r w:rsidRPr="007128D2">
        <w:rPr>
          <w:rFonts w:hint="cs"/>
          <w:rtl/>
        </w:rPr>
        <w:t>משא״כ אביי שלא היה עסקו מוגבל רק לתחום א׳ אלא עסק בו בשעה בכל הקוים</w:t>
      </w:r>
      <w:r w:rsidRPr="007128D2">
        <w:rPr>
          <w:rtl/>
        </w:rPr>
        <w:t xml:space="preserve">, </w:t>
      </w:r>
      <w:r w:rsidRPr="007128D2">
        <w:rPr>
          <w:rFonts w:hint="cs"/>
          <w:rtl/>
        </w:rPr>
        <w:t>גם אם הם שונים זה מזה לגמרי</w:t>
      </w:r>
      <w:r w:rsidRPr="007128D2">
        <w:rPr>
          <w:rtl/>
        </w:rPr>
        <w:t xml:space="preserve">, </w:t>
      </w:r>
      <w:r w:rsidRPr="007128D2">
        <w:rPr>
          <w:rFonts w:hint="cs"/>
          <w:rtl/>
        </w:rPr>
        <w:t>והיינו בהתאם למדריגתו הבלתי מוגבלת שמבחי׳ מקיף הרחוק</w:t>
      </w:r>
      <w:r w:rsidRPr="007128D2">
        <w:rPr>
          <w:rtl/>
        </w:rPr>
        <w:t xml:space="preserve">. </w:t>
      </w:r>
      <w:r w:rsidRPr="007128D2">
        <w:rPr>
          <w:rFonts w:hint="cs"/>
          <w:rtl/>
        </w:rPr>
        <w:t>ושבעים פנים לתורה</w:t>
      </w:r>
      <w:r w:rsidRPr="007128D2">
        <w:rPr>
          <w:rtl/>
        </w:rPr>
        <w:t>.</w:t>
      </w:r>
    </w:p>
  </w:footnote>
  <w:footnote w:id="178">
    <w:p w:rsidR="004820B2" w:rsidRPr="007128D2" w:rsidRDefault="004820B2" w:rsidP="00F50418">
      <w:pPr>
        <w:pStyle w:val="FootnoteText"/>
      </w:pPr>
      <w:r w:rsidRPr="007128D2">
        <w:footnoteRef/>
      </w:r>
      <w:r>
        <w:rPr>
          <w:rFonts w:hint="cs"/>
          <w:rtl/>
        </w:rPr>
        <w:t>)</w:t>
      </w:r>
      <w:r w:rsidRPr="007128D2">
        <w:rPr>
          <w:rtl/>
        </w:rPr>
        <w:t xml:space="preserve"> </w:t>
      </w:r>
      <w:r w:rsidRPr="007128D2">
        <w:rPr>
          <w:rFonts w:hint="cs"/>
          <w:rtl/>
        </w:rPr>
        <w:t xml:space="preserve">ולהעיר ממה שפירש בערוך ע׳ ׳אביי׳ </w:t>
      </w:r>
      <w:r w:rsidRPr="007128D2">
        <w:rPr>
          <w:rtl/>
        </w:rPr>
        <w:t>[</w:t>
      </w:r>
      <w:r w:rsidRPr="007128D2">
        <w:rPr>
          <w:rFonts w:hint="cs"/>
          <w:rtl/>
        </w:rPr>
        <w:t>והובא בגליון הש״ס להגרע״א ז״ל בגיטין לד</w:t>
      </w:r>
      <w:r w:rsidRPr="007128D2">
        <w:rPr>
          <w:rtl/>
        </w:rPr>
        <w:t xml:space="preserve">, </w:t>
      </w:r>
      <w:r w:rsidRPr="007128D2">
        <w:rPr>
          <w:rFonts w:hint="cs"/>
          <w:rtl/>
        </w:rPr>
        <w:t>ב</w:t>
      </w:r>
      <w:r w:rsidRPr="007128D2">
        <w:rPr>
          <w:rtl/>
        </w:rPr>
        <w:t xml:space="preserve">, </w:t>
      </w:r>
      <w:r w:rsidRPr="007128D2">
        <w:rPr>
          <w:rFonts w:hint="cs"/>
          <w:rtl/>
        </w:rPr>
        <w:t>ולפנינו הלשון כפי שהעתיק הגרע״א ז״ל בתוספת ציונים משלו</w:t>
      </w:r>
      <w:r w:rsidRPr="007128D2">
        <w:rPr>
          <w:rtl/>
        </w:rPr>
        <w:t xml:space="preserve">] </w:t>
      </w:r>
      <w:r w:rsidRPr="007128D2">
        <w:rPr>
          <w:rFonts w:hint="cs"/>
          <w:rtl/>
        </w:rPr>
        <w:t>בשם הגאונים בענין שמו של אביי</w:t>
      </w:r>
      <w:r w:rsidRPr="007128D2">
        <w:rPr>
          <w:rtl/>
        </w:rPr>
        <w:t xml:space="preserve">, </w:t>
      </w:r>
      <w:r w:rsidRPr="007128D2">
        <w:rPr>
          <w:rFonts w:hint="cs"/>
          <w:rtl/>
        </w:rPr>
        <w:t>״דנחמני שמו</w:t>
      </w:r>
      <w:r w:rsidRPr="007128D2">
        <w:rPr>
          <w:rtl/>
        </w:rPr>
        <w:t xml:space="preserve">, </w:t>
      </w:r>
      <w:r w:rsidRPr="007128D2">
        <w:rPr>
          <w:rFonts w:hint="cs"/>
          <w:rtl/>
        </w:rPr>
        <w:t>והי׳ בר אחוה דרבה בר נחמני ותלמידיה</w:t>
      </w:r>
      <w:r w:rsidRPr="007128D2">
        <w:rPr>
          <w:rtl/>
        </w:rPr>
        <w:t xml:space="preserve">, </w:t>
      </w:r>
      <w:r w:rsidRPr="007128D2">
        <w:rPr>
          <w:rFonts w:hint="cs"/>
          <w:rtl/>
        </w:rPr>
        <w:t>וכיון דהוה שמיה נחמני כשם אבוה דרבה בר נחמני</w:t>
      </w:r>
      <w:r w:rsidRPr="007128D2">
        <w:rPr>
          <w:rtl/>
        </w:rPr>
        <w:t xml:space="preserve">, </w:t>
      </w:r>
      <w:r w:rsidRPr="007128D2">
        <w:rPr>
          <w:rFonts w:hint="cs"/>
          <w:rtl/>
        </w:rPr>
        <w:t xml:space="preserve">לא הוה קרי ליה בכל שעה נחמני </w:t>
      </w:r>
      <w:r w:rsidRPr="007128D2">
        <w:rPr>
          <w:rtl/>
        </w:rPr>
        <w:t>(</w:t>
      </w:r>
      <w:r w:rsidRPr="007128D2">
        <w:rPr>
          <w:rFonts w:hint="cs"/>
          <w:rtl/>
        </w:rPr>
        <w:t>עיין ברמב״ם פ״ו מהל׳ ממרים</w:t>
      </w:r>
      <w:r w:rsidRPr="007128D2">
        <w:rPr>
          <w:rtl/>
        </w:rPr>
        <w:t xml:space="preserve">), </w:t>
      </w:r>
      <w:r w:rsidRPr="007128D2">
        <w:rPr>
          <w:rFonts w:hint="cs"/>
          <w:rtl/>
        </w:rPr>
        <w:t>והיה קורא ליה אביי בלשון ארמית</w:t>
      </w:r>
      <w:r w:rsidRPr="007128D2">
        <w:rPr>
          <w:rtl/>
        </w:rPr>
        <w:t xml:space="preserve">, </w:t>
      </w:r>
      <w:r w:rsidRPr="007128D2">
        <w:rPr>
          <w:rFonts w:hint="cs"/>
          <w:rtl/>
        </w:rPr>
        <w:t>כאדם שקורא אבי וסליק ליה אביי״</w:t>
      </w:r>
      <w:r w:rsidRPr="007128D2">
        <w:rPr>
          <w:rtl/>
        </w:rPr>
        <w:t>.</w:t>
      </w:r>
    </w:p>
  </w:footnote>
  <w:footnote w:id="179">
    <w:p w:rsidR="004820B2" w:rsidRPr="007128D2" w:rsidRDefault="004820B2" w:rsidP="00F50418">
      <w:pPr>
        <w:pStyle w:val="FootnoteText"/>
      </w:pPr>
      <w:r w:rsidRPr="007128D2">
        <w:footnoteRef/>
      </w:r>
      <w:r>
        <w:rPr>
          <w:rFonts w:hint="cs"/>
          <w:rtl/>
        </w:rPr>
        <w:t xml:space="preserve">) </w:t>
      </w:r>
      <w:r w:rsidRPr="007128D2">
        <w:rPr>
          <w:rFonts w:hint="cs"/>
          <w:rtl/>
        </w:rPr>
        <w:t>ולהעיר ממה שנתבאר בדברינו בספר ׳מוסדי האיתנים׳</w:t>
      </w:r>
      <w:r w:rsidRPr="007128D2">
        <w:rPr>
          <w:rtl/>
        </w:rPr>
        <w:t xml:space="preserve"> (</w:t>
      </w:r>
      <w:r w:rsidRPr="007128D2">
        <w:rPr>
          <w:rFonts w:hint="cs"/>
          <w:rtl/>
        </w:rPr>
        <w:t>רבי אליעזר הגדול</w:t>
      </w:r>
      <w:r w:rsidRPr="007128D2">
        <w:rPr>
          <w:rtl/>
        </w:rPr>
        <w:t xml:space="preserve">) </w:t>
      </w:r>
      <w:r w:rsidRPr="007128D2">
        <w:rPr>
          <w:rFonts w:hint="cs"/>
          <w:rtl/>
        </w:rPr>
        <w:t>סימן א׳ בדרך לימוד ה״לשיטתיה״</w:t>
      </w:r>
      <w:r w:rsidRPr="007128D2">
        <w:rPr>
          <w:rtl/>
        </w:rPr>
        <w:t xml:space="preserve"> </w:t>
      </w:r>
      <w:r w:rsidRPr="007128D2">
        <w:rPr>
          <w:rFonts w:hint="cs"/>
          <w:rtl/>
        </w:rPr>
        <w:t>הייחודית והמחודשת של רבינו המתבטא בכמה עניינים</w:t>
      </w:r>
      <w:r w:rsidRPr="007128D2">
        <w:rPr>
          <w:rtl/>
        </w:rPr>
        <w:t xml:space="preserve">, </w:t>
      </w:r>
      <w:r w:rsidRPr="007128D2">
        <w:rPr>
          <w:rFonts w:hint="cs"/>
          <w:rtl/>
        </w:rPr>
        <w:t>ומהם לחבר ולקשר סברת ה״לשיטתיה״ הכללית של התנאים והאמוראים עם בעלי השיטה עצמם</w:t>
      </w:r>
      <w:r w:rsidRPr="007128D2">
        <w:rPr>
          <w:rtl/>
        </w:rPr>
        <w:t>.</w:t>
      </w:r>
    </w:p>
    <w:p w:rsidR="004820B2" w:rsidRPr="007128D2" w:rsidRDefault="004820B2" w:rsidP="007128D2">
      <w:pPr>
        <w:pStyle w:val="FootnoteText"/>
      </w:pPr>
      <w:r w:rsidRPr="007128D2">
        <w:rPr>
          <w:rFonts w:hint="cs"/>
          <w:rtl/>
        </w:rPr>
        <w:t>וקשר זה מתבטא באופנים שונים</w:t>
      </w:r>
      <w:r w:rsidRPr="007128D2">
        <w:rPr>
          <w:rtl/>
        </w:rPr>
        <w:t xml:space="preserve">, </w:t>
      </w:r>
      <w:r w:rsidRPr="007128D2">
        <w:rPr>
          <w:rFonts w:hint="cs"/>
          <w:rtl/>
        </w:rPr>
        <w:t>אם בשמו של בעל השיטה או במקום מושבו</w:t>
      </w:r>
      <w:r w:rsidRPr="007128D2">
        <w:rPr>
          <w:rtl/>
        </w:rPr>
        <w:t xml:space="preserve">, </w:t>
      </w:r>
      <w:r w:rsidRPr="007128D2">
        <w:rPr>
          <w:rFonts w:hint="cs"/>
          <w:rtl/>
        </w:rPr>
        <w:t>במאורעות חייו</w:t>
      </w:r>
      <w:r w:rsidRPr="007128D2">
        <w:rPr>
          <w:rtl/>
        </w:rPr>
        <w:t xml:space="preserve">, </w:t>
      </w:r>
      <w:r w:rsidRPr="007128D2">
        <w:rPr>
          <w:rFonts w:hint="cs"/>
          <w:rtl/>
        </w:rPr>
        <w:t>בייחוסו</w:t>
      </w:r>
      <w:r w:rsidRPr="007128D2">
        <w:rPr>
          <w:rtl/>
        </w:rPr>
        <w:t xml:space="preserve">, </w:t>
      </w:r>
      <w:r w:rsidRPr="007128D2">
        <w:rPr>
          <w:rFonts w:hint="cs"/>
          <w:rtl/>
        </w:rPr>
        <w:t>ברבותיו</w:t>
      </w:r>
      <w:r w:rsidRPr="007128D2">
        <w:rPr>
          <w:rtl/>
        </w:rPr>
        <w:t xml:space="preserve">, </w:t>
      </w:r>
      <w:r w:rsidRPr="007128D2">
        <w:rPr>
          <w:rFonts w:hint="cs"/>
          <w:rtl/>
        </w:rPr>
        <w:t>בעיסוקו</w:t>
      </w:r>
      <w:r w:rsidRPr="007128D2">
        <w:rPr>
          <w:rtl/>
        </w:rPr>
        <w:t xml:space="preserve">, </w:t>
      </w:r>
      <w:r w:rsidRPr="007128D2">
        <w:rPr>
          <w:rFonts w:hint="cs"/>
          <w:rtl/>
        </w:rPr>
        <w:t>בהנהגתו</w:t>
      </w:r>
      <w:r w:rsidRPr="007128D2">
        <w:rPr>
          <w:rtl/>
        </w:rPr>
        <w:t xml:space="preserve">, </w:t>
      </w:r>
      <w:r w:rsidRPr="007128D2">
        <w:rPr>
          <w:rFonts w:hint="cs"/>
          <w:rtl/>
        </w:rPr>
        <w:t xml:space="preserve">בתפקידו או אף באופן פנימי עמוק יותר </w:t>
      </w:r>
      <w:r w:rsidRPr="007128D2">
        <w:t xml:space="preserve">– </w:t>
      </w:r>
      <w:r w:rsidRPr="007128D2">
        <w:rPr>
          <w:rFonts w:hint="cs"/>
          <w:rtl/>
        </w:rPr>
        <w:t xml:space="preserve">בסוד שורש נשמתו של בעל השיטה </w:t>
      </w:r>
      <w:r w:rsidRPr="007128D2">
        <w:rPr>
          <w:rtl/>
        </w:rPr>
        <w:t>[</w:t>
      </w:r>
      <w:r w:rsidRPr="007128D2">
        <w:rPr>
          <w:rFonts w:hint="cs"/>
          <w:rtl/>
        </w:rPr>
        <w:t>עיי״ש שהבאנו בזה דוגמאות שונות מתורתו של רבינו</w:t>
      </w:r>
      <w:r w:rsidRPr="007128D2">
        <w:rPr>
          <w:rtl/>
        </w:rPr>
        <w:t>].</w:t>
      </w:r>
    </w:p>
    <w:p w:rsidR="004820B2" w:rsidRPr="007128D2" w:rsidRDefault="004820B2" w:rsidP="007128D2">
      <w:pPr>
        <w:pStyle w:val="FootnoteText"/>
      </w:pPr>
      <w:r w:rsidRPr="007128D2">
        <w:rPr>
          <w:rFonts w:hint="cs"/>
          <w:rtl/>
        </w:rPr>
        <w:t>ויעויי״ש שנתבאר כי לאמיתו של דבר</w:t>
      </w:r>
      <w:r w:rsidRPr="007128D2">
        <w:rPr>
          <w:rtl/>
        </w:rPr>
        <w:t xml:space="preserve">, </w:t>
      </w:r>
      <w:r w:rsidRPr="007128D2">
        <w:rPr>
          <w:rFonts w:hint="cs"/>
          <w:rtl/>
        </w:rPr>
        <w:t>כל ביטויי הקשר הקיימים בין סברת השיטה לבעל השיטה</w:t>
      </w:r>
      <w:r w:rsidRPr="007128D2">
        <w:rPr>
          <w:rtl/>
        </w:rPr>
        <w:t>,</w:t>
      </w:r>
      <w:r w:rsidRPr="007128D2">
        <w:rPr>
          <w:rFonts w:hint="cs"/>
          <w:rtl/>
        </w:rPr>
        <w:t xml:space="preserve"> נובעים למעשה</w:t>
      </w:r>
      <w:r w:rsidRPr="007128D2">
        <w:rPr>
          <w:rtl/>
        </w:rPr>
        <w:t xml:space="preserve"> </w:t>
      </w:r>
      <w:r w:rsidRPr="007128D2">
        <w:rPr>
          <w:rFonts w:hint="cs"/>
          <w:rtl/>
        </w:rPr>
        <w:t>מנקודה אחת פנימית</w:t>
      </w:r>
      <w:r w:rsidRPr="007128D2">
        <w:rPr>
          <w:rtl/>
        </w:rPr>
        <w:t xml:space="preserve">, </w:t>
      </w:r>
      <w:r w:rsidRPr="007128D2">
        <w:rPr>
          <w:rFonts w:hint="cs"/>
          <w:rtl/>
        </w:rPr>
        <w:t>והיא שורש נשמתו של בעל השיטה</w:t>
      </w:r>
      <w:r w:rsidRPr="007128D2">
        <w:rPr>
          <w:rtl/>
        </w:rPr>
        <w:t>,</w:t>
      </w:r>
      <w:r w:rsidRPr="007128D2">
        <w:rPr>
          <w:rFonts w:hint="cs"/>
          <w:rtl/>
        </w:rPr>
        <w:t xml:space="preserve"> שכן לפי השקפת תורת הסוד והחסידות</w:t>
      </w:r>
      <w:r w:rsidRPr="007128D2">
        <w:rPr>
          <w:rtl/>
        </w:rPr>
        <w:t xml:space="preserve">, </w:t>
      </w:r>
      <w:r w:rsidRPr="007128D2">
        <w:rPr>
          <w:rFonts w:hint="cs"/>
          <w:rtl/>
        </w:rPr>
        <w:t>הרי כל ענייניו של אדם מתאימים ומסתעפים משורש מדריגת נשמתו הפרטית</w:t>
      </w:r>
      <w:r w:rsidRPr="007128D2">
        <w:rPr>
          <w:rtl/>
        </w:rPr>
        <w:t xml:space="preserve">. </w:t>
      </w:r>
    </w:p>
    <w:p w:rsidR="004820B2" w:rsidRPr="007128D2" w:rsidRDefault="004820B2" w:rsidP="007128D2">
      <w:pPr>
        <w:pStyle w:val="FootnoteText"/>
      </w:pPr>
      <w:r w:rsidRPr="007128D2">
        <w:rPr>
          <w:rFonts w:hint="cs"/>
          <w:rtl/>
        </w:rPr>
        <w:t>על כן</w:t>
      </w:r>
      <w:r w:rsidRPr="007128D2">
        <w:rPr>
          <w:rtl/>
        </w:rPr>
        <w:t>,</w:t>
      </w:r>
      <w:r w:rsidRPr="007128D2">
        <w:rPr>
          <w:rFonts w:hint="cs"/>
          <w:rtl/>
        </w:rPr>
        <w:t xml:space="preserve"> לא ייפלא אפוא כי נקודת שיטתו בתורה של אותו תנא או אמורא שהשיג בהתאם לשורש נשמתו</w:t>
      </w:r>
      <w:r w:rsidRPr="007128D2">
        <w:rPr>
          <w:rtl/>
        </w:rPr>
        <w:t xml:space="preserve">, </w:t>
      </w:r>
      <w:r w:rsidRPr="007128D2">
        <w:rPr>
          <w:rFonts w:hint="cs"/>
          <w:rtl/>
        </w:rPr>
        <w:t>מתבטאת היא גם בכל שאר פרטי ענייניו של החכם</w:t>
      </w:r>
      <w:r w:rsidRPr="007128D2">
        <w:rPr>
          <w:rtl/>
        </w:rPr>
        <w:t xml:space="preserve"> [</w:t>
      </w:r>
      <w:r w:rsidRPr="007128D2">
        <w:rPr>
          <w:rFonts w:hint="cs"/>
          <w:rtl/>
        </w:rPr>
        <w:t>ראה בזה בכ״מ בתורת החסידות</w:t>
      </w:r>
      <w:r w:rsidRPr="007128D2">
        <w:rPr>
          <w:rtl/>
        </w:rPr>
        <w:t>,</w:t>
      </w:r>
      <w:r w:rsidRPr="007128D2">
        <w:rPr>
          <w:rFonts w:hint="cs"/>
          <w:rtl/>
        </w:rPr>
        <w:t xml:space="preserve"> לדוגמא לענין השגת שיטת החכם בתורה בהתאם לשורש נשמתו הפרטית </w:t>
      </w:r>
      <w:r w:rsidRPr="007128D2">
        <w:t xml:space="preserve">– </w:t>
      </w:r>
      <w:r w:rsidRPr="007128D2">
        <w:rPr>
          <w:rFonts w:hint="cs"/>
          <w:rtl/>
        </w:rPr>
        <w:t>תניא בהקדמת המלקט</w:t>
      </w:r>
      <w:r w:rsidRPr="007128D2">
        <w:rPr>
          <w:rtl/>
        </w:rPr>
        <w:t>,</w:t>
      </w:r>
      <w:r w:rsidRPr="007128D2">
        <w:rPr>
          <w:rFonts w:hint="cs"/>
          <w:rtl/>
        </w:rPr>
        <w:t xml:space="preserve"> ועוד בכ״מ</w:t>
      </w:r>
      <w:r w:rsidRPr="007128D2">
        <w:rPr>
          <w:rtl/>
        </w:rPr>
        <w:t xml:space="preserve">], </w:t>
      </w:r>
      <w:r w:rsidRPr="007128D2">
        <w:rPr>
          <w:rFonts w:hint="cs"/>
          <w:rtl/>
        </w:rPr>
        <w:t>עיי״ש בכל זה בארוכה</w:t>
      </w:r>
      <w:r w:rsidRPr="007128D2">
        <w:rPr>
          <w:rtl/>
        </w:rPr>
        <w:t xml:space="preserve">. </w:t>
      </w:r>
    </w:p>
    <w:p w:rsidR="004820B2" w:rsidRPr="007128D2" w:rsidRDefault="004820B2" w:rsidP="007128D2">
      <w:pPr>
        <w:pStyle w:val="FootnoteText"/>
      </w:pPr>
      <w:r w:rsidRPr="007128D2">
        <w:rPr>
          <w:rFonts w:hint="cs"/>
          <w:rtl/>
        </w:rPr>
        <w:t>ויש להעיר בכל זה גם מדרכו של הרלוי״צ זצ״ל אשר מצינו במשנתו שהרבה לבאר ולקשר מאמרם ושיטתם דכו״כ תנאים ואמוראים בש״ס עם בעלי המאמר</w:t>
      </w:r>
      <w:r w:rsidRPr="007128D2">
        <w:rPr>
          <w:rtl/>
        </w:rPr>
        <w:t xml:space="preserve">, </w:t>
      </w:r>
      <w:r w:rsidRPr="007128D2">
        <w:rPr>
          <w:rFonts w:hint="cs"/>
          <w:rtl/>
        </w:rPr>
        <w:t>וזאת בכמה אופנים</w:t>
      </w:r>
      <w:r w:rsidRPr="007128D2">
        <w:rPr>
          <w:rtl/>
        </w:rPr>
        <w:t xml:space="preserve">, </w:t>
      </w:r>
      <w:r w:rsidRPr="007128D2">
        <w:rPr>
          <w:rFonts w:hint="cs"/>
          <w:rtl/>
        </w:rPr>
        <w:t>אם בהתאם לפירוש שמותיהם</w:t>
      </w:r>
      <w:r w:rsidRPr="007128D2">
        <w:rPr>
          <w:rtl/>
        </w:rPr>
        <w:t xml:space="preserve">, </w:t>
      </w:r>
      <w:r w:rsidRPr="007128D2">
        <w:rPr>
          <w:rFonts w:hint="cs"/>
          <w:rtl/>
        </w:rPr>
        <w:t xml:space="preserve">למעשיהם או לשורש נשמתם </w:t>
      </w:r>
      <w:r w:rsidRPr="007128D2">
        <w:rPr>
          <w:rtl/>
        </w:rPr>
        <w:t xml:space="preserve">– </w:t>
      </w:r>
      <w:r w:rsidRPr="007128D2">
        <w:rPr>
          <w:rFonts w:hint="cs"/>
          <w:rtl/>
        </w:rPr>
        <w:t>יעויין בספרי ׳תורת לוי יצחק׳ ו׳לקוטי לוי יצחק׳ בכ״מ</w:t>
      </w:r>
      <w:r w:rsidRPr="007128D2">
        <w:rPr>
          <w:rtl/>
        </w:rPr>
        <w:t>.</w:t>
      </w:r>
    </w:p>
    <w:p w:rsidR="004820B2" w:rsidRPr="007128D2" w:rsidRDefault="004820B2" w:rsidP="007128D2">
      <w:pPr>
        <w:pStyle w:val="FootnoteText"/>
      </w:pPr>
      <w:r w:rsidRPr="007128D2">
        <w:rPr>
          <w:rFonts w:hint="cs"/>
          <w:rtl/>
        </w:rPr>
        <w:t>ולהעיר מ׳לקוטי לוי יצחק׳ אגרות עמ׳ רסג שכתב בזה״ל ״אל תדמה שהלימוד וההשכלה בענין העיון והסברא דחכמי המשנה והתלמוד</w:t>
      </w:r>
      <w:r w:rsidRPr="007128D2">
        <w:rPr>
          <w:rtl/>
        </w:rPr>
        <w:t xml:space="preserve">, </w:t>
      </w:r>
      <w:r w:rsidRPr="007128D2">
        <w:rPr>
          <w:rFonts w:hint="cs"/>
          <w:rtl/>
        </w:rPr>
        <w:t>וגם מי שאחריהם שעסקו בתורה לשמה</w:t>
      </w:r>
      <w:r w:rsidRPr="007128D2">
        <w:rPr>
          <w:rtl/>
        </w:rPr>
        <w:t xml:space="preserve">, </w:t>
      </w:r>
      <w:r w:rsidRPr="007128D2">
        <w:rPr>
          <w:rFonts w:hint="cs"/>
          <w:rtl/>
        </w:rPr>
        <w:t>הוא בחינת לימוד והשכלה דשכל אנושי פשוט וכדומה</w:t>
      </w:r>
      <w:r w:rsidRPr="007128D2">
        <w:rPr>
          <w:rtl/>
        </w:rPr>
        <w:t xml:space="preserve">, </w:t>
      </w:r>
      <w:r w:rsidRPr="007128D2">
        <w:rPr>
          <w:rFonts w:hint="cs"/>
          <w:rtl/>
        </w:rPr>
        <w:t>כמו השכל וההבנה דשארי בני אדם</w:t>
      </w:r>
      <w:r w:rsidRPr="007128D2">
        <w:rPr>
          <w:rtl/>
        </w:rPr>
        <w:t xml:space="preserve">, </w:t>
      </w:r>
      <w:r w:rsidRPr="007128D2">
        <w:rPr>
          <w:rFonts w:hint="cs"/>
          <w:rtl/>
        </w:rPr>
        <w:t xml:space="preserve">לא כן הוא כלל וכלל </w:t>
      </w:r>
      <w:r w:rsidRPr="007128D2">
        <w:rPr>
          <w:rtl/>
        </w:rPr>
        <w:t xml:space="preserve">. . </w:t>
      </w:r>
      <w:r w:rsidRPr="007128D2">
        <w:rPr>
          <w:rFonts w:hint="cs"/>
          <w:rtl/>
        </w:rPr>
        <w:t>ובעל כרחך לומר שהבנתם בתורה לא היה רק בשכל אנושי שבטבע בלבד</w:t>
      </w:r>
      <w:r w:rsidRPr="007128D2">
        <w:rPr>
          <w:rtl/>
        </w:rPr>
        <w:t xml:space="preserve">, </w:t>
      </w:r>
      <w:r w:rsidRPr="007128D2">
        <w:rPr>
          <w:rFonts w:hint="cs"/>
          <w:rtl/>
        </w:rPr>
        <w:t>רק שכל אחד מהם הביט וראה בחכמה דתורה כמו שהיא למעלה</w:t>
      </w:r>
      <w:r w:rsidRPr="007128D2">
        <w:rPr>
          <w:rtl/>
        </w:rPr>
        <w:t xml:space="preserve">, </w:t>
      </w:r>
      <w:r w:rsidRPr="007128D2">
        <w:rPr>
          <w:rFonts w:hint="cs"/>
          <w:rtl/>
        </w:rPr>
        <w:t>ולפי שרש נשמתו וחלקו בתורה</w:t>
      </w:r>
      <w:r w:rsidRPr="007128D2">
        <w:rPr>
          <w:rtl/>
        </w:rPr>
        <w:t xml:space="preserve">, </w:t>
      </w:r>
      <w:r w:rsidRPr="007128D2">
        <w:rPr>
          <w:rFonts w:hint="cs"/>
          <w:rtl/>
        </w:rPr>
        <w:t>אם בהלכה אם באגדה״</w:t>
      </w:r>
      <w:r w:rsidRPr="007128D2">
        <w:rPr>
          <w:rtl/>
        </w:rPr>
        <w:t>.</w:t>
      </w:r>
    </w:p>
    <w:p w:rsidR="004820B2" w:rsidRPr="007128D2" w:rsidRDefault="004820B2" w:rsidP="007128D2">
      <w:pPr>
        <w:pStyle w:val="FootnoteText"/>
      </w:pPr>
      <w:r w:rsidRPr="007128D2">
        <w:rPr>
          <w:rFonts w:hint="cs"/>
          <w:rtl/>
        </w:rPr>
        <w:t xml:space="preserve">וראה בכל זה ב׳מבוא׳ מאת הרב יהושע מונדשיין ע״ה על ספר ׳תורת לוי יצחק </w:t>
      </w:r>
      <w:r w:rsidRPr="007128D2">
        <w:t xml:space="preserve">– </w:t>
      </w:r>
      <w:r w:rsidRPr="007128D2">
        <w:rPr>
          <w:rFonts w:hint="cs"/>
          <w:rtl/>
        </w:rPr>
        <w:t>לקוטי לוי יצחק מפתחות׳</w:t>
      </w:r>
      <w:r w:rsidRPr="007128D2">
        <w:rPr>
          <w:rtl/>
        </w:rPr>
        <w:t xml:space="preserve">, </w:t>
      </w:r>
      <w:r w:rsidRPr="007128D2">
        <w:rPr>
          <w:rFonts w:hint="cs"/>
          <w:rtl/>
        </w:rPr>
        <w:t>עמ׳ יא</w:t>
      </w:r>
      <w:r w:rsidRPr="007128D2">
        <w:t>-</w:t>
      </w:r>
      <w:r w:rsidRPr="007128D2">
        <w:rPr>
          <w:rFonts w:hint="cs"/>
          <w:rtl/>
        </w:rPr>
        <w:t>יג ובהנסמן שם בארוכה</w:t>
      </w:r>
      <w:r w:rsidRPr="007128D2">
        <w:rPr>
          <w:rtl/>
        </w:rPr>
        <w:t>.</w:t>
      </w:r>
    </w:p>
    <w:p w:rsidR="004820B2" w:rsidRDefault="004820B2" w:rsidP="007128D2">
      <w:pPr>
        <w:pStyle w:val="FootnoteText"/>
      </w:pPr>
      <w:r w:rsidRPr="007128D2">
        <w:rPr>
          <w:rFonts w:hint="cs"/>
          <w:rtl/>
        </w:rPr>
        <w:t>ולהמבואר בדברי הרלוי״צ זצ״ל שבפנים בה״לשיטתייהו״ דאביי ורבא ע״ד הסוד</w:t>
      </w:r>
      <w:r w:rsidRPr="007128D2">
        <w:rPr>
          <w:rtl/>
        </w:rPr>
        <w:t xml:space="preserve">, </w:t>
      </w:r>
      <w:r w:rsidRPr="007128D2">
        <w:rPr>
          <w:rFonts w:hint="cs"/>
          <w:rtl/>
        </w:rPr>
        <w:t>אם אזלינן בתר ״מקיף הקרוב״ או ״מקיף הרחוק״</w:t>
      </w:r>
      <w:r w:rsidRPr="007128D2">
        <w:rPr>
          <w:rtl/>
        </w:rPr>
        <w:t xml:space="preserve">, </w:t>
      </w:r>
      <w:r w:rsidRPr="007128D2">
        <w:rPr>
          <w:rFonts w:hint="cs"/>
          <w:rtl/>
        </w:rPr>
        <w:t>וכן בהמסתעף מזה גם ע״ד הנגלה וההלכה וכפי שיתבאר לפנינו בסימנים הבאים בע״ה</w:t>
      </w:r>
      <w:r w:rsidRPr="007128D2">
        <w:rPr>
          <w:rtl/>
        </w:rPr>
        <w:t xml:space="preserve">, </w:t>
      </w:r>
      <w:r w:rsidRPr="007128D2">
        <w:rPr>
          <w:rFonts w:hint="cs"/>
          <w:rtl/>
        </w:rPr>
        <w:t>נמצא מבואר בנדו״ד הקשר האישי שבין סברת ה״לשיטתיה״ דאביי ורבא הנ״ל עם בעלי השיטה עצמם</w:t>
      </w:r>
      <w:r w:rsidRPr="007128D2">
        <w:rPr>
          <w:rtl/>
        </w:rPr>
        <w:t xml:space="preserve">, </w:t>
      </w:r>
      <w:r w:rsidRPr="007128D2">
        <w:rPr>
          <w:rFonts w:hint="cs"/>
          <w:rtl/>
        </w:rPr>
        <w:t>והדבר מתבטא בכמה ענינים</w:t>
      </w:r>
      <w:r w:rsidRPr="007128D2">
        <w:rPr>
          <w:rtl/>
        </w:rPr>
        <w:t xml:space="preserve">, </w:t>
      </w:r>
      <w:r w:rsidRPr="007128D2">
        <w:rPr>
          <w:rFonts w:hint="cs"/>
          <w:rtl/>
        </w:rPr>
        <w:t>הן בפירוש שמותיהם</w:t>
      </w:r>
      <w:r w:rsidRPr="007128D2">
        <w:rPr>
          <w:rtl/>
        </w:rPr>
        <w:t xml:space="preserve">, </w:t>
      </w:r>
      <w:r w:rsidRPr="007128D2">
        <w:rPr>
          <w:rFonts w:hint="cs"/>
          <w:rtl/>
        </w:rPr>
        <w:t>הן במאורעות חייהם</w:t>
      </w:r>
      <w:r w:rsidRPr="007128D2">
        <w:rPr>
          <w:rtl/>
        </w:rPr>
        <w:t xml:space="preserve">, </w:t>
      </w:r>
      <w:r w:rsidRPr="007128D2">
        <w:rPr>
          <w:rFonts w:hint="cs"/>
          <w:rtl/>
        </w:rPr>
        <w:t>הן בעיסוקיהם</w:t>
      </w:r>
      <w:r w:rsidRPr="007128D2">
        <w:rPr>
          <w:rtl/>
        </w:rPr>
        <w:t xml:space="preserve">, </w:t>
      </w:r>
      <w:r w:rsidRPr="007128D2">
        <w:rPr>
          <w:rFonts w:hint="cs"/>
          <w:rtl/>
        </w:rPr>
        <w:t>והן ובעיקר בשורש נשמתם</w:t>
      </w:r>
      <w:r w:rsidRPr="007128D2">
        <w:rPr>
          <w:rtl/>
        </w:rPr>
        <w:t xml:space="preserve">, </w:t>
      </w:r>
      <w:r w:rsidRPr="007128D2">
        <w:rPr>
          <w:rFonts w:hint="cs"/>
          <w:rtl/>
        </w:rPr>
        <w:t>וכמוש״נ בפנים בארוכה</w:t>
      </w:r>
      <w:r w:rsidRPr="007128D2">
        <w:rPr>
          <w:rtl/>
        </w:rPr>
        <w:t>.</w:t>
      </w:r>
    </w:p>
  </w:footnote>
  <w:footnote w:id="180">
    <w:p w:rsidR="004820B2" w:rsidRPr="00FE4765" w:rsidRDefault="004820B2" w:rsidP="00FE4765">
      <w:pPr>
        <w:pStyle w:val="FootnoteText"/>
        <w:rPr>
          <w:rtl/>
        </w:rPr>
      </w:pPr>
      <w:r w:rsidRPr="00FE4765">
        <w:rPr>
          <w:rStyle w:val="FootnoteReference"/>
          <w:vertAlign w:val="baseline"/>
        </w:rPr>
        <w:footnoteRef/>
      </w:r>
      <w:r>
        <w:rPr>
          <w:rFonts w:hint="cs"/>
          <w:rtl/>
        </w:rPr>
        <w:t xml:space="preserve">) </w:t>
      </w:r>
      <w:r w:rsidRPr="00FE4765">
        <w:t xml:space="preserve"> </w:t>
      </w:r>
      <w:r w:rsidRPr="00FE4765">
        <w:rPr>
          <w:rFonts w:hint="cs"/>
          <w:rtl/>
        </w:rPr>
        <w:t>ובערוך השולחן בסוף סי' ק"ח פסק עיקר דהוי כלא התפלל כלל עייש.</w:t>
      </w:r>
    </w:p>
  </w:footnote>
  <w:footnote w:id="181">
    <w:p w:rsidR="004820B2" w:rsidRPr="00FE4765" w:rsidRDefault="004820B2" w:rsidP="00FE4765">
      <w:pPr>
        <w:pStyle w:val="FootnoteText"/>
        <w:rPr>
          <w:rtl/>
        </w:rPr>
      </w:pPr>
      <w:r w:rsidRPr="00FE4765">
        <w:rPr>
          <w:rStyle w:val="FootnoteReference"/>
          <w:vertAlign w:val="baseline"/>
        </w:rPr>
        <w:footnoteRef/>
      </w:r>
      <w:r>
        <w:rPr>
          <w:rFonts w:hint="cs"/>
          <w:rtl/>
        </w:rPr>
        <w:t xml:space="preserve">) </w:t>
      </w:r>
      <w:r w:rsidRPr="00FE4765">
        <w:rPr>
          <w:rFonts w:hint="cs"/>
          <w:rtl/>
        </w:rPr>
        <w:t>אבל אם עבר ועלה לתיבה להתפלל אף שלא התפלל לחש, לכאורה יש לו דין של ש"ץ. כמו שמבואר בסי' תקצ"ד דאף היחיד המתפלל בקול מחמת החיוב שיש לו בין כך להתפלל שמו"ע, מכל מקום ע"י שהציבור עונים אמן יש לו דין של תפילת ציבור. ועיין בשו"ע רבינו סי' ס"ט והיוצא משם ומסי' תקצ"ד שגדר ציבור הוא כשיש ששה שהתפללו לחש בציבור, והכא איכא ששה שהתפללו לחש וכו'. ועיין שו"ת שבט הלוי חלק ג' סי' ט' שדן בארוכה בדברי רבינו בסי' ס"ט ואכ"מ.</w:t>
      </w:r>
    </w:p>
  </w:footnote>
  <w:footnote w:id="182">
    <w:p w:rsidR="004820B2" w:rsidRPr="00FE4765" w:rsidRDefault="004820B2" w:rsidP="00FE4765">
      <w:pPr>
        <w:pStyle w:val="FootnoteText"/>
        <w:rPr>
          <w:rtl/>
        </w:rPr>
      </w:pPr>
      <w:r w:rsidRPr="00FE4765">
        <w:rPr>
          <w:rStyle w:val="FootnoteReference"/>
          <w:vertAlign w:val="baseline"/>
        </w:rPr>
        <w:footnoteRef/>
      </w:r>
      <w:r>
        <w:rPr>
          <w:rFonts w:hint="cs"/>
          <w:rtl/>
        </w:rPr>
        <w:t>)</w:t>
      </w:r>
      <w:r w:rsidRPr="00FE4765">
        <w:t xml:space="preserve"> </w:t>
      </w:r>
      <w:r w:rsidRPr="00FE4765">
        <w:rPr>
          <w:rFonts w:hint="cs"/>
          <w:rtl/>
        </w:rPr>
        <w:t>עיין לעיל בדברי אשל אברהם.</w:t>
      </w:r>
    </w:p>
  </w:footnote>
  <w:footnote w:id="183">
    <w:p w:rsidR="004820B2" w:rsidRPr="00FE4765" w:rsidRDefault="004820B2" w:rsidP="00A80BCE">
      <w:pPr>
        <w:pStyle w:val="FootnoteText"/>
        <w:rPr>
          <w:rtl/>
        </w:rPr>
      </w:pPr>
      <w:r w:rsidRPr="00FE4765">
        <w:rPr>
          <w:rStyle w:val="FootnoteReference"/>
          <w:vertAlign w:val="baseline"/>
        </w:rPr>
        <w:footnoteRef/>
      </w:r>
      <w:r w:rsidRPr="00FE4765">
        <w:t xml:space="preserve"> </w:t>
      </w:r>
      <w:r w:rsidRPr="00FE4765">
        <w:rPr>
          <w:rFonts w:hint="cs"/>
          <w:rtl/>
        </w:rPr>
        <w:t xml:space="preserve">ועיין בנימוקי יוסף בסוגיין דגמרא ברכות דף כ"א מפורש כנ"ל וז"ל "ודכולי עלמא יחיד המתפלל לעצמו מצטרף לעשרה אע"פ שאין יכול לענות (לכאורה הכוונה לאמן). וכן כתבו מן המפרשים ז"ל דמתפללין ואומרים קדושה בשביל יחיד, דעד כאן לא פליגי אלא אם אומרו ביחיד". אבל באמת אין זה ראיה דע"פ מש"כ עיין שוע"ר סי' נ"ה סעיף ז' דאיירי לדין קדיש וברכו ולא מדין קדושה וצירוף לשמו"ע. והמשך דבריו וכן כתבו מן המפרשים ז"ל היינו ענין חדש. </w:t>
      </w:r>
    </w:p>
  </w:footnote>
  <w:footnote w:id="184">
    <w:p w:rsidR="004820B2" w:rsidRPr="00FE4765" w:rsidRDefault="004820B2" w:rsidP="00FE4765">
      <w:pPr>
        <w:pStyle w:val="FootnoteText"/>
        <w:rPr>
          <w:rtl/>
        </w:rPr>
      </w:pPr>
      <w:r w:rsidRPr="00FE4765">
        <w:rPr>
          <w:rStyle w:val="FootnoteReference"/>
          <w:vertAlign w:val="baseline"/>
        </w:rPr>
        <w:footnoteRef/>
      </w:r>
      <w:r>
        <w:rPr>
          <w:rFonts w:hint="cs"/>
          <w:rtl/>
        </w:rPr>
        <w:t>)</w:t>
      </w:r>
      <w:r w:rsidRPr="00FE4765">
        <w:t xml:space="preserve"> </w:t>
      </w:r>
      <w:r w:rsidRPr="00FE4765">
        <w:rPr>
          <w:rFonts w:hint="cs"/>
          <w:rtl/>
        </w:rPr>
        <w:t>ולכאורה הוא חידוש של רבינו שהרי הרמ"א למד דין זה ע"פ מש"כ בספר המנהגים בהגהות סי' י'  ב' טעמים: א' משום שאם עומד בשוק כמו"כ יש לעמוד לפני מלכו של עולם ב' משום שרואים בתקיעות שנקרא תקיעות דמעומד. ורבינו הביא טעם חדש שאינו מובא בפוסקים עיין בפנים. ואולי למדו ממש"כ הלבוש "י"א שגם יעמדו הקהל על רגליהם בעת חזרת ש"ץ התפלה אע"פ שכבר התפללו מכל מקום לא יחזירו התפלה  לומר אותה עם החזן כיון שכבר התפללו וכו'" משמע שהיה הו"א שיתפללו מחמת שהם עומדים והוי כמו חזרת הש"ץ. והיותר נראה הוא משום שדברי הרמ"א מובאין אחר דין שצריך לשתוק ולכוין לברכות שמברך הש"ץ ולכן היו עומדים. ועיין ברמב"ם הל' תפילה פ"ט ה"ג מובא סתם "והכל עומדין".</w:t>
      </w:r>
    </w:p>
  </w:footnote>
  <w:footnote w:id="185">
    <w:p w:rsidR="004820B2" w:rsidRPr="00FE4765" w:rsidRDefault="004820B2" w:rsidP="00FE4765">
      <w:pPr>
        <w:pStyle w:val="FootnoteText"/>
        <w:rPr>
          <w:rtl/>
        </w:rPr>
      </w:pPr>
      <w:r w:rsidRPr="00FE4765">
        <w:rPr>
          <w:rStyle w:val="FootnoteReference"/>
          <w:vertAlign w:val="baseline"/>
        </w:rPr>
        <w:footnoteRef/>
      </w:r>
      <w:r>
        <w:rPr>
          <w:rFonts w:hint="cs"/>
          <w:rtl/>
        </w:rPr>
        <w:t>)</w:t>
      </w:r>
      <w:r w:rsidRPr="00FE4765">
        <w:t xml:space="preserve"> </w:t>
      </w:r>
      <w:r w:rsidRPr="00FE4765">
        <w:rPr>
          <w:rFonts w:hint="cs"/>
          <w:rtl/>
        </w:rPr>
        <w:t xml:space="preserve">ולכאורה צ"ע לדעת המג"א, ממש"כ המחבר סי' ק"ט סעיף א' דמשמע דקדושה עדיפה מתפילת ציבור. וכן צ"ע בדברי רבינו שם סעיף א' שאם לא יספיק לגמור שמו"ע לפני קדושה ימתין עד שיגמור הקדושה, לכאורה משמע דקדושה עדיפה משמו"ע בציבור. ועיין בפמ"ג א"א סק"ב שתירץ דברי המג"א דכשמצטרף באמצע השמו"ע דציבור לא הוה ממש תפלת הציבור, וסיים דהוא דוחק. ועיין בדברי אג"מ המובא בפנים שתי' דברי המג"א "וגם אולי יש לפרש טעם המג"א שעדיפא תפלת הצבור מאיש"ר באופן שיתבטל שתי תפלות מנחה ומעריב שלא בצבור". ולענ"ד קשה לפרש כן בדברי המג"א שהרי המג"א סתם "ואם בא סמוך לקדיש ואם יתפלל תיכף יבטל אמן יהא שמיה רבא וכו'" אף כשהציבור כבר סיימו תפלת שמו"ע ואוחזים בקדיש (ואפשר לו לגמור התפילה לפני ערבית או מחמת שאומרים תחנון או מטעם אחר) מכל מקום יתפלל קודם. וכן מפורש בדברי רבינו שם ס"א בענין תפילת ערבית שעדיפא להמתין מלהתפלל שמו"ע עם הציבור כדי שיוכל לענות איש"ר בלבד. </w:t>
      </w:r>
    </w:p>
  </w:footnote>
  <w:footnote w:id="186">
    <w:p w:rsidR="004820B2" w:rsidRDefault="004820B2" w:rsidP="00F50418">
      <w:pPr>
        <w:pStyle w:val="FootnoteText"/>
      </w:pPr>
      <w:r w:rsidRPr="00FE4765">
        <w:rPr>
          <w:rStyle w:val="FootnoteReference"/>
          <w:vertAlign w:val="baseline"/>
        </w:rPr>
        <w:footnoteRef/>
      </w:r>
      <w:r>
        <w:rPr>
          <w:rFonts w:hint="cs"/>
          <w:rtl/>
        </w:rPr>
        <w:t xml:space="preserve">) </w:t>
      </w:r>
      <w:r w:rsidRPr="00FE4765">
        <w:rPr>
          <w:rFonts w:hint="cs"/>
          <w:rtl/>
        </w:rPr>
        <w:t>ועיין בשו"ת דברי נחמיה דף ס"ו שמבאר שרבינו מתרץ מה שנראה סתירה בדברי המחבר דכאן שכתב שמצטרף אף שאינו עונה והוא כדברי המהרי"ל, ולבין מש"כ בסי' קכ"ד פסק כהרא"ש דהוי כברכה לבטלה. ורבינו מתרץ דהכא איירי מדין קדושה ובזה צריך רק י' באותו מקום אף שאינם עונים משא"כ חזרת הש"ץ צריך י' ששומעים דברי הש"ץ (ועיין בציונים לשוע"ר החדשים סי' קכ"ד ס"ק מה. בדיון אם צריך לענות אמן או דסגי בשמיעת דברי החזן). ועיין בקובץ יגדיל תורה חלק י"ח דף 1757 שכתב שכן מדוייק בדברי המחבר שבסי' נ"ה איירי מדין דברים שבקדושה משא"כ סי' קכ"ד איירי מדין חזרת הש"ץ. ועיין בשולחן מנחם (קה"ת) ח"א עמוד סי' ע"ד שהעיקר כמש"כ רבינו בסי' נ"ה שלקדיש אינו צריך תשעה עונים אלא שהיו שם בביהכ"נ אבל לתפילת שמו"ע צריך תשעה עונים, וזהו עיקר אף שהוא במוסגר.</w:t>
      </w:r>
    </w:p>
  </w:footnote>
  <w:footnote w:id="187">
    <w:p w:rsidR="004820B2" w:rsidRPr="00DC59FD" w:rsidRDefault="004820B2" w:rsidP="00DC59FD">
      <w:pPr>
        <w:pStyle w:val="FootnoteText"/>
        <w:rPr>
          <w:rtl/>
        </w:rPr>
      </w:pPr>
      <w:r w:rsidRPr="00DC59FD">
        <w:rPr>
          <w:rStyle w:val="FootnoteReference"/>
          <w:vertAlign w:val="baseline"/>
        </w:rPr>
        <w:footnoteRef/>
      </w:r>
      <w:r>
        <w:rPr>
          <w:rFonts w:hint="cs"/>
          <w:rtl/>
        </w:rPr>
        <w:t>)</w:t>
      </w:r>
      <w:r w:rsidRPr="00DC59FD">
        <w:rPr>
          <w:rtl/>
        </w:rPr>
        <w:t xml:space="preserve"> </w:t>
      </w:r>
      <w:r w:rsidRPr="00DC59FD">
        <w:rPr>
          <w:rFonts w:hint="cs"/>
          <w:rtl/>
        </w:rPr>
        <w:t>סי' נה סט"ו-יז.</w:t>
      </w:r>
    </w:p>
  </w:footnote>
  <w:footnote w:id="188">
    <w:p w:rsidR="004820B2" w:rsidRPr="00DC59FD" w:rsidRDefault="004820B2" w:rsidP="00DC59FD">
      <w:pPr>
        <w:pStyle w:val="FootnoteText"/>
      </w:pPr>
      <w:r w:rsidRPr="00DC59FD">
        <w:rPr>
          <w:rStyle w:val="FootnoteReference"/>
          <w:vertAlign w:val="baseline"/>
        </w:rPr>
        <w:footnoteRef/>
      </w:r>
      <w:r>
        <w:rPr>
          <w:rFonts w:hint="cs"/>
          <w:rtl/>
        </w:rPr>
        <w:t>)</w:t>
      </w:r>
      <w:r w:rsidRPr="00DC59FD">
        <w:rPr>
          <w:rtl/>
        </w:rPr>
        <w:t xml:space="preserve"> </w:t>
      </w:r>
      <w:r w:rsidRPr="00DC59FD">
        <w:rPr>
          <w:rFonts w:hint="cs"/>
          <w:rtl/>
        </w:rPr>
        <w:t>ח"א סי' צו.</w:t>
      </w:r>
    </w:p>
  </w:footnote>
  <w:footnote w:id="189">
    <w:p w:rsidR="004820B2" w:rsidRPr="00DC59FD" w:rsidRDefault="004820B2" w:rsidP="00DC59FD">
      <w:pPr>
        <w:pStyle w:val="FootnoteText"/>
      </w:pPr>
      <w:r w:rsidRPr="00DC59FD">
        <w:rPr>
          <w:rStyle w:val="FootnoteReference"/>
          <w:vertAlign w:val="baseline"/>
        </w:rPr>
        <w:footnoteRef/>
      </w:r>
      <w:r>
        <w:rPr>
          <w:rFonts w:hint="cs"/>
          <w:rtl/>
        </w:rPr>
        <w:t>)</w:t>
      </w:r>
      <w:r w:rsidRPr="00DC59FD">
        <w:rPr>
          <w:rtl/>
        </w:rPr>
        <w:t xml:space="preserve"> </w:t>
      </w:r>
      <w:r w:rsidRPr="00DC59FD">
        <w:rPr>
          <w:rFonts w:hint="cs"/>
          <w:rtl/>
        </w:rPr>
        <w:t>במהדו"ח ציון קיא.</w:t>
      </w:r>
    </w:p>
  </w:footnote>
  <w:footnote w:id="190">
    <w:p w:rsidR="004820B2" w:rsidRPr="00DC59FD" w:rsidRDefault="004820B2" w:rsidP="00DC59FD">
      <w:pPr>
        <w:pStyle w:val="FootnoteText"/>
        <w:rPr>
          <w:rtl/>
        </w:rPr>
      </w:pPr>
      <w:r w:rsidRPr="00DC59FD">
        <w:rPr>
          <w:rStyle w:val="FootnoteReference"/>
          <w:vertAlign w:val="baseline"/>
        </w:rPr>
        <w:footnoteRef/>
      </w:r>
      <w:r>
        <w:rPr>
          <w:rFonts w:hint="cs"/>
          <w:rtl/>
        </w:rPr>
        <w:t>)</w:t>
      </w:r>
      <w:r w:rsidRPr="00DC59FD">
        <w:rPr>
          <w:rtl/>
        </w:rPr>
        <w:t xml:space="preserve"> </w:t>
      </w:r>
      <w:r w:rsidRPr="00DC59FD">
        <w:rPr>
          <w:rFonts w:hint="cs"/>
          <w:rtl/>
        </w:rPr>
        <w:t>סי' נה ס"ק יב.</w:t>
      </w:r>
    </w:p>
  </w:footnote>
  <w:footnote w:id="191">
    <w:p w:rsidR="004820B2" w:rsidRPr="00DC59FD" w:rsidRDefault="004820B2" w:rsidP="00DC59FD">
      <w:pPr>
        <w:pStyle w:val="FootnoteText"/>
        <w:rPr>
          <w:rtl/>
        </w:rPr>
      </w:pPr>
      <w:r w:rsidRPr="00DC59FD">
        <w:rPr>
          <w:rStyle w:val="FootnoteReference"/>
          <w:vertAlign w:val="baseline"/>
        </w:rPr>
        <w:footnoteRef/>
      </w:r>
      <w:r>
        <w:rPr>
          <w:rFonts w:hint="cs"/>
          <w:rtl/>
        </w:rPr>
        <w:t>)</w:t>
      </w:r>
      <w:r w:rsidRPr="00DC59FD">
        <w:rPr>
          <w:rtl/>
        </w:rPr>
        <w:t xml:space="preserve"> </w:t>
      </w:r>
      <w:r w:rsidRPr="00DC59FD">
        <w:rPr>
          <w:rFonts w:hint="cs"/>
          <w:rtl/>
        </w:rPr>
        <w:t xml:space="preserve">בקונטרס השלחן אות י עמ' יג כתב: "המראי מקומות ברוב השולחן ערוך הוא מרבינו ז"ל כו', אולם במקומות שחסרו המראי מקומות מחמת חוסר ההעתקה השלימם מהרי"ל ז"ל". ובמבוא לספר הלכות תלמוד תורה משלחן ערוך אדמו"ר הזקן (אשכנזי) פרק יב הערה 2 כתב: "ביחידות משנת תשכ"ט כאשר דיבר כ"ק אדמו"ר על דבר עריכת מראי מקומות וציונים לשולחן ערוך אדמו"ר הזקן היה לשונו הקדוש: 'המראה מקומות הנמצאים בשולחן ערוך אדמו"ר הזקן הם ברובם מהמהרי"ל או מהצמח צדק'". </w:t>
      </w:r>
    </w:p>
  </w:footnote>
  <w:footnote w:id="192">
    <w:p w:rsidR="004820B2" w:rsidRPr="00DC59FD" w:rsidRDefault="004820B2" w:rsidP="00DC59FD">
      <w:pPr>
        <w:pStyle w:val="FootnoteText"/>
      </w:pPr>
      <w:r w:rsidRPr="00DC59FD">
        <w:rPr>
          <w:rStyle w:val="FootnoteReference"/>
          <w:vertAlign w:val="baseline"/>
        </w:rPr>
        <w:footnoteRef/>
      </w:r>
      <w:r>
        <w:rPr>
          <w:rFonts w:hint="cs"/>
          <w:rtl/>
        </w:rPr>
        <w:t>)</w:t>
      </w:r>
      <w:r w:rsidRPr="00DC59FD">
        <w:rPr>
          <w:rtl/>
        </w:rPr>
        <w:t xml:space="preserve"> </w:t>
      </w:r>
      <w:r w:rsidRPr="00DC59FD">
        <w:rPr>
          <w:rFonts w:hint="cs"/>
          <w:rtl/>
        </w:rPr>
        <w:t>סי' קצה ס"א.</w:t>
      </w:r>
    </w:p>
  </w:footnote>
  <w:footnote w:id="193">
    <w:p w:rsidR="004820B2" w:rsidRPr="00DC59FD" w:rsidRDefault="004820B2" w:rsidP="00DC59FD">
      <w:pPr>
        <w:pStyle w:val="FootnoteText"/>
        <w:rPr>
          <w:rtl/>
        </w:rPr>
      </w:pPr>
      <w:r w:rsidRPr="00DC59FD">
        <w:rPr>
          <w:rStyle w:val="FootnoteReference"/>
          <w:vertAlign w:val="baseline"/>
        </w:rPr>
        <w:footnoteRef/>
      </w:r>
      <w:r>
        <w:rPr>
          <w:rFonts w:hint="cs"/>
          <w:rtl/>
        </w:rPr>
        <w:t>)</w:t>
      </w:r>
      <w:r w:rsidRPr="00DC59FD">
        <w:rPr>
          <w:rtl/>
        </w:rPr>
        <w:t xml:space="preserve"> </w:t>
      </w:r>
      <w:r w:rsidRPr="00DC59FD">
        <w:rPr>
          <w:rFonts w:hint="cs"/>
          <w:rtl/>
        </w:rPr>
        <w:t>סי' קצה ס"א.</w:t>
      </w:r>
    </w:p>
  </w:footnote>
  <w:footnote w:id="194">
    <w:p w:rsidR="004820B2" w:rsidRPr="00DC59FD" w:rsidRDefault="004820B2" w:rsidP="00DC59FD">
      <w:pPr>
        <w:pStyle w:val="FootnoteText"/>
      </w:pPr>
      <w:r w:rsidRPr="00DC59FD">
        <w:rPr>
          <w:rStyle w:val="FootnoteReference"/>
          <w:vertAlign w:val="baseline"/>
        </w:rPr>
        <w:footnoteRef/>
      </w:r>
      <w:r>
        <w:rPr>
          <w:rFonts w:hint="cs"/>
          <w:rtl/>
        </w:rPr>
        <w:t>)</w:t>
      </w:r>
      <w:r w:rsidRPr="00DC59FD">
        <w:rPr>
          <w:rtl/>
        </w:rPr>
        <w:t xml:space="preserve"> </w:t>
      </w:r>
      <w:r w:rsidRPr="00DC59FD">
        <w:rPr>
          <w:rFonts w:hint="cs"/>
          <w:rtl/>
        </w:rPr>
        <w:t>סי' נה אשל אברהם ס"ק יב.</w:t>
      </w:r>
    </w:p>
  </w:footnote>
  <w:footnote w:id="195">
    <w:p w:rsidR="004820B2" w:rsidRPr="00DC59FD" w:rsidRDefault="004820B2" w:rsidP="00DC59FD">
      <w:pPr>
        <w:pStyle w:val="FootnoteText"/>
      </w:pPr>
      <w:r w:rsidRPr="00DC59FD">
        <w:rPr>
          <w:rStyle w:val="FootnoteReference"/>
          <w:vertAlign w:val="baseline"/>
        </w:rPr>
        <w:footnoteRef/>
      </w:r>
      <w:r>
        <w:rPr>
          <w:rFonts w:hint="cs"/>
          <w:rtl/>
        </w:rPr>
        <w:t>)</w:t>
      </w:r>
      <w:r w:rsidRPr="00DC59FD">
        <w:rPr>
          <w:rtl/>
        </w:rPr>
        <w:t xml:space="preserve"> </w:t>
      </w:r>
      <w:r w:rsidRPr="00DC59FD">
        <w:rPr>
          <w:rFonts w:hint="cs"/>
          <w:rtl/>
        </w:rPr>
        <w:t>הפרי מגדים נדפס לראשונה בשנת תקמ"ז בפרנקפורט. ואילו חלק אורח חיים משולחן ערוך אדמו"ר הזקן נתחבר בשנים תקל"א-תקל"ב. ראה 'הקדמת הרבנים בני הגאון המחבר ז"ל' לשולחן ערוך רבינו: "והיתה התחלתו בהיותו יושב בשבת תחכמוני כו' באר את התורה בהלכות ציצית והלכות פסח ושניהם נגמרו שמה עד בואם שמה הני תרי צנתרי דדהבא שבת אחים יחד הגאונים המפורסמים קדושי עליון עמודי עולם הרב מוהר"ר שמעלקא ואחיו הרב מ"ו פנחס נ"ע טרם נסיעתם על כסא הרבנות כו', ובמיעוט שנים ב' נגמר זה החיבור על אורח חיים". ובמהדו"ח דשוע"ר עמ' 9 בשולי הגליון ציונים טז-יז ביארו שביאת האחים הגאונים הנ"ל "היינו בתקופת תשרי תקל"ב", ושתי השנים בהם נגמר החיבור "היינו שנת תקל"א שבה חיבר את הלכות ציצית ופסח ושנת תקל"ב שבה נגמר זה החיבור על אורח חיים".</w:t>
      </w:r>
    </w:p>
  </w:footnote>
  <w:footnote w:id="196">
    <w:p w:rsidR="004820B2" w:rsidRPr="00DC59FD" w:rsidRDefault="004820B2" w:rsidP="00DC59FD">
      <w:pPr>
        <w:pStyle w:val="FootnoteText"/>
        <w:rPr>
          <w:rtl/>
        </w:rPr>
      </w:pPr>
      <w:r w:rsidRPr="00DC59FD">
        <w:rPr>
          <w:rStyle w:val="FootnoteReference"/>
          <w:vertAlign w:val="baseline"/>
        </w:rPr>
        <w:footnoteRef/>
      </w:r>
      <w:r>
        <w:rPr>
          <w:rFonts w:hint="cs"/>
          <w:rtl/>
        </w:rPr>
        <w:t>)</w:t>
      </w:r>
      <w:r w:rsidRPr="00DC59FD">
        <w:rPr>
          <w:rtl/>
        </w:rPr>
        <w:t xml:space="preserve"> </w:t>
      </w:r>
      <w:r w:rsidRPr="00DC59FD">
        <w:rPr>
          <w:rFonts w:hint="cs"/>
          <w:rtl/>
        </w:rPr>
        <w:t>אגרות קודש הרבי, אגרת ב'פט, ח"ז עמ' רכח.</w:t>
      </w:r>
    </w:p>
  </w:footnote>
  <w:footnote w:id="197">
    <w:p w:rsidR="004820B2" w:rsidRPr="00DC59FD" w:rsidRDefault="004820B2" w:rsidP="00DC59FD">
      <w:pPr>
        <w:pStyle w:val="FootnoteText"/>
      </w:pPr>
      <w:r w:rsidRPr="00DC59FD">
        <w:rPr>
          <w:rStyle w:val="FootnoteReference"/>
          <w:vertAlign w:val="baseline"/>
        </w:rPr>
        <w:footnoteRef/>
      </w:r>
      <w:r>
        <w:rPr>
          <w:rFonts w:hint="cs"/>
          <w:rtl/>
        </w:rPr>
        <w:t>)</w:t>
      </w:r>
      <w:r w:rsidRPr="00DC59FD">
        <w:rPr>
          <w:rtl/>
        </w:rPr>
        <w:t xml:space="preserve"> </w:t>
      </w:r>
      <w:r w:rsidRPr="00DC59FD">
        <w:rPr>
          <w:rFonts w:hint="cs"/>
          <w:rtl/>
        </w:rPr>
        <w:t>סי' קצה ס"א.</w:t>
      </w:r>
    </w:p>
  </w:footnote>
  <w:footnote w:id="198">
    <w:p w:rsidR="004820B2" w:rsidRPr="00DC59FD" w:rsidRDefault="004820B2" w:rsidP="00DC59FD">
      <w:pPr>
        <w:pStyle w:val="FootnoteText"/>
      </w:pPr>
      <w:r w:rsidRPr="00DC59FD">
        <w:rPr>
          <w:rStyle w:val="FootnoteReference"/>
          <w:vertAlign w:val="baseline"/>
        </w:rPr>
        <w:footnoteRef/>
      </w:r>
      <w:r>
        <w:rPr>
          <w:rFonts w:hint="cs"/>
          <w:rtl/>
        </w:rPr>
        <w:t>)</w:t>
      </w:r>
      <w:r w:rsidRPr="00DC59FD">
        <w:rPr>
          <w:rtl/>
        </w:rPr>
        <w:t xml:space="preserve"> </w:t>
      </w:r>
      <w:r w:rsidRPr="00DC59FD">
        <w:rPr>
          <w:rFonts w:hint="cs"/>
          <w:rtl/>
        </w:rPr>
        <w:t>סי' נה סט"ו-ס"כ.</w:t>
      </w:r>
    </w:p>
  </w:footnote>
  <w:footnote w:id="199">
    <w:p w:rsidR="004820B2" w:rsidRPr="00DC59FD" w:rsidRDefault="004820B2" w:rsidP="00DC59FD">
      <w:pPr>
        <w:pStyle w:val="FootnoteText"/>
        <w:rPr>
          <w:rtl/>
        </w:rPr>
      </w:pPr>
      <w:r w:rsidRPr="00DC59FD">
        <w:rPr>
          <w:rStyle w:val="FootnoteReference"/>
          <w:vertAlign w:val="baseline"/>
        </w:rPr>
        <w:footnoteRef/>
      </w:r>
      <w:r>
        <w:rPr>
          <w:rFonts w:hint="cs"/>
          <w:rtl/>
        </w:rPr>
        <w:t>)</w:t>
      </w:r>
      <w:r w:rsidRPr="00DC59FD">
        <w:rPr>
          <w:rtl/>
        </w:rPr>
        <w:t xml:space="preserve"> </w:t>
      </w:r>
      <w:r w:rsidRPr="00DC59FD">
        <w:rPr>
          <w:rFonts w:hint="cs"/>
          <w:rtl/>
        </w:rPr>
        <w:t>וראה שוע"ר הלכות קידוש סי' רעג ס"א-ס"ב: "אין קידוש אלא במקום סעודה שאם קידש בבית זה ואכל בבית אחר כו' לא יצא ידי חובתו בקידוש הראשון כו'. ואפילו בבית אחד מחדר לחדר כו', וכן מבית לעליה, או מעליה לבית צריך לחזור ולקדש. במה דברים אמורים, בנמלך, אבל אם כשקידש היה דעתו לאכול בחדר אחר אין צריך לחזור ולקדש אם שני החדרים הם בבית אחד כו'. אבל מבית לבית או מבית לחצר אינו מועיל מה שהיה בדעתו מתחלה על כך וצריך לחזור ולקדש כמו שנתבאר. ומכל מקום אם בשעת אכילתו שם יכול הוא לראות משם את מקומו שקידש בו אפילו דרך חלון ואפילו מקצת מקומו יש אומרים שזה נקרא קידוש במקום סעודה ששני מקומות אלו כמקום אחד לענין קידוש כמו שהן כמקום אחד לענין צירוף לזימון כמו שיתבאר בסימן קצ"ה".</w:t>
      </w:r>
    </w:p>
    <w:p w:rsidR="004820B2" w:rsidRPr="00DC59FD" w:rsidRDefault="004820B2" w:rsidP="00DC59FD">
      <w:pPr>
        <w:pStyle w:val="FootnoteText"/>
        <w:rPr>
          <w:rtl/>
        </w:rPr>
      </w:pPr>
      <w:r w:rsidRPr="00DC59FD">
        <w:rPr>
          <w:rFonts w:hint="cs"/>
          <w:rtl/>
        </w:rPr>
        <w:t>והנה גם כאן מסתבר לומר שכיון שדין צירוף שני המקומות השונים על ידי ראייה בכדי שהקידוש יחשב במקום סעודה נלמד מדין צירוף שני חבורות לזימון על ידי ראייה, כשם שלענין זימון לא מועילה הראייה באם דרך הרבים מפסקת בין שני הבתים, כך גם לענין קידוש במקום סעודה לא תועיל הראייה בכהאי גוונא.</w:t>
      </w:r>
    </w:p>
    <w:p w:rsidR="004820B2" w:rsidRPr="00DC59FD" w:rsidRDefault="004820B2" w:rsidP="00DC59FD">
      <w:pPr>
        <w:pStyle w:val="FootnoteText"/>
        <w:rPr>
          <w:rtl/>
        </w:rPr>
      </w:pPr>
      <w:r w:rsidRPr="00DC59FD">
        <w:rPr>
          <w:rFonts w:hint="cs"/>
          <w:rtl/>
        </w:rPr>
        <w:t>ואכן כך כתב בספר דרך החיים (הלכות שבת דיני קידוש במקום סעודה ס"א), והובאו דבריו במשנה ברורה (שם ס"ק ז. אלא שהם נקטו שלא רק "דרך הרבים" מפסקת, אלא הוא הדין "שביל היחיד קבוע בימות החמה ובימות הגשמים מפסיק ביניהן", והוא על פי דברי הט"ז בסימן קצ"ה ס"ק ב. אבל אדמו"ר הזקן כתב בסימן קצה ס"א "דרך הרבים", ומשמע שלא סבירא ליה כהט"ז לענין שביל היחיד. אבל על כל פנים למדנו מדברי דרך החיים והמשנה ברורה שהשוו דין קידוש במקום סעודה לדין צירוף לזימון, שאם יש דרך המפסקת בין הבתים אינם מצטרפים אפילו על ידי ראייה).</w:t>
      </w:r>
    </w:p>
    <w:p w:rsidR="004820B2" w:rsidRPr="00DC59FD" w:rsidRDefault="004820B2" w:rsidP="00DC59FD">
      <w:pPr>
        <w:pStyle w:val="FootnoteText"/>
        <w:rPr>
          <w:rtl/>
        </w:rPr>
      </w:pPr>
      <w:r w:rsidRPr="00DC59FD">
        <w:rPr>
          <w:rFonts w:hint="cs"/>
          <w:rtl/>
        </w:rPr>
        <w:t>ואין להקשות לפי הטעם המבואר בפנים שבדיני צירוף למנין לא הזכיר אדה"ז את ענין דרך הרבים המפסקת כיון שלא נקט דוגמא של שני בתים, אם כן בסימן רע"ג שהזכיר הדוגמא ד"מבית לבית" מדוע לא כתב שאם "דרך הרבים" מפסקת ביניהם לא מועילה ראייה להיחשב קידוש במקום סעודה.</w:t>
      </w:r>
    </w:p>
    <w:p w:rsidR="004820B2" w:rsidRPr="00DC59FD" w:rsidRDefault="004820B2" w:rsidP="00DC59FD">
      <w:pPr>
        <w:pStyle w:val="FootnoteText"/>
        <w:rPr>
          <w:rtl/>
        </w:rPr>
      </w:pPr>
      <w:r w:rsidRPr="00DC59FD">
        <w:rPr>
          <w:rFonts w:hint="cs"/>
          <w:rtl/>
        </w:rPr>
        <w:t>דיש לומר בפשטות שאדה"ז רמז לכך בבירור במה שכתב "ששני מקומות אלו כמקום אחד לענין קידוש כמו שהן כמקום אחד לענין צירוף לזימן כמו שיתבאר בסימן קצ"ה", וכיון שתולה במפורש את דין צירוף על ידי ראייה לענין קידוש בדין צירוף חבורות על ידי ראייה לענין זימון, מובן מאליו שכשם ששם דרך הרבים מפסקת ומבטלת הצירוף, הוא הדין כאן.</w:t>
      </w:r>
    </w:p>
  </w:footnote>
  <w:footnote w:id="200">
    <w:p w:rsidR="004820B2" w:rsidRPr="00DC59FD" w:rsidRDefault="004820B2" w:rsidP="00DC59FD">
      <w:pPr>
        <w:pStyle w:val="FootnoteText"/>
      </w:pPr>
      <w:r w:rsidRPr="00DC59FD">
        <w:rPr>
          <w:rStyle w:val="FootnoteReference"/>
          <w:vertAlign w:val="baseline"/>
        </w:rPr>
        <w:footnoteRef/>
      </w:r>
      <w:r>
        <w:rPr>
          <w:rFonts w:hint="cs"/>
          <w:rtl/>
        </w:rPr>
        <w:t>)</w:t>
      </w:r>
      <w:r w:rsidRPr="00DC59FD">
        <w:rPr>
          <w:rtl/>
        </w:rPr>
        <w:t xml:space="preserve"> </w:t>
      </w:r>
      <w:r w:rsidRPr="00DC59FD">
        <w:rPr>
          <w:rFonts w:hint="cs"/>
          <w:rtl/>
        </w:rPr>
        <w:t>סי' קסז סי"ז. וכן כתב בסי' קצב ס"א ובסי' ריג ס"ו.</w:t>
      </w:r>
    </w:p>
  </w:footnote>
  <w:footnote w:id="201">
    <w:p w:rsidR="004820B2" w:rsidRPr="00DC59FD" w:rsidRDefault="004820B2" w:rsidP="00DC59FD">
      <w:pPr>
        <w:pStyle w:val="FootnoteText"/>
        <w:rPr>
          <w:rtl/>
        </w:rPr>
      </w:pPr>
      <w:r w:rsidRPr="00DC59FD">
        <w:rPr>
          <w:rStyle w:val="FootnoteReference"/>
          <w:vertAlign w:val="baseline"/>
        </w:rPr>
        <w:footnoteRef/>
      </w:r>
      <w:r>
        <w:rPr>
          <w:rFonts w:hint="cs"/>
          <w:rtl/>
        </w:rPr>
        <w:t>)</w:t>
      </w:r>
      <w:r w:rsidRPr="00DC59FD">
        <w:rPr>
          <w:rtl/>
        </w:rPr>
        <w:t xml:space="preserve"> </w:t>
      </w:r>
      <w:r w:rsidRPr="00DC59FD">
        <w:rPr>
          <w:rFonts w:hint="cs"/>
          <w:rtl/>
        </w:rPr>
        <w:t>על הרי"ף מגילה כג, ב ד"ה אבל הגאונים.</w:t>
      </w:r>
    </w:p>
  </w:footnote>
  <w:footnote w:id="202">
    <w:p w:rsidR="004820B2" w:rsidRPr="00DC59FD" w:rsidRDefault="004820B2" w:rsidP="00DC59FD">
      <w:pPr>
        <w:pStyle w:val="FootnoteText"/>
      </w:pPr>
      <w:r w:rsidRPr="00DC59FD">
        <w:rPr>
          <w:rStyle w:val="FootnoteReference"/>
          <w:vertAlign w:val="baseline"/>
        </w:rPr>
        <w:footnoteRef/>
      </w:r>
      <w:r>
        <w:rPr>
          <w:rFonts w:hint="cs"/>
          <w:rtl/>
        </w:rPr>
        <w:t>)</w:t>
      </w:r>
      <w:r w:rsidRPr="00DC59FD">
        <w:rPr>
          <w:rtl/>
        </w:rPr>
        <w:t xml:space="preserve"> </w:t>
      </w:r>
      <w:r w:rsidRPr="00DC59FD">
        <w:rPr>
          <w:rFonts w:hint="cs"/>
          <w:rtl/>
        </w:rPr>
        <w:t>ראה שוע"ר סי' נה ס"ב: "כל דבר שבקדושה כו' אין אומרים בפחות מעשרה שנאמר ונקדשתי בתוך בני ישראל כו' תוך האמור כאן עדה ואין עדה פחותה מעשרה".</w:t>
      </w:r>
    </w:p>
  </w:footnote>
  <w:footnote w:id="203">
    <w:p w:rsidR="004820B2" w:rsidRPr="00DC59FD" w:rsidRDefault="004820B2" w:rsidP="00DC59FD">
      <w:pPr>
        <w:pStyle w:val="FootnoteText"/>
      </w:pPr>
      <w:r w:rsidRPr="00DC59FD">
        <w:rPr>
          <w:rStyle w:val="FootnoteReference"/>
          <w:vertAlign w:val="baseline"/>
        </w:rPr>
        <w:footnoteRef/>
      </w:r>
      <w:r>
        <w:rPr>
          <w:rFonts w:hint="cs"/>
          <w:rtl/>
        </w:rPr>
        <w:t>)</w:t>
      </w:r>
      <w:r w:rsidRPr="00DC59FD">
        <w:rPr>
          <w:rtl/>
        </w:rPr>
        <w:t xml:space="preserve"> </w:t>
      </w:r>
      <w:r w:rsidRPr="00DC59FD">
        <w:rPr>
          <w:rFonts w:hint="cs"/>
          <w:rtl/>
        </w:rPr>
        <w:t>שוע"ר סי' קצה ס"ב. וראה שם סי' קסז סי"ד וסי' קצב ס"א.</w:t>
      </w:r>
    </w:p>
  </w:footnote>
  <w:footnote w:id="204">
    <w:p w:rsidR="004820B2" w:rsidRPr="00DC59FD" w:rsidRDefault="004820B2" w:rsidP="00DC59FD">
      <w:pPr>
        <w:pStyle w:val="FootnoteText"/>
        <w:rPr>
          <w:rtl/>
        </w:rPr>
      </w:pPr>
      <w:r w:rsidRPr="00DC59FD">
        <w:rPr>
          <w:rStyle w:val="FootnoteReference"/>
          <w:vertAlign w:val="baseline"/>
        </w:rPr>
        <w:footnoteRef/>
      </w:r>
      <w:r>
        <w:rPr>
          <w:rFonts w:hint="cs"/>
          <w:rtl/>
        </w:rPr>
        <w:t>)</w:t>
      </w:r>
      <w:r w:rsidRPr="00DC59FD">
        <w:rPr>
          <w:rFonts w:hint="cs"/>
          <w:rtl/>
        </w:rPr>
        <w:t xml:space="preserve"> שו"ע חו"מ סי' לד סי"ח.</w:t>
      </w:r>
    </w:p>
  </w:footnote>
  <w:footnote w:id="205">
    <w:p w:rsidR="004820B2" w:rsidRPr="00DC59FD" w:rsidRDefault="004820B2" w:rsidP="00DC59FD">
      <w:pPr>
        <w:pStyle w:val="FootnoteText"/>
        <w:rPr>
          <w:rtl/>
        </w:rPr>
      </w:pPr>
      <w:r w:rsidRPr="00DC59FD">
        <w:rPr>
          <w:rStyle w:val="FootnoteReference"/>
          <w:vertAlign w:val="baseline"/>
        </w:rPr>
        <w:footnoteRef/>
      </w:r>
      <w:r>
        <w:rPr>
          <w:rFonts w:hint="cs"/>
          <w:rtl/>
        </w:rPr>
        <w:t>)</w:t>
      </w:r>
      <w:r w:rsidRPr="00DC59FD">
        <w:rPr>
          <w:rtl/>
        </w:rPr>
        <w:t xml:space="preserve"> </w:t>
      </w:r>
      <w:r w:rsidRPr="00DC59FD">
        <w:rPr>
          <w:rFonts w:hint="cs"/>
          <w:rtl/>
        </w:rPr>
        <w:t>סי' צ ס"ה.</w:t>
      </w:r>
    </w:p>
  </w:footnote>
  <w:footnote w:id="206">
    <w:p w:rsidR="004820B2" w:rsidRPr="00DC59FD" w:rsidRDefault="004820B2" w:rsidP="00DC59FD">
      <w:pPr>
        <w:pStyle w:val="FootnoteText"/>
        <w:rPr>
          <w:rtl/>
        </w:rPr>
      </w:pPr>
      <w:r w:rsidRPr="00DC59FD">
        <w:rPr>
          <w:rStyle w:val="FootnoteReference"/>
          <w:vertAlign w:val="baseline"/>
        </w:rPr>
        <w:footnoteRef/>
      </w:r>
      <w:r>
        <w:rPr>
          <w:rFonts w:hint="cs"/>
          <w:rtl/>
        </w:rPr>
        <w:t>)</w:t>
      </w:r>
      <w:r w:rsidRPr="00DC59FD">
        <w:rPr>
          <w:rtl/>
        </w:rPr>
        <w:t xml:space="preserve"> </w:t>
      </w:r>
      <w:r w:rsidRPr="00DC59FD">
        <w:rPr>
          <w:rFonts w:hint="cs"/>
          <w:rtl/>
        </w:rPr>
        <w:t xml:space="preserve">ברכות </w:t>
      </w:r>
      <w:r w:rsidRPr="00DC59FD">
        <w:rPr>
          <w:rtl/>
        </w:rPr>
        <w:t>לז, א מדפי הרי"ף ד"ה אם היה שמש</w:t>
      </w:r>
      <w:r w:rsidRPr="00DC59FD">
        <w:rPr>
          <w:rFonts w:hint="cs"/>
          <w:rtl/>
        </w:rPr>
        <w:t>.</w:t>
      </w:r>
    </w:p>
  </w:footnote>
  <w:footnote w:id="207">
    <w:p w:rsidR="004820B2" w:rsidRPr="00DC59FD" w:rsidRDefault="004820B2" w:rsidP="00DC59FD">
      <w:pPr>
        <w:pStyle w:val="FootnoteText"/>
        <w:rPr>
          <w:rtl/>
        </w:rPr>
      </w:pPr>
      <w:r w:rsidRPr="00DC59FD">
        <w:rPr>
          <w:rStyle w:val="FootnoteReference"/>
          <w:vertAlign w:val="baseline"/>
        </w:rPr>
        <w:footnoteRef/>
      </w:r>
      <w:r>
        <w:rPr>
          <w:rFonts w:hint="cs"/>
          <w:rtl/>
        </w:rPr>
        <w:t>)</w:t>
      </w:r>
      <w:r w:rsidRPr="00DC59FD">
        <w:rPr>
          <w:rtl/>
        </w:rPr>
        <w:t xml:space="preserve"> הלכות ברכת המזון </w:t>
      </w:r>
      <w:r w:rsidRPr="00DC59FD">
        <w:rPr>
          <w:rFonts w:hint="cs"/>
          <w:rtl/>
        </w:rPr>
        <w:t xml:space="preserve">אות </w:t>
      </w:r>
      <w:r w:rsidRPr="00DC59FD">
        <w:rPr>
          <w:rtl/>
        </w:rPr>
        <w:t>לד</w:t>
      </w:r>
      <w:r w:rsidRPr="00DC59FD">
        <w:rPr>
          <w:rFonts w:hint="cs"/>
          <w:rtl/>
        </w:rPr>
        <w:t>. וכן הוא בכלבו דין הלכות ברכת המזון, מהדו"ח עם הערות וביאורים, ח"א עמ' תשה.</w:t>
      </w:r>
    </w:p>
  </w:footnote>
  <w:footnote w:id="208">
    <w:p w:rsidR="004820B2" w:rsidRPr="00DC59FD" w:rsidRDefault="004820B2" w:rsidP="00DC59FD">
      <w:pPr>
        <w:pStyle w:val="FootnoteText"/>
        <w:rPr>
          <w:rtl/>
        </w:rPr>
      </w:pPr>
      <w:r w:rsidRPr="00DC59FD">
        <w:rPr>
          <w:rStyle w:val="FootnoteReference"/>
          <w:vertAlign w:val="baseline"/>
        </w:rPr>
        <w:footnoteRef/>
      </w:r>
      <w:r>
        <w:rPr>
          <w:rFonts w:hint="cs"/>
          <w:rtl/>
        </w:rPr>
        <w:t>)</w:t>
      </w:r>
      <w:r w:rsidRPr="00DC59FD">
        <w:rPr>
          <w:rtl/>
        </w:rPr>
        <w:t xml:space="preserve"> </w:t>
      </w:r>
      <w:r w:rsidRPr="00DC59FD">
        <w:rPr>
          <w:rFonts w:hint="cs"/>
          <w:rtl/>
        </w:rPr>
        <w:t>סי' קצה ס"א.</w:t>
      </w:r>
    </w:p>
  </w:footnote>
  <w:footnote w:id="209">
    <w:p w:rsidR="004820B2" w:rsidRPr="00DC59FD" w:rsidRDefault="004820B2" w:rsidP="00DC59FD">
      <w:pPr>
        <w:pStyle w:val="FootnoteText"/>
        <w:rPr>
          <w:rtl/>
        </w:rPr>
      </w:pPr>
      <w:r w:rsidRPr="00DC59FD">
        <w:rPr>
          <w:rStyle w:val="FootnoteReference"/>
          <w:vertAlign w:val="baseline"/>
        </w:rPr>
        <w:footnoteRef/>
      </w:r>
      <w:r>
        <w:rPr>
          <w:rFonts w:hint="cs"/>
          <w:rtl/>
        </w:rPr>
        <w:t>)</w:t>
      </w:r>
      <w:r w:rsidRPr="00DC59FD">
        <w:rPr>
          <w:rtl/>
        </w:rPr>
        <w:t xml:space="preserve"> </w:t>
      </w:r>
      <w:r w:rsidRPr="00DC59FD">
        <w:rPr>
          <w:rFonts w:hint="cs"/>
          <w:rtl/>
        </w:rPr>
        <w:t>חלק כסא שן, הנהגות הסעודה אות ח. להעיר מהתבטאות הרבי אודות היעב"ץ (</w:t>
      </w:r>
      <w:r w:rsidRPr="00DC59FD">
        <w:rPr>
          <w:rtl/>
        </w:rPr>
        <w:t>תורת מנחם תשמ"ד ח"ב עמ' 1053</w:t>
      </w:r>
      <w:r w:rsidRPr="00DC59FD">
        <w:rPr>
          <w:rFonts w:hint="cs"/>
          <w:rtl/>
        </w:rPr>
        <w:t xml:space="preserve">, בפגישתו עם האדמו"ר רבי פנחס מנחם אלתר מגור): </w:t>
      </w:r>
      <w:r w:rsidRPr="00DC59FD">
        <w:rPr>
          <w:rtl/>
        </w:rPr>
        <w:t>"ר' יעקב עמדין היה מדייק בכל ענין בתכלית הדיוק, עד לדיוק אפילו בנוגע לאותיות כו'"</w:t>
      </w:r>
      <w:r w:rsidRPr="00DC59FD">
        <w:rPr>
          <w:rFonts w:hint="cs"/>
          <w:rtl/>
        </w:rPr>
        <w:t>.</w:t>
      </w:r>
    </w:p>
  </w:footnote>
  <w:footnote w:id="210">
    <w:p w:rsidR="004820B2" w:rsidRPr="00DC59FD" w:rsidRDefault="004820B2" w:rsidP="00DC59FD">
      <w:pPr>
        <w:pStyle w:val="FootnoteText"/>
      </w:pPr>
      <w:r w:rsidRPr="00DC59FD">
        <w:rPr>
          <w:rStyle w:val="FootnoteReference"/>
          <w:vertAlign w:val="baseline"/>
        </w:rPr>
        <w:footnoteRef/>
      </w:r>
      <w:r>
        <w:rPr>
          <w:rFonts w:hint="cs"/>
          <w:rtl/>
        </w:rPr>
        <w:t>)</w:t>
      </w:r>
      <w:r w:rsidRPr="00DC59FD">
        <w:rPr>
          <w:rtl/>
        </w:rPr>
        <w:t xml:space="preserve"> </w:t>
      </w:r>
      <w:r w:rsidRPr="00DC59FD">
        <w:rPr>
          <w:rFonts w:hint="cs"/>
          <w:rtl/>
        </w:rPr>
        <w:t>ו</w:t>
      </w:r>
      <w:r w:rsidRPr="00DC59FD">
        <w:rPr>
          <w:rtl/>
        </w:rPr>
        <w:t>בלשון רבינו הזקן בשולחנו (בדינים שונים): "כל השיעורים שביארנו כו' אינן אלא לכתחלה אבל בדיעבד כו' או בשעת הדחק כו' העמידו דבריהם על דין תורה כו' ויכול לברך עליהם" (סי' יא סל"ב); "בדיעבד כו' יצא, ואף לכתחלה יכול לעשות כן בשעת הדחק" (סי' פט ס"א); "בדיעבד כו' יצא כו' וכן אם הוא שעת הדחק כו' הרי זה כדיעבד ויבדוק לכתחלה בנרות אחרות" (סי' תלג ס"ח); "שבדיעבד מעמידין על עיקר הדין וכן אם הוא שעת הדחק כו' הרי זה כדיעבד" (סי' תנא סנ"ג).</w:t>
      </w:r>
    </w:p>
  </w:footnote>
  <w:footnote w:id="211">
    <w:p w:rsidR="004820B2" w:rsidRPr="00DC59FD" w:rsidRDefault="004820B2" w:rsidP="00DC59FD">
      <w:pPr>
        <w:pStyle w:val="FootnoteText"/>
        <w:rPr>
          <w:rtl/>
        </w:rPr>
      </w:pPr>
      <w:r w:rsidRPr="00DC59FD">
        <w:rPr>
          <w:rStyle w:val="FootnoteReference"/>
          <w:vertAlign w:val="baseline"/>
        </w:rPr>
        <w:footnoteRef/>
      </w:r>
      <w:r>
        <w:rPr>
          <w:rFonts w:hint="cs"/>
          <w:rtl/>
        </w:rPr>
        <w:t>)</w:t>
      </w:r>
      <w:r w:rsidRPr="00DC59FD">
        <w:rPr>
          <w:rtl/>
        </w:rPr>
        <w:t xml:space="preserve"> שו"ת שבות יעקב ח"ג סי' קי</w:t>
      </w:r>
      <w:r w:rsidRPr="00DC59FD">
        <w:rPr>
          <w:rFonts w:hint="cs"/>
          <w:rtl/>
        </w:rPr>
        <w:t>.</w:t>
      </w:r>
    </w:p>
  </w:footnote>
  <w:footnote w:id="212">
    <w:p w:rsidR="004820B2" w:rsidRDefault="004820B2" w:rsidP="00DC59FD">
      <w:pPr>
        <w:pStyle w:val="FootnoteText"/>
        <w:rPr>
          <w:rtl/>
        </w:rPr>
      </w:pPr>
      <w:r w:rsidRPr="00DC59FD">
        <w:rPr>
          <w:rStyle w:val="FootnoteReference"/>
          <w:vertAlign w:val="baseline"/>
        </w:rPr>
        <w:footnoteRef/>
      </w:r>
      <w:r>
        <w:rPr>
          <w:rFonts w:hint="cs"/>
          <w:rtl/>
        </w:rPr>
        <w:t>)</w:t>
      </w:r>
      <w:r w:rsidRPr="00DC59FD">
        <w:rPr>
          <w:rtl/>
        </w:rPr>
        <w:t xml:space="preserve"> </w:t>
      </w:r>
      <w:r w:rsidRPr="00DC59FD">
        <w:rPr>
          <w:rFonts w:hint="cs"/>
          <w:rtl/>
        </w:rPr>
        <w:t>או"ח סי' נה סי"א, הו"ד בשערי תשובה ס"ק (יד)[טו].</w:t>
      </w:r>
    </w:p>
  </w:footnote>
  <w:footnote w:id="213">
    <w:p w:rsidR="004820B2" w:rsidRPr="00A80BCE" w:rsidRDefault="004820B2" w:rsidP="00F50418">
      <w:pPr>
        <w:pStyle w:val="FootnoteText"/>
        <w:rPr>
          <w:rtl/>
        </w:rPr>
      </w:pPr>
      <w:r w:rsidRPr="00A80BCE">
        <w:rPr>
          <w:rStyle w:val="FootnoteReference"/>
          <w:vertAlign w:val="baseline"/>
        </w:rPr>
        <w:footnoteRef/>
      </w:r>
      <w:r>
        <w:rPr>
          <w:rFonts w:hint="cs"/>
          <w:rtl/>
        </w:rPr>
        <w:t>)</w:t>
      </w:r>
      <w:r w:rsidRPr="00A80BCE">
        <w:rPr>
          <w:rFonts w:hint="cs"/>
          <w:rtl/>
        </w:rPr>
        <w:t xml:space="preserve"> בנוגע להוספת השם "ברוך" כש</w:t>
      </w:r>
      <w:r w:rsidRPr="00A80BCE">
        <w:rPr>
          <w:rtl/>
        </w:rPr>
        <w:t>חתן וחמיו שמותיהם שווים</w:t>
      </w:r>
      <w:r w:rsidRPr="00A80BCE">
        <w:rPr>
          <w:rFonts w:hint="cs"/>
          <w:rtl/>
        </w:rPr>
        <w:t xml:space="preserve">, מעניין לציין, שסבו של הרבי, ר' ברוך שניאור זלמן הי' הראשון בניני אדמו"ר הצ"צ שנקרא ע"ש אדמוה"ז, אבל לפני חתונתו עם הרבנית זעלדא רחל בתו של ר' שניאור זלמן חייקין מפודוברנקא, הוא הי' חייב להוסיף שם, שהרי שמו הי' "שניאור זלמן" כשם חמיו, וככל הנראה, הוסיף אז את השם "ברוך" כשם ראשון, </w:t>
      </w:r>
      <w:r w:rsidRPr="00A80BCE">
        <w:rPr>
          <w:rtl/>
        </w:rPr>
        <w:t>ו</w:t>
      </w:r>
      <w:r w:rsidRPr="00A80BCE">
        <w:rPr>
          <w:rFonts w:hint="cs"/>
          <w:rtl/>
        </w:rPr>
        <w:t xml:space="preserve">אילו השם </w:t>
      </w:r>
      <w:r w:rsidRPr="00A80BCE">
        <w:rPr>
          <w:rtl/>
        </w:rPr>
        <w:t>ה</w:t>
      </w:r>
      <w:r w:rsidRPr="00A80BCE">
        <w:rPr>
          <w:rFonts w:hint="cs"/>
          <w:rtl/>
        </w:rPr>
        <w:t>אחרון,</w:t>
      </w:r>
      <w:r w:rsidRPr="00A80BCE">
        <w:rPr>
          <w:rtl/>
        </w:rPr>
        <w:t xml:space="preserve"> </w:t>
      </w:r>
      <w:r w:rsidRPr="00A80BCE">
        <w:rPr>
          <w:rFonts w:hint="cs"/>
          <w:rtl/>
        </w:rPr>
        <w:t>"</w:t>
      </w:r>
      <w:r w:rsidRPr="00A80BCE">
        <w:rPr>
          <w:rtl/>
        </w:rPr>
        <w:t>זלמן</w:t>
      </w:r>
      <w:r w:rsidRPr="00A80BCE">
        <w:rPr>
          <w:rFonts w:hint="cs"/>
          <w:rtl/>
        </w:rPr>
        <w:t>", בו נקרא בעיקר חותנו,</w:t>
      </w:r>
      <w:r w:rsidRPr="00A80BCE">
        <w:rPr>
          <w:rtl/>
        </w:rPr>
        <w:t xml:space="preserve"> </w:t>
      </w:r>
      <w:r w:rsidRPr="00A80BCE">
        <w:rPr>
          <w:rFonts w:hint="cs"/>
          <w:rtl/>
        </w:rPr>
        <w:t>נ</w:t>
      </w:r>
      <w:r w:rsidRPr="00A80BCE">
        <w:rPr>
          <w:rtl/>
        </w:rPr>
        <w:t>שתקע</w:t>
      </w:r>
      <w:r w:rsidRPr="00A80BCE">
        <w:rPr>
          <w:rFonts w:hint="cs"/>
          <w:rtl/>
        </w:rPr>
        <w:t>. - ראה במאמרו של ר' שמואל קראוס, 'בית משיח' גל' 120 עמ' 33.</w:t>
      </w:r>
    </w:p>
  </w:footnote>
  <w:footnote w:id="214">
    <w:p w:rsidR="004820B2" w:rsidRPr="00A80BCE" w:rsidRDefault="004820B2" w:rsidP="00F50418">
      <w:pPr>
        <w:pStyle w:val="FootnoteText"/>
        <w:rPr>
          <w:rtl/>
        </w:rPr>
      </w:pPr>
      <w:r w:rsidRPr="00A80BCE">
        <w:rPr>
          <w:rStyle w:val="FootnoteReference"/>
          <w:vertAlign w:val="baseline"/>
        </w:rPr>
        <w:footnoteRef/>
      </w:r>
      <w:r>
        <w:rPr>
          <w:rFonts w:hint="cs"/>
          <w:rtl/>
        </w:rPr>
        <w:t>)</w:t>
      </w:r>
      <w:r w:rsidRPr="00A80BCE">
        <w:rPr>
          <w:rtl/>
        </w:rPr>
        <w:t xml:space="preserve"> 'דבר מלך' עמ' 68</w:t>
      </w:r>
    </w:p>
  </w:footnote>
  <w:footnote w:id="215">
    <w:p w:rsidR="004820B2" w:rsidRPr="00A80BCE" w:rsidRDefault="004820B2" w:rsidP="00F50418">
      <w:pPr>
        <w:pStyle w:val="FootnoteText"/>
        <w:rPr>
          <w:rtl/>
        </w:rPr>
      </w:pPr>
      <w:r w:rsidRPr="00A80BCE">
        <w:rPr>
          <w:rStyle w:val="FootnoteReference"/>
          <w:vertAlign w:val="baseline"/>
        </w:rPr>
        <w:footnoteRef/>
      </w:r>
      <w:r>
        <w:rPr>
          <w:rFonts w:hint="cs"/>
          <w:rtl/>
        </w:rPr>
        <w:t>)</w:t>
      </w:r>
      <w:r w:rsidRPr="00A80BCE">
        <w:rPr>
          <w:rtl/>
        </w:rPr>
        <w:t xml:space="preserve"> מפי ר' דניאל עמרם.</w:t>
      </w:r>
    </w:p>
  </w:footnote>
  <w:footnote w:id="216">
    <w:p w:rsidR="004820B2" w:rsidRPr="00A80BCE" w:rsidRDefault="004820B2" w:rsidP="00F50418">
      <w:pPr>
        <w:pStyle w:val="FootnoteText"/>
        <w:rPr>
          <w:rtl/>
        </w:rPr>
      </w:pPr>
      <w:r w:rsidRPr="00A80BCE">
        <w:rPr>
          <w:rStyle w:val="FootnoteReference"/>
          <w:vertAlign w:val="baseline"/>
        </w:rPr>
        <w:footnoteRef/>
      </w:r>
      <w:r>
        <w:rPr>
          <w:rFonts w:hint="cs"/>
          <w:rtl/>
        </w:rPr>
        <w:t>)</w:t>
      </w:r>
      <w:r w:rsidRPr="00A80BCE">
        <w:rPr>
          <w:rFonts w:hint="cs"/>
          <w:rtl/>
        </w:rPr>
        <w:t xml:space="preserve"> לאחרונה הי' מקרה כזה, וא' מאנ"ש רצה להוסיף לעצמו את השם של סבו, לאחר שהסבא נפטר, ושאל אחד מרבני אנ"ש שהורה לו שאין לעשות כך. מעניין לברר מה דעתו של הרבי בזה, והאם שייך ללמוד זאת מהמקרה כאן.</w:t>
      </w:r>
    </w:p>
  </w:footnote>
  <w:footnote w:id="217">
    <w:p w:rsidR="004820B2" w:rsidRPr="007E1FDA" w:rsidRDefault="004820B2" w:rsidP="00F50418">
      <w:pPr>
        <w:pStyle w:val="FootnoteText"/>
        <w:rPr>
          <w:rtl/>
        </w:rPr>
      </w:pPr>
      <w:r w:rsidRPr="00A80BCE">
        <w:rPr>
          <w:rStyle w:val="FootnoteReference"/>
          <w:vertAlign w:val="baseline"/>
        </w:rPr>
        <w:footnoteRef/>
      </w:r>
      <w:r>
        <w:rPr>
          <w:rFonts w:hint="cs"/>
          <w:rtl/>
        </w:rPr>
        <w:t>)</w:t>
      </w:r>
      <w:r w:rsidRPr="00A80BCE">
        <w:rPr>
          <w:rtl/>
        </w:rPr>
        <w:t xml:space="preserve"> יש לעיין בזה, שהרי ידוע ש"אין מערבין בין קודש וחול".</w:t>
      </w:r>
    </w:p>
  </w:footnote>
  <w:footnote w:id="218">
    <w:p w:rsidR="004820B2" w:rsidRPr="00A80BCE" w:rsidRDefault="004820B2" w:rsidP="00F50418">
      <w:pPr>
        <w:pStyle w:val="FootnoteText"/>
        <w:rPr>
          <w:rtl/>
        </w:rPr>
      </w:pPr>
      <w:r w:rsidRPr="00A80BCE">
        <w:rPr>
          <w:rStyle w:val="FootnoteReference"/>
          <w:vertAlign w:val="baseline"/>
        </w:rPr>
        <w:footnoteRef/>
      </w:r>
      <w:r>
        <w:rPr>
          <w:rFonts w:hint="cs"/>
          <w:rtl/>
        </w:rPr>
        <w:t>)</w:t>
      </w:r>
      <w:r w:rsidRPr="00A80BCE">
        <w:rPr>
          <w:rtl/>
        </w:rPr>
        <w:t xml:space="preserve"> לאידך ראה 'מאוצר המלך' ח"ג עמ' 181, לחתן וחותנו ששמם "מנחם מענדל", כתב הרבי: "לכתבו בענין השמות - יוסיף לעצמו (בעלי' לתורה, בחתימה וכו') שם בלה"ק", אבל לא ציין שהשם הנוסף יהי' דוקא משמות הרביים.</w:t>
      </w:r>
    </w:p>
    <w:p w:rsidR="004820B2" w:rsidRPr="00A80BCE" w:rsidRDefault="004820B2" w:rsidP="00A80BCE">
      <w:pPr>
        <w:pStyle w:val="FootnoteText"/>
        <w:rPr>
          <w:rtl/>
        </w:rPr>
      </w:pPr>
      <w:bookmarkStart w:id="185" w:name="_Toc39649184"/>
      <w:bookmarkStart w:id="186" w:name="_Toc41488655"/>
      <w:r w:rsidRPr="00A80BCE">
        <w:rPr>
          <w:rtl/>
        </w:rPr>
        <w:t>הנה בנוגע להוספת שם כשהחולה נקרא ע"ש א' הרביים</w:t>
      </w:r>
      <w:bookmarkEnd w:id="185"/>
      <w:bookmarkEnd w:id="186"/>
      <w:r w:rsidRPr="00A80BCE">
        <w:rPr>
          <w:rtl/>
        </w:rPr>
        <w:t>, מסופר מפי המזכיר הריב"ק שבשנות המ"מים הי' ילד בשם "מנחם מענדל" (או שם של אחר משמות הרביים), והי' חולה מסוכן ה"י, ואחד ממשפחתו שאל את הרבי האם להוסיף את השם "חיים" או "רפאל", כנהוג. והרבי ענה "די נאמען אליין וועט העלפען!". מקרה נוסף בתשמ"ז כשא' מאנ"ש בשם "יוסף יצחק" נחלה ורצו להוסיף לו שם, וכשאלו על כך את הרבי, הגיב: "ער האָט דאָך אָ נאָמען נאָכען שווער!" וראה גם ביומנו של הרב מאיר יחיאל הרשקוביץ -</w:t>
      </w:r>
      <w:r w:rsidRPr="00A80BCE">
        <w:rPr>
          <w:rFonts w:hint="cs"/>
          <w:rtl/>
        </w:rPr>
        <w:t xml:space="preserve"> </w:t>
      </w:r>
      <w:r w:rsidRPr="00A80BCE">
        <w:rPr>
          <w:rtl/>
        </w:rPr>
        <w:t>יום ב' ג' שבט תשמ"ז – 'תשורה' רוזנברג (מנחם-אב תשע"ה) עמ' 49.</w:t>
      </w:r>
    </w:p>
  </w:footnote>
  <w:footnote w:id="219">
    <w:p w:rsidR="004820B2" w:rsidRPr="00A80BCE" w:rsidRDefault="004820B2" w:rsidP="00A80BCE">
      <w:pPr>
        <w:pStyle w:val="FootnoteText"/>
        <w:rPr>
          <w:rtl/>
        </w:rPr>
      </w:pPr>
      <w:r w:rsidRPr="00A80BCE">
        <w:rPr>
          <w:rStyle w:val="FootnoteReference"/>
          <w:vertAlign w:val="baseline"/>
        </w:rPr>
        <w:footnoteRef/>
      </w:r>
      <w:r>
        <w:rPr>
          <w:rFonts w:hint="cs"/>
          <w:rtl/>
        </w:rPr>
        <w:t>)</w:t>
      </w:r>
      <w:r w:rsidRPr="00A80BCE">
        <w:rPr>
          <w:rFonts w:hint="cs"/>
          <w:rtl/>
        </w:rPr>
        <w:t xml:space="preserve"> ומכאן כתבו עורכי הספר 'אסיף מנהגים והנהגות </w:t>
      </w:r>
      <w:r w:rsidRPr="00A80BCE">
        <w:rPr>
          <w:rtl/>
        </w:rPr>
        <w:t>–</w:t>
      </w:r>
      <w:r w:rsidRPr="00A80BCE">
        <w:rPr>
          <w:rFonts w:hint="cs"/>
          <w:rtl/>
        </w:rPr>
        <w:t xml:space="preserve"> מעגל החיים' (עמ' 426) שבחירת השם שבחירת השם תהי' דוקא בעצת רב</w:t>
      </w:r>
      <w:r w:rsidRPr="00A80BCE">
        <w:rPr>
          <w:rtl/>
        </w:rPr>
        <w:t xml:space="preserve"> </w:t>
      </w:r>
      <w:r w:rsidRPr="00A80BCE">
        <w:rPr>
          <w:rFonts w:hint="cs"/>
          <w:rtl/>
        </w:rPr>
        <w:t>מורה</w:t>
      </w:r>
      <w:r w:rsidRPr="00A80BCE">
        <w:rPr>
          <w:rtl/>
        </w:rPr>
        <w:t xml:space="preserve"> </w:t>
      </w:r>
      <w:r w:rsidRPr="00A80BCE">
        <w:rPr>
          <w:rFonts w:hint="cs"/>
          <w:rtl/>
        </w:rPr>
        <w:t xml:space="preserve">הוראה, אבל מאידך בעשרות המכתבים והמענות שישנו ע"ד הוספת שם, לא מצינו שהרבי יורה כן, ויתכן שכאן מדובר בבחור בעל תשובה וכדו'. </w:t>
      </w:r>
    </w:p>
  </w:footnote>
  <w:footnote w:id="220">
    <w:p w:rsidR="004820B2" w:rsidRPr="00A80BCE" w:rsidRDefault="004820B2" w:rsidP="00A80BCE">
      <w:pPr>
        <w:pStyle w:val="FootnoteText"/>
        <w:rPr>
          <w:rtl/>
        </w:rPr>
      </w:pPr>
      <w:r w:rsidRPr="00A80BCE">
        <w:rPr>
          <w:rStyle w:val="FootnoteReference"/>
          <w:vertAlign w:val="baseline"/>
        </w:rPr>
        <w:footnoteRef/>
      </w:r>
      <w:r>
        <w:rPr>
          <w:rFonts w:hint="cs"/>
          <w:rtl/>
        </w:rPr>
        <w:t>)</w:t>
      </w:r>
      <w:r w:rsidRPr="00A80BCE">
        <w:rPr>
          <w:rFonts w:hint="cs"/>
          <w:rtl/>
        </w:rPr>
        <w:t xml:space="preserve"> אגב ביומן מחשון תשנ"ג הובא שחתן ששמו כשם חתנו שאל את הרבי להוסיף שם, ואם כן איזה, ורשם ג' שמות. הרבי הניד בראשו הק' לחיוב, והסכים על השם "ישראל".</w:t>
      </w:r>
    </w:p>
  </w:footnote>
  <w:footnote w:id="221">
    <w:p w:rsidR="004820B2" w:rsidRPr="00A80BCE" w:rsidRDefault="004820B2" w:rsidP="00F50418">
      <w:pPr>
        <w:pStyle w:val="FootnoteText"/>
        <w:rPr>
          <w:rtl/>
        </w:rPr>
      </w:pPr>
      <w:r w:rsidRPr="00A80BCE">
        <w:rPr>
          <w:rStyle w:val="FootnoteReference"/>
          <w:vertAlign w:val="baseline"/>
        </w:rPr>
        <w:footnoteRef/>
      </w:r>
      <w:r>
        <w:rPr>
          <w:rFonts w:hint="cs"/>
          <w:rtl/>
        </w:rPr>
        <w:t>)</w:t>
      </w:r>
      <w:r w:rsidRPr="00A80BCE">
        <w:rPr>
          <w:rtl/>
        </w:rPr>
        <w:t xml:space="preserve"> אגרות קודש ח"ד עמ' קס, חי"א עמ' רפו, חט"ו עמ' תקכ, ח"כ עמ' שע ועוד.</w:t>
      </w:r>
    </w:p>
  </w:footnote>
  <w:footnote w:id="222">
    <w:p w:rsidR="004820B2" w:rsidRPr="00A80BCE" w:rsidRDefault="004820B2" w:rsidP="00F50418">
      <w:pPr>
        <w:pStyle w:val="FootnoteText"/>
        <w:rPr>
          <w:rtl/>
        </w:rPr>
      </w:pPr>
      <w:r w:rsidRPr="00A80BCE">
        <w:rPr>
          <w:rStyle w:val="FootnoteReference"/>
          <w:vertAlign w:val="baseline"/>
        </w:rPr>
        <w:footnoteRef/>
      </w:r>
      <w:r>
        <w:rPr>
          <w:rFonts w:hint="cs"/>
          <w:rtl/>
        </w:rPr>
        <w:t>)</w:t>
      </w:r>
      <w:r w:rsidRPr="00A80BCE">
        <w:rPr>
          <w:rtl/>
        </w:rPr>
        <w:t xml:space="preserve"> הנה גם במקרה של הרמ"מ הלוי שי' וולפא (העו"ב שם), השמות לא היו דומות (הוא נקרא "מנחם מענדל חיים" (ע״ש סבו), ושם חותנו הי' "חיים מנחם"), ואכן כששאל על כך את הרבי, הרבי ענה לו: "הרי זה סדר הפוך, ז"א שם אחר, אך כיון שמעורר יוסיף לעצמו השם". ואולי ה"ה במקרה של ר' דובער ח</w:t>
      </w:r>
      <w:r w:rsidRPr="00A80BCE">
        <w:rPr>
          <w:rFonts w:hint="cs"/>
          <w:rtl/>
        </w:rPr>
        <w:t>.</w:t>
      </w:r>
      <w:r w:rsidRPr="00A80BCE">
        <w:rPr>
          <w:rtl/>
        </w:rPr>
        <w:t>, שהיות ששאל על כך, לכן הורה לו הרבי להוסיף שם, אבל מאידך במקרה של ר' בנימין אלטהויז, ההוראה הגיעה מ"אתערותא דלעילא", והוא לא שאל על כך את הרבי.</w:t>
      </w:r>
    </w:p>
  </w:footnote>
  <w:footnote w:id="223">
    <w:p w:rsidR="004820B2" w:rsidRPr="00A80BCE" w:rsidRDefault="004820B2" w:rsidP="00F50418">
      <w:pPr>
        <w:pStyle w:val="FootnoteText"/>
        <w:rPr>
          <w:rtl/>
        </w:rPr>
      </w:pPr>
      <w:r w:rsidRPr="00A80BCE">
        <w:rPr>
          <w:rStyle w:val="FootnoteReference"/>
          <w:vertAlign w:val="baseline"/>
        </w:rPr>
        <w:footnoteRef/>
      </w:r>
      <w:r>
        <w:rPr>
          <w:rFonts w:hint="cs"/>
          <w:rtl/>
        </w:rPr>
        <w:t>)</w:t>
      </w:r>
      <w:r w:rsidRPr="00A80BCE">
        <w:rPr>
          <w:rFonts w:hint="cs"/>
          <w:rtl/>
        </w:rPr>
        <w:t xml:space="preserve"> ראה צוואת</w:t>
      </w:r>
      <w:r w:rsidRPr="00A80BCE">
        <w:rPr>
          <w:rtl/>
        </w:rPr>
        <w:t xml:space="preserve"> </w:t>
      </w:r>
      <w:r w:rsidRPr="00A80BCE">
        <w:rPr>
          <w:rFonts w:hint="cs"/>
          <w:rtl/>
        </w:rPr>
        <w:t>רבי</w:t>
      </w:r>
      <w:r w:rsidRPr="00A80BCE">
        <w:rPr>
          <w:rtl/>
        </w:rPr>
        <w:t xml:space="preserve"> </w:t>
      </w:r>
      <w:r w:rsidRPr="00A80BCE">
        <w:rPr>
          <w:rFonts w:hint="cs"/>
          <w:rtl/>
        </w:rPr>
        <w:t>יהודה</w:t>
      </w:r>
      <w:r w:rsidRPr="00A80BCE">
        <w:rPr>
          <w:rtl/>
        </w:rPr>
        <w:t xml:space="preserve"> </w:t>
      </w:r>
      <w:r w:rsidRPr="00A80BCE">
        <w:rPr>
          <w:rFonts w:hint="cs"/>
          <w:rtl/>
        </w:rPr>
        <w:t xml:space="preserve">החסיד, </w:t>
      </w:r>
      <w:r w:rsidRPr="00A80BCE">
        <w:rPr>
          <w:rtl/>
        </w:rPr>
        <w:t>מהדורת אוצר הפוסקים</w:t>
      </w:r>
      <w:r w:rsidRPr="00A80BCE">
        <w:rPr>
          <w:rFonts w:hint="cs"/>
          <w:rtl/>
        </w:rPr>
        <w:t>,</w:t>
      </w:r>
      <w:r w:rsidRPr="00A80BCE">
        <w:rPr>
          <w:rtl/>
        </w:rPr>
        <w:t xml:space="preserve"> עמ'</w:t>
      </w:r>
      <w:r w:rsidRPr="00A80BCE">
        <w:rPr>
          <w:rFonts w:hint="cs"/>
          <w:rtl/>
        </w:rPr>
        <w:t xml:space="preserve"> רד הערה כא.</w:t>
      </w:r>
    </w:p>
  </w:footnote>
  <w:footnote w:id="224">
    <w:p w:rsidR="004820B2" w:rsidRPr="00A80BCE" w:rsidRDefault="004820B2" w:rsidP="00F50418">
      <w:pPr>
        <w:pStyle w:val="FootnoteText"/>
        <w:rPr>
          <w:rtl/>
        </w:rPr>
      </w:pPr>
      <w:r w:rsidRPr="00A80BCE">
        <w:rPr>
          <w:rStyle w:val="FootnoteReference"/>
          <w:vertAlign w:val="baseline"/>
        </w:rPr>
        <w:footnoteRef/>
      </w:r>
      <w:r>
        <w:rPr>
          <w:rFonts w:hint="cs"/>
          <w:rtl/>
        </w:rPr>
        <w:t>)</w:t>
      </w:r>
      <w:r w:rsidRPr="00A80BCE">
        <w:rPr>
          <w:rtl/>
        </w:rPr>
        <w:t xml:space="preserve"> וראה אגרות קודש אדמו"ר הריי"צ ח"י עמ' קמו - מה שכתב אדמו"ר הריי"צ במכתב מיום ו' ניסן תש"ט, אודות שיווי שמות בין הכלה לחמותה, שלכל א' מהן היו ב' שמות, וא' מהן שם משותף, אך כל א' נקראה בשם אחרת: "אודות שיווי השמות הנה בענין קריאת שמות באופן כזה אין לחשוש כלל וכלל כי שם הקריאה עיקר").</w:t>
      </w:r>
    </w:p>
  </w:footnote>
  <w:footnote w:id="225">
    <w:p w:rsidR="004820B2" w:rsidRPr="00A80BCE" w:rsidRDefault="004820B2" w:rsidP="00F50418">
      <w:pPr>
        <w:pStyle w:val="FootnoteText"/>
        <w:rPr>
          <w:rtl/>
        </w:rPr>
      </w:pPr>
      <w:r w:rsidRPr="00A80BCE">
        <w:rPr>
          <w:rStyle w:val="FootnoteReference"/>
          <w:vertAlign w:val="baseline"/>
        </w:rPr>
        <w:footnoteRef/>
      </w:r>
      <w:r>
        <w:rPr>
          <w:rFonts w:hint="cs"/>
          <w:rtl/>
        </w:rPr>
        <w:t>)</w:t>
      </w:r>
      <w:r w:rsidRPr="00A80BCE">
        <w:rPr>
          <w:rtl/>
        </w:rPr>
        <w:t xml:space="preserve"> ראה 'שידוכין ונישואין' ח"א עמ' עט: "מה שכתב במכתבו בענין השם של המיועד להיות חתן של בת אחותו תחי', שיש לו גם השם מנחם מענדל, הנה ידועה תשובת הצ"צ ופסק דין נשיאנו הק' להלכה למעשה, שאין בזה כל חשש כלל, כיון שנקרא בשם שמואל מנחם מענדל. ובפרט שבכלל קוראים אותו, וכמ"ש במכתבו, בשם מוליע. ובטח גם להבא ינהג ככה לקוראו בשם הראשון. אבל אין לשנות אופן עלית לתורה". וראה גם אג"ק אדמו"ר הריי"צ ח"ד עמ' רטז: "ומעתה יקראו את הכלה תי' בשמה הראשון", ועוד.</w:t>
      </w:r>
    </w:p>
  </w:footnote>
  <w:footnote w:id="226">
    <w:p w:rsidR="004820B2" w:rsidRPr="00A80BCE" w:rsidRDefault="004820B2" w:rsidP="00F50418">
      <w:pPr>
        <w:pStyle w:val="FootnoteText"/>
        <w:rPr>
          <w:rtl/>
        </w:rPr>
      </w:pPr>
      <w:r w:rsidRPr="00A80BCE">
        <w:rPr>
          <w:rStyle w:val="FootnoteReference"/>
          <w:vertAlign w:val="baseline"/>
        </w:rPr>
        <w:footnoteRef/>
      </w:r>
      <w:r>
        <w:rPr>
          <w:rFonts w:hint="cs"/>
          <w:rtl/>
        </w:rPr>
        <w:t>)</w:t>
      </w:r>
      <w:r w:rsidRPr="00A80BCE">
        <w:rPr>
          <w:rFonts w:hint="cs"/>
          <w:rtl/>
        </w:rPr>
        <w:t xml:space="preserve"> ראה</w:t>
      </w:r>
      <w:r w:rsidRPr="00A80BCE">
        <w:rPr>
          <w:rtl/>
        </w:rPr>
        <w:t xml:space="preserve"> </w:t>
      </w:r>
      <w:r w:rsidRPr="00A80BCE">
        <w:rPr>
          <w:rFonts w:hint="cs"/>
          <w:rtl/>
        </w:rPr>
        <w:t>הערות וביאורים גל</w:t>
      </w:r>
      <w:r w:rsidRPr="00A80BCE">
        <w:rPr>
          <w:rtl/>
        </w:rPr>
        <w:t xml:space="preserve">' </w:t>
      </w:r>
      <w:r w:rsidRPr="00A80BCE">
        <w:rPr>
          <w:rFonts w:hint="cs"/>
          <w:rtl/>
        </w:rPr>
        <w:t>תתקעח</w:t>
      </w:r>
      <w:r w:rsidRPr="00A80BCE">
        <w:rPr>
          <w:rtl/>
        </w:rPr>
        <w:t xml:space="preserve"> </w:t>
      </w:r>
      <w:r w:rsidRPr="00A80BCE">
        <w:rPr>
          <w:rFonts w:hint="cs"/>
          <w:rtl/>
        </w:rPr>
        <w:t>עמ</w:t>
      </w:r>
      <w:r w:rsidRPr="00A80BCE">
        <w:rPr>
          <w:rtl/>
        </w:rPr>
        <w:t xml:space="preserve">' 23, </w:t>
      </w:r>
      <w:r w:rsidRPr="00A80BCE">
        <w:rPr>
          <w:rFonts w:hint="cs"/>
          <w:rtl/>
        </w:rPr>
        <w:t>גל</w:t>
      </w:r>
      <w:r w:rsidRPr="00A80BCE">
        <w:rPr>
          <w:rtl/>
        </w:rPr>
        <w:t xml:space="preserve">' </w:t>
      </w:r>
      <w:r w:rsidRPr="00A80BCE">
        <w:rPr>
          <w:rFonts w:hint="cs"/>
          <w:rtl/>
        </w:rPr>
        <w:t>תתקעט</w:t>
      </w:r>
      <w:r w:rsidRPr="00A80BCE">
        <w:rPr>
          <w:rtl/>
        </w:rPr>
        <w:t xml:space="preserve"> </w:t>
      </w:r>
      <w:r w:rsidRPr="00A80BCE">
        <w:rPr>
          <w:rFonts w:hint="cs"/>
          <w:rtl/>
        </w:rPr>
        <w:t>עמ</w:t>
      </w:r>
      <w:r w:rsidRPr="00A80BCE">
        <w:rPr>
          <w:rtl/>
        </w:rPr>
        <w:t xml:space="preserve">' 32  </w:t>
      </w:r>
      <w:r w:rsidRPr="00A80BCE">
        <w:rPr>
          <w:rFonts w:hint="cs"/>
          <w:rtl/>
        </w:rPr>
        <w:t>ועמ</w:t>
      </w:r>
      <w:r w:rsidRPr="00A80BCE">
        <w:rPr>
          <w:rtl/>
        </w:rPr>
        <w:t xml:space="preserve">' </w:t>
      </w:r>
      <w:r w:rsidRPr="00A80BCE">
        <w:rPr>
          <w:rFonts w:hint="cs"/>
          <w:rtl/>
        </w:rPr>
        <w:t>3</w:t>
      </w:r>
      <w:r w:rsidRPr="00A80BCE">
        <w:rPr>
          <w:rtl/>
        </w:rPr>
        <w:t>4</w:t>
      </w:r>
      <w:r w:rsidRPr="00A80BCE">
        <w:rPr>
          <w:rFonts w:hint="cs"/>
          <w:rtl/>
        </w:rPr>
        <w:t>, וראה</w:t>
      </w:r>
      <w:r w:rsidRPr="00A80BCE">
        <w:rPr>
          <w:rtl/>
        </w:rPr>
        <w:t xml:space="preserve"> </w:t>
      </w:r>
      <w:r w:rsidRPr="00A80BCE">
        <w:rPr>
          <w:rFonts w:hint="cs"/>
          <w:rtl/>
        </w:rPr>
        <w:t>מה</w:t>
      </w:r>
      <w:r w:rsidRPr="00A80BCE">
        <w:rPr>
          <w:rtl/>
        </w:rPr>
        <w:t xml:space="preserve"> </w:t>
      </w:r>
      <w:r w:rsidRPr="00A80BCE">
        <w:rPr>
          <w:rFonts w:hint="cs"/>
          <w:rtl/>
        </w:rPr>
        <w:t>שכתב</w:t>
      </w:r>
      <w:r w:rsidRPr="00A80BCE">
        <w:rPr>
          <w:rtl/>
        </w:rPr>
        <w:t xml:space="preserve"> </w:t>
      </w:r>
      <w:r w:rsidRPr="00A80BCE">
        <w:rPr>
          <w:rFonts w:hint="cs"/>
          <w:rtl/>
        </w:rPr>
        <w:t>המזכיר הריל</w:t>
      </w:r>
      <w:r w:rsidRPr="00A80BCE">
        <w:rPr>
          <w:rtl/>
        </w:rPr>
        <w:t>"</w:t>
      </w:r>
      <w:r w:rsidRPr="00A80BCE">
        <w:rPr>
          <w:rFonts w:hint="cs"/>
          <w:rtl/>
        </w:rPr>
        <w:t>ג</w:t>
      </w:r>
      <w:r w:rsidRPr="00A80BCE">
        <w:rPr>
          <w:rtl/>
        </w:rPr>
        <w:t xml:space="preserve"> </w:t>
      </w:r>
      <w:r w:rsidRPr="00A80BCE">
        <w:rPr>
          <w:rFonts w:hint="cs"/>
          <w:rtl/>
        </w:rPr>
        <w:t>בגליון</w:t>
      </w:r>
      <w:r w:rsidRPr="00A80BCE">
        <w:rPr>
          <w:rtl/>
        </w:rPr>
        <w:t xml:space="preserve"> </w:t>
      </w:r>
      <w:r w:rsidRPr="00A80BCE">
        <w:rPr>
          <w:rFonts w:hint="cs"/>
          <w:rtl/>
        </w:rPr>
        <w:t>תתקפ</w:t>
      </w:r>
      <w:r w:rsidRPr="00A80BCE">
        <w:rPr>
          <w:rtl/>
        </w:rPr>
        <w:t xml:space="preserve"> </w:t>
      </w:r>
      <w:r w:rsidRPr="00A80BCE">
        <w:rPr>
          <w:rFonts w:hint="cs"/>
          <w:rtl/>
        </w:rPr>
        <w:t>עמ</w:t>
      </w:r>
      <w:r w:rsidRPr="00A80BCE">
        <w:rPr>
          <w:rtl/>
        </w:rPr>
        <w:t>' 49</w:t>
      </w:r>
    </w:p>
  </w:footnote>
  <w:footnote w:id="227">
    <w:p w:rsidR="004820B2" w:rsidRPr="00A80BCE" w:rsidRDefault="004820B2" w:rsidP="00F50418">
      <w:pPr>
        <w:pStyle w:val="FootnoteText"/>
        <w:rPr>
          <w:rtl/>
        </w:rPr>
      </w:pPr>
      <w:r w:rsidRPr="00A80BCE">
        <w:rPr>
          <w:rStyle w:val="FootnoteReference"/>
          <w:vertAlign w:val="baseline"/>
        </w:rPr>
        <w:footnoteRef/>
      </w:r>
      <w:r>
        <w:rPr>
          <w:rFonts w:hint="cs"/>
          <w:rtl/>
        </w:rPr>
        <w:t>)</w:t>
      </w:r>
      <w:r w:rsidRPr="00A80BCE">
        <w:rPr>
          <w:rtl/>
        </w:rPr>
        <w:t xml:space="preserve"> על מה שהביא בספרו (משנת אברהם ח"א עמ' 9) מה'שבעים תמרים' שמה שכתב הר"י החסיד ש"שני בני אדם ששמותיהם שוים לא יזדווגו יחד בילדיהם", "היינו דוקא על השתווה השמות של המחותנים, אבל לא על שמות של אמהות החתן והכלה, כי מזה אין זכר בצוואה"</w:t>
      </w:r>
    </w:p>
  </w:footnote>
  <w:footnote w:id="228">
    <w:p w:rsidR="004820B2" w:rsidRPr="00F50418" w:rsidRDefault="004820B2" w:rsidP="00F50418">
      <w:pPr>
        <w:pStyle w:val="FootnoteText"/>
        <w:rPr>
          <w:rtl/>
        </w:rPr>
      </w:pPr>
      <w:r w:rsidRPr="00F50418">
        <w:rPr>
          <w:rStyle w:val="FootnoteReference"/>
          <w:vertAlign w:val="baseline"/>
        </w:rPr>
        <w:footnoteRef/>
      </w:r>
      <w:r>
        <w:rPr>
          <w:rFonts w:hint="cs"/>
          <w:rtl/>
        </w:rPr>
        <w:t>)</w:t>
      </w:r>
      <w:r w:rsidRPr="00F50418">
        <w:rPr>
          <w:rtl/>
        </w:rPr>
        <w:t xml:space="preserve"> שו"ת בנין שלמה (ו)</w:t>
      </w:r>
      <w:r w:rsidRPr="00F50418">
        <w:rPr>
          <w:rFonts w:hint="cs"/>
          <w:rtl/>
        </w:rPr>
        <w:t>,</w:t>
      </w:r>
      <w:r w:rsidRPr="00F50418">
        <w:rPr>
          <w:rtl/>
        </w:rPr>
        <w:t xml:space="preserve"> שו"ת דברי חכמים לבעל </w:t>
      </w:r>
      <w:r w:rsidRPr="00F50418">
        <w:rPr>
          <w:rFonts w:hint="cs"/>
          <w:rtl/>
        </w:rPr>
        <w:t>ה</w:t>
      </w:r>
      <w:r w:rsidRPr="00F50418">
        <w:rPr>
          <w:rtl/>
        </w:rPr>
        <w:t>שדי חמד (סד)</w:t>
      </w:r>
      <w:r w:rsidRPr="00F50418">
        <w:rPr>
          <w:rFonts w:hint="cs"/>
          <w:rtl/>
        </w:rPr>
        <w:t>, שו"ת בית אפרים (אורח-חיים ו) ועוד.</w:t>
      </w:r>
      <w:r w:rsidRPr="00F50418">
        <w:rPr>
          <w:rtl/>
        </w:rPr>
        <w:t xml:space="preserve"> </w:t>
      </w:r>
    </w:p>
  </w:footnote>
  <w:footnote w:id="229">
    <w:p w:rsidR="004820B2" w:rsidRPr="00502173" w:rsidRDefault="004820B2" w:rsidP="00502173">
      <w:pPr>
        <w:pStyle w:val="FootnoteText"/>
        <w:rPr>
          <w:rtl/>
        </w:rPr>
      </w:pPr>
      <w:r w:rsidRPr="00502173">
        <w:rPr>
          <w:rStyle w:val="FootnoteReference"/>
          <w:vertAlign w:val="baseline"/>
        </w:rPr>
        <w:footnoteRef/>
      </w:r>
      <w:r>
        <w:rPr>
          <w:rFonts w:hint="cs"/>
          <w:rtl/>
        </w:rPr>
        <w:t>)</w:t>
      </w:r>
      <w:r w:rsidRPr="00502173">
        <w:rPr>
          <w:rtl/>
        </w:rPr>
        <w:t xml:space="preserve"> </w:t>
      </w:r>
      <w:r w:rsidRPr="00502173">
        <w:rPr>
          <w:rFonts w:hint="cs"/>
          <w:rtl/>
        </w:rPr>
        <w:t>ראה בכ"ז בארוכה בטור סי' נ"ט ובב"י ובב"ח על אתר.</w:t>
      </w:r>
    </w:p>
  </w:footnote>
  <w:footnote w:id="230">
    <w:p w:rsidR="004820B2" w:rsidRPr="00F50418" w:rsidRDefault="004820B2" w:rsidP="00F50418">
      <w:pPr>
        <w:pStyle w:val="FootnoteText"/>
        <w:rPr>
          <w:rtl/>
        </w:rPr>
      </w:pPr>
      <w:r w:rsidRPr="00F50418">
        <w:rPr>
          <w:rStyle w:val="FootnoteReference"/>
          <w:vertAlign w:val="baseline"/>
        </w:rPr>
        <w:footnoteRef/>
      </w:r>
      <w:r>
        <w:rPr>
          <w:rFonts w:hint="cs"/>
          <w:rtl/>
        </w:rPr>
        <w:t>)</w:t>
      </w:r>
      <w:r w:rsidRPr="00F50418">
        <w:rPr>
          <w:rtl/>
        </w:rPr>
        <w:t xml:space="preserve"> </w:t>
      </w:r>
      <w:r w:rsidRPr="00F50418">
        <w:rPr>
          <w:rFonts w:hint="cs"/>
          <w:rtl/>
        </w:rPr>
        <w:t>סי' נ"ט ס"א.</w:t>
      </w:r>
    </w:p>
  </w:footnote>
  <w:footnote w:id="231">
    <w:p w:rsidR="004820B2" w:rsidRPr="00F50418" w:rsidRDefault="004820B2" w:rsidP="00F50418">
      <w:pPr>
        <w:pStyle w:val="FootnoteText"/>
        <w:rPr>
          <w:rtl/>
        </w:rPr>
      </w:pPr>
      <w:r w:rsidRPr="00F50418">
        <w:rPr>
          <w:rStyle w:val="FootnoteReference"/>
          <w:vertAlign w:val="baseline"/>
        </w:rPr>
        <w:footnoteRef/>
      </w:r>
      <w:r>
        <w:rPr>
          <w:rFonts w:hint="cs"/>
          <w:rtl/>
        </w:rPr>
        <w:t>)</w:t>
      </w:r>
      <w:r w:rsidRPr="00F50418">
        <w:rPr>
          <w:rtl/>
        </w:rPr>
        <w:t xml:space="preserve"> </w:t>
      </w:r>
      <w:r w:rsidRPr="00F50418">
        <w:rPr>
          <w:rFonts w:hint="cs"/>
          <w:rtl/>
        </w:rPr>
        <w:t>ס"ו.</w:t>
      </w:r>
    </w:p>
  </w:footnote>
  <w:footnote w:id="232">
    <w:p w:rsidR="004820B2" w:rsidRPr="00502173" w:rsidRDefault="004820B2" w:rsidP="00502173">
      <w:pPr>
        <w:pStyle w:val="FootnoteText"/>
        <w:rPr>
          <w:rtl/>
        </w:rPr>
      </w:pPr>
      <w:r w:rsidRPr="00502173">
        <w:rPr>
          <w:rStyle w:val="FootnoteReference"/>
          <w:vertAlign w:val="baseline"/>
        </w:rPr>
        <w:footnoteRef/>
      </w:r>
      <w:r>
        <w:rPr>
          <w:rFonts w:hint="cs"/>
          <w:rtl/>
        </w:rPr>
        <w:t>)</w:t>
      </w:r>
      <w:r w:rsidRPr="00502173">
        <w:rPr>
          <w:rtl/>
        </w:rPr>
        <w:t xml:space="preserve"> </w:t>
      </w:r>
      <w:r w:rsidRPr="00502173">
        <w:rPr>
          <w:rFonts w:hint="cs"/>
          <w:rtl/>
        </w:rPr>
        <w:t>קי"ד ס"ח.</w:t>
      </w:r>
    </w:p>
  </w:footnote>
  <w:footnote w:id="233">
    <w:p w:rsidR="004820B2" w:rsidRPr="00502173" w:rsidRDefault="004820B2" w:rsidP="00502173">
      <w:pPr>
        <w:pStyle w:val="FootnoteText"/>
      </w:pPr>
      <w:r w:rsidRPr="00502173">
        <w:rPr>
          <w:rStyle w:val="FootnoteReference"/>
          <w:vertAlign w:val="baseline"/>
        </w:rPr>
        <w:footnoteRef/>
      </w:r>
      <w:r>
        <w:rPr>
          <w:rFonts w:hint="cs"/>
          <w:rtl/>
        </w:rPr>
        <w:t>)</w:t>
      </w:r>
      <w:r w:rsidRPr="00502173">
        <w:rPr>
          <w:rtl/>
        </w:rPr>
        <w:t xml:space="preserve"> </w:t>
      </w:r>
      <w:r w:rsidRPr="00502173">
        <w:rPr>
          <w:rFonts w:hint="cs"/>
          <w:rtl/>
        </w:rPr>
        <w:t>בברכות הסמוכות שלא פותחות בברוך ושינה בפתיחה א"צ לחזור, דדינה כמו אמצע ברכה. ראה שו"ע אדה"ז שם.</w:t>
      </w:r>
    </w:p>
  </w:footnote>
  <w:footnote w:id="234">
    <w:p w:rsidR="004820B2" w:rsidRPr="00502173" w:rsidRDefault="004820B2" w:rsidP="00502173">
      <w:pPr>
        <w:pStyle w:val="FootnoteText"/>
      </w:pPr>
      <w:r w:rsidRPr="00502173">
        <w:rPr>
          <w:rStyle w:val="FootnoteReference"/>
          <w:vertAlign w:val="baseline"/>
        </w:rPr>
        <w:footnoteRef/>
      </w:r>
      <w:r>
        <w:rPr>
          <w:rFonts w:hint="cs"/>
          <w:rtl/>
        </w:rPr>
        <w:t>)</w:t>
      </w:r>
      <w:r w:rsidRPr="00502173">
        <w:rPr>
          <w:rtl/>
        </w:rPr>
        <w:t xml:space="preserve"> </w:t>
      </w:r>
      <w:r w:rsidRPr="00502173">
        <w:rPr>
          <w:rFonts w:hint="cs"/>
          <w:rtl/>
        </w:rPr>
        <w:t>הגהות על הטור סי' תפ"ז.</w:t>
      </w:r>
    </w:p>
  </w:footnote>
  <w:footnote w:id="235">
    <w:p w:rsidR="004820B2" w:rsidRPr="00502173" w:rsidRDefault="004820B2" w:rsidP="00502173">
      <w:pPr>
        <w:pStyle w:val="FootnoteText"/>
        <w:rPr>
          <w:rtl/>
        </w:rPr>
      </w:pPr>
      <w:r w:rsidRPr="00502173">
        <w:rPr>
          <w:rStyle w:val="FootnoteReference"/>
          <w:vertAlign w:val="baseline"/>
        </w:rPr>
        <w:footnoteRef/>
      </w:r>
      <w:r>
        <w:rPr>
          <w:rFonts w:hint="cs"/>
          <w:rtl/>
        </w:rPr>
        <w:t>)</w:t>
      </w:r>
      <w:r w:rsidRPr="00502173">
        <w:rPr>
          <w:rtl/>
        </w:rPr>
        <w:t xml:space="preserve"> </w:t>
      </w:r>
      <w:r w:rsidRPr="00502173">
        <w:rPr>
          <w:rFonts w:hint="cs"/>
          <w:rtl/>
        </w:rPr>
        <w:t>סק"ד.</w:t>
      </w:r>
    </w:p>
  </w:footnote>
  <w:footnote w:id="236">
    <w:p w:rsidR="004820B2" w:rsidRPr="00502173" w:rsidRDefault="004820B2" w:rsidP="00502173">
      <w:pPr>
        <w:pStyle w:val="FootnoteText"/>
        <w:rPr>
          <w:rtl/>
        </w:rPr>
      </w:pPr>
      <w:r w:rsidRPr="00502173">
        <w:rPr>
          <w:rStyle w:val="FootnoteReference"/>
          <w:vertAlign w:val="baseline"/>
        </w:rPr>
        <w:footnoteRef/>
      </w:r>
      <w:r>
        <w:rPr>
          <w:rFonts w:hint="cs"/>
          <w:rtl/>
        </w:rPr>
        <w:t>)</w:t>
      </w:r>
      <w:r w:rsidRPr="00502173">
        <w:rPr>
          <w:rtl/>
        </w:rPr>
        <w:t xml:space="preserve"> </w:t>
      </w:r>
      <w:r w:rsidRPr="00502173">
        <w:rPr>
          <w:rFonts w:hint="cs"/>
          <w:rtl/>
        </w:rPr>
        <w:t>ברכות כא, א.</w:t>
      </w:r>
    </w:p>
  </w:footnote>
  <w:footnote w:id="237">
    <w:p w:rsidR="004820B2" w:rsidRPr="00502173" w:rsidRDefault="004820B2" w:rsidP="00502173">
      <w:pPr>
        <w:pStyle w:val="FootnoteText"/>
      </w:pPr>
      <w:r w:rsidRPr="00502173">
        <w:rPr>
          <w:rStyle w:val="FootnoteReference"/>
          <w:vertAlign w:val="baseline"/>
        </w:rPr>
        <w:footnoteRef/>
      </w:r>
      <w:r>
        <w:rPr>
          <w:rFonts w:hint="cs"/>
          <w:rtl/>
        </w:rPr>
        <w:t>)</w:t>
      </w:r>
      <w:r w:rsidRPr="00502173">
        <w:rPr>
          <w:rtl/>
        </w:rPr>
        <w:t xml:space="preserve"> </w:t>
      </w:r>
      <w:r w:rsidRPr="00502173">
        <w:rPr>
          <w:rFonts w:hint="cs"/>
          <w:rtl/>
        </w:rPr>
        <w:t>סי' תפ"ז ס"א ד"ה "ומ"ש דחותם".</w:t>
      </w:r>
    </w:p>
  </w:footnote>
  <w:footnote w:id="238">
    <w:p w:rsidR="004820B2" w:rsidRPr="00502173" w:rsidRDefault="004820B2" w:rsidP="00502173">
      <w:pPr>
        <w:pStyle w:val="FootnoteText"/>
        <w:rPr>
          <w:rtl/>
        </w:rPr>
      </w:pPr>
      <w:r w:rsidRPr="00502173">
        <w:rPr>
          <w:rStyle w:val="FootnoteReference"/>
          <w:vertAlign w:val="baseline"/>
        </w:rPr>
        <w:footnoteRef/>
      </w:r>
      <w:r>
        <w:rPr>
          <w:rFonts w:hint="cs"/>
          <w:rtl/>
        </w:rPr>
        <w:t>)</w:t>
      </w:r>
      <w:r w:rsidRPr="00502173">
        <w:rPr>
          <w:rtl/>
        </w:rPr>
        <w:t xml:space="preserve"> </w:t>
      </w:r>
      <w:r w:rsidRPr="00502173">
        <w:rPr>
          <w:rFonts w:hint="cs"/>
          <w:rtl/>
        </w:rPr>
        <w:t>מט, א.</w:t>
      </w:r>
    </w:p>
  </w:footnote>
  <w:footnote w:id="239">
    <w:p w:rsidR="004820B2" w:rsidRPr="00502173" w:rsidRDefault="004820B2" w:rsidP="00502173">
      <w:pPr>
        <w:pStyle w:val="FootnoteText"/>
        <w:rPr>
          <w:rtl/>
        </w:rPr>
      </w:pPr>
      <w:r w:rsidRPr="00502173">
        <w:rPr>
          <w:rStyle w:val="FootnoteReference"/>
          <w:vertAlign w:val="baseline"/>
        </w:rPr>
        <w:footnoteRef/>
      </w:r>
      <w:r>
        <w:rPr>
          <w:rFonts w:hint="cs"/>
          <w:rtl/>
        </w:rPr>
        <w:t>)</w:t>
      </w:r>
      <w:r w:rsidRPr="00502173">
        <w:rPr>
          <w:rtl/>
        </w:rPr>
        <w:t xml:space="preserve"> </w:t>
      </w:r>
      <w:r w:rsidRPr="00502173">
        <w:rPr>
          <w:rFonts w:hint="cs"/>
          <w:rtl/>
        </w:rPr>
        <w:t>רש"י שם.</w:t>
      </w:r>
    </w:p>
  </w:footnote>
  <w:footnote w:id="240">
    <w:p w:rsidR="004820B2" w:rsidRPr="00502173" w:rsidRDefault="004820B2" w:rsidP="00502173">
      <w:pPr>
        <w:pStyle w:val="FootnoteText"/>
      </w:pPr>
      <w:r w:rsidRPr="00502173">
        <w:rPr>
          <w:rStyle w:val="FootnoteReference"/>
          <w:vertAlign w:val="baseline"/>
        </w:rPr>
        <w:footnoteRef/>
      </w:r>
      <w:r>
        <w:rPr>
          <w:rFonts w:hint="cs"/>
          <w:rtl/>
        </w:rPr>
        <w:t>)</w:t>
      </w:r>
      <w:r w:rsidRPr="00502173">
        <w:rPr>
          <w:rtl/>
        </w:rPr>
        <w:t xml:space="preserve"> </w:t>
      </w:r>
      <w:r w:rsidRPr="00502173">
        <w:rPr>
          <w:rFonts w:hint="cs"/>
          <w:rtl/>
        </w:rPr>
        <w:t>נלקטו בספר "מ"מ לפרק שלושה שאכלו" על אתר.</w:t>
      </w:r>
    </w:p>
  </w:footnote>
  <w:footnote w:id="241">
    <w:p w:rsidR="004820B2" w:rsidRPr="00502173" w:rsidRDefault="004820B2" w:rsidP="00502173">
      <w:pPr>
        <w:pStyle w:val="FootnoteText"/>
        <w:rPr>
          <w:rtl/>
        </w:rPr>
      </w:pPr>
      <w:r w:rsidRPr="00502173">
        <w:rPr>
          <w:rStyle w:val="FootnoteReference"/>
          <w:vertAlign w:val="baseline"/>
        </w:rPr>
        <w:footnoteRef/>
      </w:r>
      <w:r>
        <w:rPr>
          <w:rFonts w:hint="cs"/>
          <w:rtl/>
        </w:rPr>
        <w:t>)</w:t>
      </w:r>
      <w:r w:rsidRPr="00502173">
        <w:rPr>
          <w:rtl/>
        </w:rPr>
        <w:t xml:space="preserve"> </w:t>
      </w:r>
      <w:r w:rsidRPr="00502173">
        <w:rPr>
          <w:rFonts w:hint="cs"/>
          <w:rtl/>
        </w:rPr>
        <w:t>ד"ה חוץ. וכ"ה בכו"כ ראשונים, ראה ספר המכתם, חידושי הריטב"א, חידושי הרשב"א, ועוד.</w:t>
      </w:r>
    </w:p>
  </w:footnote>
  <w:footnote w:id="242">
    <w:p w:rsidR="004820B2" w:rsidRPr="00502173" w:rsidRDefault="004820B2" w:rsidP="00502173">
      <w:pPr>
        <w:pStyle w:val="FootnoteText"/>
        <w:rPr>
          <w:rtl/>
        </w:rPr>
      </w:pPr>
      <w:r w:rsidRPr="00502173">
        <w:rPr>
          <w:rStyle w:val="FootnoteReference"/>
          <w:vertAlign w:val="baseline"/>
        </w:rPr>
        <w:footnoteRef/>
      </w:r>
      <w:r>
        <w:rPr>
          <w:rFonts w:hint="cs"/>
          <w:rtl/>
        </w:rPr>
        <w:t>)</w:t>
      </w:r>
      <w:r w:rsidRPr="00502173">
        <w:rPr>
          <w:rtl/>
        </w:rPr>
        <w:t xml:space="preserve"> </w:t>
      </w:r>
      <w:r w:rsidRPr="00502173">
        <w:rPr>
          <w:rFonts w:hint="cs"/>
          <w:rtl/>
        </w:rPr>
        <w:t>ראה שם ברש"י שהקשה עליו, ובר"י מלוניל, ועוד. וראה בראשון לציון על אתר ד"ה ובה"ג שמתרץ הקושיות עליו.</w:t>
      </w:r>
    </w:p>
  </w:footnote>
  <w:footnote w:id="243">
    <w:p w:rsidR="004820B2" w:rsidRPr="00502173" w:rsidRDefault="004820B2" w:rsidP="00502173">
      <w:pPr>
        <w:pStyle w:val="FootnoteText"/>
      </w:pPr>
      <w:r w:rsidRPr="00502173">
        <w:rPr>
          <w:rStyle w:val="FootnoteReference"/>
          <w:vertAlign w:val="baseline"/>
        </w:rPr>
        <w:footnoteRef/>
      </w:r>
      <w:r>
        <w:rPr>
          <w:rFonts w:hint="cs"/>
          <w:rtl/>
        </w:rPr>
        <w:t>)</w:t>
      </w:r>
      <w:r w:rsidRPr="00502173">
        <w:rPr>
          <w:rtl/>
        </w:rPr>
        <w:t xml:space="preserve"> </w:t>
      </w:r>
      <w:r w:rsidRPr="00502173">
        <w:rPr>
          <w:rFonts w:hint="cs"/>
          <w:rtl/>
        </w:rPr>
        <w:t>הובא ב"מ"מ לפרק שלושה שאכלו" שם.</w:t>
      </w:r>
    </w:p>
  </w:footnote>
  <w:footnote w:id="244">
    <w:p w:rsidR="004820B2" w:rsidRPr="00502173" w:rsidRDefault="004820B2" w:rsidP="00502173">
      <w:pPr>
        <w:pStyle w:val="FootnoteText"/>
      </w:pPr>
      <w:r w:rsidRPr="00502173">
        <w:rPr>
          <w:rStyle w:val="FootnoteReference"/>
          <w:vertAlign w:val="baseline"/>
        </w:rPr>
        <w:footnoteRef/>
      </w:r>
      <w:r>
        <w:rPr>
          <w:rFonts w:hint="cs"/>
          <w:rtl/>
        </w:rPr>
        <w:t>)</w:t>
      </w:r>
      <w:r w:rsidRPr="00502173">
        <w:rPr>
          <w:rtl/>
        </w:rPr>
        <w:t xml:space="preserve"> </w:t>
      </w:r>
      <w:r w:rsidRPr="00502173">
        <w:rPr>
          <w:rFonts w:hint="cs"/>
          <w:rtl/>
        </w:rPr>
        <w:t xml:space="preserve">וראה בחידושי בתרא על המסביר </w:t>
      </w:r>
      <w:r w:rsidRPr="00502173">
        <w:rPr>
          <w:rtl/>
        </w:rPr>
        <w:t>–</w:t>
      </w:r>
      <w:r w:rsidRPr="00502173">
        <w:rPr>
          <w:rFonts w:hint="cs"/>
          <w:rtl/>
        </w:rPr>
        <w:t xml:space="preserve"> ברכות אות שעה שהקשה עליו.</w:t>
      </w:r>
    </w:p>
  </w:footnote>
  <w:footnote w:id="245">
    <w:p w:rsidR="004820B2" w:rsidRPr="00502173" w:rsidRDefault="004820B2" w:rsidP="00502173">
      <w:pPr>
        <w:pStyle w:val="FootnoteText"/>
        <w:rPr>
          <w:rtl/>
        </w:rPr>
      </w:pPr>
      <w:r w:rsidRPr="00502173">
        <w:rPr>
          <w:rStyle w:val="FootnoteReference"/>
          <w:vertAlign w:val="baseline"/>
        </w:rPr>
        <w:footnoteRef/>
      </w:r>
      <w:r>
        <w:rPr>
          <w:rFonts w:hint="cs"/>
          <w:rtl/>
        </w:rPr>
        <w:t>)</w:t>
      </w:r>
      <w:r w:rsidRPr="00502173">
        <w:rPr>
          <w:rtl/>
        </w:rPr>
        <w:t xml:space="preserve"> </w:t>
      </w:r>
      <w:r w:rsidRPr="00502173">
        <w:rPr>
          <w:rFonts w:hint="cs"/>
          <w:rtl/>
        </w:rPr>
        <w:t xml:space="preserve">או כדברי הראשל"צ שם, שמלכתחילה סברה הגמ' שאפשר לחתום בשתים, אלא שאם החתימה היא בדבר אחד אין טעם לכפול בשני ענינים, וזוהי כוונת הגמ' "אין כופלים בשתים". ולכן, ב"מושיע ישראל ובונה ירושלים" אין טעם לכפול שהרי זה מדבר על עניין אחד, משא"כ במקדש השבת ישראל והזמנים שהקב"ה קידש כל אחד קדושה נפרדת, שאז אין בעיה לכפול. ולפ"ז יוצא פירוש טעם הגמ' "אין עושים מצוות חבילות" בצורה קצת שונה, שלא עושים במצווה עצמה חבילות </w:t>
      </w:r>
      <w:r w:rsidRPr="00502173">
        <w:rPr>
          <w:rtl/>
        </w:rPr>
        <w:t>–</w:t>
      </w:r>
      <w:r w:rsidRPr="00502173">
        <w:rPr>
          <w:rFonts w:hint="cs"/>
          <w:rtl/>
        </w:rPr>
        <w:t xml:space="preserve"> נוסח כפול, ולא כהפי' הפשוט שלא מערבין שתי מצוות ביחד.</w:t>
      </w:r>
    </w:p>
  </w:footnote>
  <w:footnote w:id="246">
    <w:p w:rsidR="004820B2" w:rsidRPr="00502173" w:rsidRDefault="004820B2" w:rsidP="00502173">
      <w:pPr>
        <w:pStyle w:val="FootnoteText"/>
      </w:pPr>
      <w:r w:rsidRPr="00502173">
        <w:rPr>
          <w:rStyle w:val="FootnoteReference"/>
          <w:vertAlign w:val="baseline"/>
        </w:rPr>
        <w:footnoteRef/>
      </w:r>
      <w:r>
        <w:rPr>
          <w:rFonts w:hint="cs"/>
          <w:rtl/>
        </w:rPr>
        <w:t>)</w:t>
      </w:r>
      <w:r w:rsidRPr="00502173">
        <w:rPr>
          <w:rtl/>
        </w:rPr>
        <w:t xml:space="preserve"> </w:t>
      </w:r>
      <w:r w:rsidRPr="00502173">
        <w:rPr>
          <w:rFonts w:hint="cs"/>
          <w:rtl/>
        </w:rPr>
        <w:t>תפ"ז ס"ג.</w:t>
      </w:r>
    </w:p>
  </w:footnote>
  <w:footnote w:id="247">
    <w:p w:rsidR="004820B2" w:rsidRPr="00502173" w:rsidRDefault="004820B2" w:rsidP="00502173">
      <w:pPr>
        <w:pStyle w:val="FootnoteText"/>
      </w:pPr>
      <w:r w:rsidRPr="00502173">
        <w:rPr>
          <w:rStyle w:val="FootnoteReference"/>
          <w:vertAlign w:val="baseline"/>
        </w:rPr>
        <w:footnoteRef/>
      </w:r>
      <w:r>
        <w:rPr>
          <w:rFonts w:hint="cs"/>
          <w:rtl/>
        </w:rPr>
        <w:t>)</w:t>
      </w:r>
      <w:r w:rsidRPr="00502173">
        <w:rPr>
          <w:rFonts w:hint="cs"/>
          <w:rtl/>
        </w:rPr>
        <w:t xml:space="preserve"> קי"ט ס"ד.</w:t>
      </w:r>
    </w:p>
  </w:footnote>
  <w:footnote w:id="248">
    <w:p w:rsidR="004820B2" w:rsidRDefault="004820B2" w:rsidP="00502173">
      <w:pPr>
        <w:pStyle w:val="FootnoteText"/>
      </w:pPr>
      <w:r w:rsidRPr="00502173">
        <w:rPr>
          <w:rStyle w:val="FootnoteReference"/>
          <w:vertAlign w:val="baseline"/>
        </w:rPr>
        <w:footnoteRef/>
      </w:r>
      <w:r>
        <w:rPr>
          <w:rFonts w:hint="cs"/>
          <w:rtl/>
        </w:rPr>
        <w:t>)</w:t>
      </w:r>
      <w:r w:rsidRPr="00502173">
        <w:rPr>
          <w:rtl/>
        </w:rPr>
        <w:t xml:space="preserve"> </w:t>
      </w:r>
      <w:r w:rsidRPr="00502173">
        <w:rPr>
          <w:rFonts w:hint="cs"/>
          <w:rtl/>
        </w:rPr>
        <w:t xml:space="preserve">משא"כ במוסף שבת חוה"מ שמתפללים תפילת יו"ט. </w:t>
      </w:r>
    </w:p>
  </w:footnote>
  <w:footnote w:id="249">
    <w:p w:rsidR="004820B2" w:rsidRPr="008E7D71" w:rsidRDefault="004820B2" w:rsidP="008E7D71">
      <w:pPr>
        <w:pStyle w:val="FootnoteText"/>
      </w:pPr>
      <w:r w:rsidRPr="008E7D71">
        <w:rPr>
          <w:rStyle w:val="FootnoteReference"/>
          <w:vertAlign w:val="baseline"/>
        </w:rPr>
        <w:footnoteRef/>
      </w:r>
      <w:r>
        <w:rPr>
          <w:rFonts w:hint="cs"/>
          <w:rtl/>
        </w:rPr>
        <w:t>)</w:t>
      </w:r>
      <w:r w:rsidRPr="008E7D71">
        <w:rPr>
          <w:rtl/>
        </w:rPr>
        <w:t xml:space="preserve"> כעת הראני בני הרב אפרים שי׳, שכן הביא בס׳ קצה המטה על המטה אפרים סי׳ תקפא ס״ק צב</w:t>
      </w:r>
      <w:r w:rsidRPr="008E7D71">
        <w:t xml:space="preserve"> </w:t>
      </w:r>
      <w:r w:rsidRPr="008E7D71">
        <w:rPr>
          <w:rtl/>
        </w:rPr>
        <w:t xml:space="preserve">(בקשר לנדר שנדר בחלום), אבל הגרלוי״צ רסקין שליט״א (ב'סדור רבינו הזקן עם ציונים ומקורות') </w:t>
      </w:r>
      <w:r w:rsidRPr="008E7D71">
        <w:rPr>
          <w:rFonts w:hint="cs"/>
          <w:rtl/>
        </w:rPr>
        <w:t xml:space="preserve">העיר שאמנם אדה"ז השמיט מקרה דנדר בחולם, והוא </w:t>
      </w:r>
      <w:r w:rsidRPr="008E7D71">
        <w:rPr>
          <w:rtl/>
        </w:rPr>
        <w:t xml:space="preserve">מציין לטעם פנימי </w:t>
      </w:r>
      <w:r w:rsidRPr="008E7D71">
        <w:rPr>
          <w:rFonts w:hint="cs"/>
          <w:rtl/>
        </w:rPr>
        <w:t xml:space="preserve">לענין "עדה" דוקא לאדה"ז </w:t>
      </w:r>
      <w:r w:rsidRPr="008E7D71">
        <w:rPr>
          <w:rtl/>
        </w:rPr>
        <w:t>–</w:t>
      </w:r>
      <w:r w:rsidRPr="008E7D71">
        <w:rPr>
          <w:rFonts w:hint="cs"/>
          <w:rtl/>
        </w:rPr>
        <w:t xml:space="preserve"> </w:t>
      </w:r>
      <w:r w:rsidRPr="008E7D71">
        <w:rPr>
          <w:rtl/>
        </w:rPr>
        <w:t>בלקו״ש ח״ד ע׳ 1332 הערה 3</w:t>
      </w:r>
      <w:r w:rsidRPr="008E7D71">
        <w:rPr>
          <w:rFonts w:hint="cs"/>
          <w:rtl/>
        </w:rPr>
        <w:t xml:space="preserve">, עיי"ש. </w:t>
      </w:r>
    </w:p>
  </w:footnote>
  <w:footnote w:id="250">
    <w:p w:rsidR="004820B2" w:rsidRDefault="004820B2" w:rsidP="008E7D71">
      <w:pPr>
        <w:pStyle w:val="FootnoteText"/>
      </w:pPr>
      <w:r w:rsidRPr="008E7D71">
        <w:rPr>
          <w:rStyle w:val="FootnoteReference"/>
          <w:vertAlign w:val="baseline"/>
        </w:rPr>
        <w:footnoteRef/>
      </w:r>
      <w:r>
        <w:rPr>
          <w:rFonts w:hint="cs"/>
          <w:rtl/>
        </w:rPr>
        <w:t>)</w:t>
      </w:r>
      <w:r w:rsidRPr="008E7D71">
        <w:rPr>
          <w:rtl/>
        </w:rPr>
        <w:t xml:space="preserve"> אבל לא כולם – ראה 'אוצר מנהגי חב"ד' אלול-תשרי ע' לו ואילך, שהביא מנהג סידור הרב יעב"ץ, ומנהגי </w:t>
      </w:r>
      <w:r w:rsidRPr="008E7D71">
        <w:rPr>
          <w:rFonts w:hint="cs"/>
          <w:rtl/>
        </w:rPr>
        <w:t xml:space="preserve">איזו </w:t>
      </w:r>
      <w:r w:rsidRPr="008E7D71">
        <w:rPr>
          <w:rtl/>
        </w:rPr>
        <w:t>קהילות שנוהגים בעשרה להתרת נדרים דער"ה.</w:t>
      </w:r>
      <w:r w:rsidRPr="008E7D71">
        <w:rPr>
          <w:rFonts w:hint="cs"/>
          <w:rtl/>
        </w:rPr>
        <w:t xml:space="preserve"> </w:t>
      </w:r>
    </w:p>
  </w:footnote>
  <w:footnote w:id="251">
    <w:p w:rsidR="004820B2" w:rsidRPr="00E326FC" w:rsidRDefault="004820B2" w:rsidP="00E326FC">
      <w:pPr>
        <w:pStyle w:val="FootnoteText"/>
      </w:pPr>
      <w:r w:rsidRPr="00E326FC">
        <w:rPr>
          <w:rStyle w:val="FootnoteReference"/>
          <w:vertAlign w:val="baseline"/>
          <w:rtl/>
        </w:rPr>
        <w:sym w:font="Symbol" w:char="F02A"/>
      </w:r>
      <w:r>
        <w:rPr>
          <w:rStyle w:val="FootnoteReference"/>
          <w:rFonts w:hint="cs"/>
          <w:vertAlign w:val="baseline"/>
          <w:rtl/>
        </w:rPr>
        <w:t>)</w:t>
      </w:r>
      <w:r w:rsidRPr="00E326FC">
        <w:rPr>
          <w:rtl/>
        </w:rPr>
        <w:t xml:space="preserve"> </w:t>
      </w:r>
      <w:r w:rsidRPr="00E326FC">
        <w:rPr>
          <w:rFonts w:hint="cs"/>
          <w:rtl/>
        </w:rPr>
        <w:t>נכתב בתשע"ו, ובא כאן אחר עריכה מועטת. לא בחנתי את כל המהדורות והשינויים ממהדורה למהדורה, ורק באתי בזה בנקודות כלליות.</w:t>
      </w:r>
    </w:p>
  </w:footnote>
  <w:footnote w:id="252">
    <w:p w:rsidR="004820B2" w:rsidRPr="00E326FC" w:rsidRDefault="004820B2" w:rsidP="00E326FC">
      <w:pPr>
        <w:pStyle w:val="FootnoteText"/>
      </w:pPr>
      <w:r w:rsidRPr="00E326FC">
        <w:rPr>
          <w:rStyle w:val="FootnoteReference"/>
          <w:vertAlign w:val="baseline"/>
        </w:rPr>
        <w:footnoteRef/>
      </w:r>
      <w:r>
        <w:rPr>
          <w:rFonts w:hint="cs"/>
          <w:rtl/>
        </w:rPr>
        <w:t>)</w:t>
      </w:r>
      <w:r w:rsidRPr="00E326FC">
        <w:rPr>
          <w:rtl/>
        </w:rPr>
        <w:t xml:space="preserve"> </w:t>
      </w:r>
      <w:r w:rsidRPr="00E326FC">
        <w:rPr>
          <w:rFonts w:hint="cs"/>
          <w:rtl/>
        </w:rPr>
        <w:t>לדוגמה ראו: 'ניצוצי חסידות מתורת אדמו"ר הזקן (א)', בתוך: נחום גרינוולד (עורך), הרב, עמ' ח, ובהערה 21.</w:t>
      </w:r>
    </w:p>
  </w:footnote>
  <w:footnote w:id="253">
    <w:p w:rsidR="004820B2" w:rsidRPr="00E326FC" w:rsidRDefault="004820B2" w:rsidP="00E326FC">
      <w:pPr>
        <w:pStyle w:val="FootnoteText"/>
        <w:rPr>
          <w:rtl/>
        </w:rPr>
      </w:pPr>
      <w:r w:rsidRPr="00E326FC">
        <w:rPr>
          <w:rStyle w:val="FootnoteReference"/>
          <w:vertAlign w:val="baseline"/>
        </w:rPr>
        <w:footnoteRef/>
      </w:r>
      <w:r>
        <w:rPr>
          <w:rFonts w:hint="cs"/>
          <w:rtl/>
        </w:rPr>
        <w:t>)</w:t>
      </w:r>
      <w:r w:rsidRPr="00E326FC">
        <w:rPr>
          <w:rtl/>
        </w:rPr>
        <w:t xml:space="preserve"> </w:t>
      </w:r>
      <w:r w:rsidRPr="00E326FC">
        <w:rPr>
          <w:rFonts w:hint="cs"/>
          <w:rtl/>
        </w:rPr>
        <w:t>ייתכן להניח שמהדורה זו אליה כוונת ר' יהושע מונדשיין בציינו פעמיים (לפחות) לרמ"ח אותיות, מהדורת כפר חב"ד תשכ"ו. ראו: מ' יהושע, 'ההלכה וספרותה בחסידות חב"ד', בטאון חב"ד, גיליון לג (י"א ניסן תשל"א), עמ' 21, הערה 87; יהושע מונדשיין, מגדל עז, כפר חב"ד תש"מ, עמ' קעב.</w:t>
      </w:r>
    </w:p>
  </w:footnote>
  <w:footnote w:id="254">
    <w:p w:rsidR="004820B2" w:rsidRPr="00E326FC" w:rsidRDefault="004820B2" w:rsidP="00E326FC">
      <w:pPr>
        <w:pStyle w:val="FootnoteText"/>
      </w:pPr>
      <w:r w:rsidRPr="00E326FC">
        <w:rPr>
          <w:rStyle w:val="FootnoteReference"/>
          <w:vertAlign w:val="baseline"/>
        </w:rPr>
        <w:footnoteRef/>
      </w:r>
      <w:r>
        <w:rPr>
          <w:rFonts w:hint="cs"/>
          <w:rtl/>
        </w:rPr>
        <w:t>)</w:t>
      </w:r>
      <w:r w:rsidRPr="00E326FC">
        <w:rPr>
          <w:rtl/>
        </w:rPr>
        <w:t xml:space="preserve"> </w:t>
      </w:r>
      <w:r w:rsidRPr="00E326FC">
        <w:rPr>
          <w:rFonts w:hint="cs"/>
          <w:rtl/>
        </w:rPr>
        <w:t xml:space="preserve">יש להעיר כי בקטלוג הספרייה הלאומית החליפו חיים בחיים, והחשיבו את הרב חיים פנחס לוריא (תרכ"ד </w:t>
      </w:r>
      <w:r w:rsidRPr="00E326FC">
        <w:rPr>
          <w:rtl/>
        </w:rPr>
        <w:t>–</w:t>
      </w:r>
      <w:r w:rsidRPr="00E326FC">
        <w:rPr>
          <w:rFonts w:hint="cs"/>
          <w:rtl/>
        </w:rPr>
        <w:t xml:space="preserve"> ד' אייר תש"א), דיין ומו"צ בלודז' כעורך מהדורה זו (וגם את הספר הפרשה בגובה העיניים (מסדרת 'יהדותון'), כפר חב"ד תשע"ג, הוצאת לדורות).</w:t>
      </w:r>
    </w:p>
  </w:footnote>
  <w:footnote w:id="255">
    <w:p w:rsidR="004820B2" w:rsidRPr="00E326FC" w:rsidRDefault="004820B2" w:rsidP="00E326FC">
      <w:pPr>
        <w:pStyle w:val="FootnoteText"/>
      </w:pPr>
      <w:r w:rsidRPr="00E326FC">
        <w:rPr>
          <w:rStyle w:val="FootnoteReference"/>
          <w:vertAlign w:val="baseline"/>
        </w:rPr>
        <w:footnoteRef/>
      </w:r>
      <w:r>
        <w:rPr>
          <w:rFonts w:hint="cs"/>
          <w:rtl/>
        </w:rPr>
        <w:t>)</w:t>
      </w:r>
      <w:r w:rsidRPr="00E326FC">
        <w:rPr>
          <w:rtl/>
        </w:rPr>
        <w:t xml:space="preserve"> </w:t>
      </w:r>
      <w:r w:rsidRPr="00E326FC">
        <w:rPr>
          <w:rFonts w:hint="cs"/>
          <w:rtl/>
        </w:rPr>
        <w:t>כרם חב"ד, 3 (אלול תשמ"ז), עמ' 240, הערה 3.</w:t>
      </w:r>
    </w:p>
  </w:footnote>
  <w:footnote w:id="256">
    <w:p w:rsidR="004820B2" w:rsidRPr="00E326FC" w:rsidRDefault="004820B2" w:rsidP="00E326FC">
      <w:pPr>
        <w:pStyle w:val="FootnoteText"/>
        <w:rPr>
          <w:rtl/>
        </w:rPr>
      </w:pPr>
      <w:r w:rsidRPr="00E326FC">
        <w:rPr>
          <w:rStyle w:val="FootnoteReference"/>
          <w:vertAlign w:val="baseline"/>
        </w:rPr>
        <w:footnoteRef/>
      </w:r>
      <w:r>
        <w:rPr>
          <w:rFonts w:hint="cs"/>
          <w:rtl/>
        </w:rPr>
        <w:t>)</w:t>
      </w:r>
      <w:r w:rsidRPr="00E326FC">
        <w:rPr>
          <w:rtl/>
        </w:rPr>
        <w:t xml:space="preserve"> </w:t>
      </w:r>
      <w:r w:rsidRPr="00E326FC">
        <w:rPr>
          <w:rFonts w:hint="cs"/>
          <w:rtl/>
        </w:rPr>
        <w:t>ראו: ישראל ג'ייקובסון, זכרון לבני ישראל, ניו יורק תשנ"ו, עמ' יב. אלכסנדר סנדר יודסין, הלקח והלבוב, ב, כפר חב"ד תש"ל, עמ' רי. לעניין תחילת לימודיו, התאריך הוודאי המוקדם ביותר הוא קיץ תרס"ב, המופיע ברשימתו (בטאון חב"ד, ו (י"ב תמוז תשי"ד), עמ' 28־31). אך ייתכן שיש ללמוד מכמה מקורות שהיה תלמיד ר' חנוך הענדל קוגל (לדוגמה: ישראל אריה לייב דוברוסקין, בתוך: זושא וולף, ימי תמימים, א, כפר חב"ד תשס"ח, עמ' 461. ועוד), ולפי זה החל את לימודיו כבר בשנת תר"ס לפחות. העת בה עבר מזמבין ללמוד בלובביץ' נרשמה כשנת תרס"ה לערך (יהודה חיטריק, רשימות דברים, ניו יורק תשס"ט, עמ' 290), ואם נקבלו ייתכן שיש לתלות זאת במעברו של ר' שמואל גרונם אסתרמן מזמבין ללובביץ'.</w:t>
      </w:r>
    </w:p>
  </w:footnote>
  <w:footnote w:id="257">
    <w:p w:rsidR="004820B2" w:rsidRPr="00E326FC" w:rsidRDefault="004820B2" w:rsidP="00E326FC">
      <w:pPr>
        <w:pStyle w:val="FootnoteText"/>
        <w:rPr>
          <w:rtl/>
        </w:rPr>
      </w:pPr>
      <w:r w:rsidRPr="00E326FC">
        <w:rPr>
          <w:rStyle w:val="FootnoteReference"/>
          <w:vertAlign w:val="baseline"/>
        </w:rPr>
        <w:footnoteRef/>
      </w:r>
      <w:r>
        <w:rPr>
          <w:rFonts w:hint="cs"/>
          <w:rtl/>
        </w:rPr>
        <w:t>)</w:t>
      </w:r>
      <w:r w:rsidRPr="00E326FC">
        <w:rPr>
          <w:rtl/>
        </w:rPr>
        <w:t xml:space="preserve"> </w:t>
      </w:r>
      <w:r w:rsidRPr="00E326FC">
        <w:rPr>
          <w:rFonts w:hint="cs"/>
          <w:rtl/>
        </w:rPr>
        <w:t>ראו אגרות קודש, הריי"צ, ה, עמ' קנב</w:t>
      </w:r>
    </w:p>
  </w:footnote>
  <w:footnote w:id="258">
    <w:p w:rsidR="004820B2" w:rsidRPr="00E326FC" w:rsidRDefault="004820B2" w:rsidP="00E326FC">
      <w:pPr>
        <w:pStyle w:val="FootnoteText"/>
      </w:pPr>
      <w:r w:rsidRPr="00E326FC">
        <w:rPr>
          <w:rStyle w:val="FootnoteReference"/>
          <w:vertAlign w:val="baseline"/>
        </w:rPr>
        <w:footnoteRef/>
      </w:r>
      <w:r>
        <w:rPr>
          <w:rFonts w:hint="cs"/>
          <w:rtl/>
        </w:rPr>
        <w:t>)</w:t>
      </w:r>
      <w:r w:rsidRPr="00E326FC">
        <w:rPr>
          <w:rtl/>
        </w:rPr>
        <w:t xml:space="preserve"> </w:t>
      </w:r>
      <w:r w:rsidRPr="00E326FC">
        <w:rPr>
          <w:rFonts w:hint="cs"/>
          <w:rtl/>
        </w:rPr>
        <w:t>מנחם מענדל קסטל, מעשה חשב, תשורה ברוק, ניו יורק תשע"ג, עמ' 74, הערה 53.</w:t>
      </w:r>
    </w:p>
  </w:footnote>
  <w:footnote w:id="259">
    <w:p w:rsidR="004820B2" w:rsidRPr="00E326FC" w:rsidRDefault="004820B2" w:rsidP="00E326FC">
      <w:pPr>
        <w:pStyle w:val="FootnoteText"/>
        <w:rPr>
          <w:rtl/>
        </w:rPr>
      </w:pPr>
      <w:r w:rsidRPr="00E326FC">
        <w:rPr>
          <w:rStyle w:val="FootnoteReference"/>
          <w:vertAlign w:val="baseline"/>
        </w:rPr>
        <w:footnoteRef/>
      </w:r>
      <w:r>
        <w:rPr>
          <w:rFonts w:hint="cs"/>
          <w:rtl/>
        </w:rPr>
        <w:t>)</w:t>
      </w:r>
      <w:r w:rsidRPr="00E326FC">
        <w:rPr>
          <w:rtl/>
        </w:rPr>
        <w:t xml:space="preserve"> </w:t>
      </w:r>
      <w:r w:rsidRPr="00E326FC">
        <w:rPr>
          <w:rFonts w:hint="cs"/>
          <w:rtl/>
        </w:rPr>
        <w:t>הלקח והלבוב, ב, עמ' ריא.</w:t>
      </w:r>
    </w:p>
  </w:footnote>
  <w:footnote w:id="260">
    <w:p w:rsidR="004820B2" w:rsidRPr="00E326FC" w:rsidRDefault="004820B2" w:rsidP="00E326FC">
      <w:pPr>
        <w:pStyle w:val="FootnoteText"/>
        <w:rPr>
          <w:rStyle w:val="FootnoteReference"/>
          <w:vertAlign w:val="baseline"/>
          <w:rtl/>
        </w:rPr>
      </w:pPr>
      <w:r w:rsidRPr="00E326FC">
        <w:rPr>
          <w:rStyle w:val="FootnoteReference"/>
          <w:vertAlign w:val="baseline"/>
        </w:rPr>
        <w:footnoteRef/>
      </w:r>
      <w:r>
        <w:rPr>
          <w:rFonts w:hint="cs"/>
          <w:rtl/>
        </w:rPr>
        <w:t>)</w:t>
      </w:r>
      <w:r w:rsidRPr="00E326FC">
        <w:rPr>
          <w:rStyle w:val="FootnoteReference"/>
          <w:vertAlign w:val="baseline"/>
          <w:rtl/>
        </w:rPr>
        <w:t xml:space="preserve"> </w:t>
      </w:r>
      <w:r w:rsidRPr="00E326FC">
        <w:rPr>
          <w:rStyle w:val="FootnoteReference"/>
          <w:rFonts w:hint="cs"/>
          <w:vertAlign w:val="baseline"/>
          <w:rtl/>
        </w:rPr>
        <w:t>פרדס</w:t>
      </w:r>
      <w:r w:rsidRPr="00E326FC">
        <w:rPr>
          <w:rStyle w:val="FootnoteReference"/>
          <w:vertAlign w:val="baseline"/>
          <w:rtl/>
        </w:rPr>
        <w:t xml:space="preserve"> </w:t>
      </w:r>
      <w:r w:rsidRPr="00E326FC">
        <w:rPr>
          <w:rStyle w:val="FootnoteReference"/>
          <w:rFonts w:hint="cs"/>
          <w:vertAlign w:val="baseline"/>
          <w:rtl/>
        </w:rPr>
        <w:t>חב</w:t>
      </w:r>
      <w:r w:rsidRPr="00E326FC">
        <w:rPr>
          <w:rStyle w:val="FootnoteReference"/>
          <w:vertAlign w:val="baseline"/>
          <w:rtl/>
        </w:rPr>
        <w:t>"</w:t>
      </w:r>
      <w:r w:rsidRPr="00E326FC">
        <w:rPr>
          <w:rStyle w:val="FootnoteReference"/>
          <w:rFonts w:hint="cs"/>
          <w:vertAlign w:val="baseline"/>
          <w:rtl/>
        </w:rPr>
        <w:t>ד,</w:t>
      </w:r>
      <w:r w:rsidRPr="00E326FC">
        <w:rPr>
          <w:rStyle w:val="FootnoteReference"/>
          <w:vertAlign w:val="baseline"/>
          <w:rtl/>
        </w:rPr>
        <w:t xml:space="preserve"> </w:t>
      </w:r>
      <w:r w:rsidRPr="00E326FC">
        <w:rPr>
          <w:rStyle w:val="FootnoteReference"/>
          <w:rFonts w:hint="cs"/>
          <w:vertAlign w:val="baseline"/>
          <w:rtl/>
        </w:rPr>
        <w:t>יב (חורף תשס"ד),</w:t>
      </w:r>
      <w:r w:rsidRPr="00E326FC">
        <w:rPr>
          <w:rStyle w:val="FootnoteReference"/>
          <w:vertAlign w:val="baseline"/>
          <w:rtl/>
        </w:rPr>
        <w:t xml:space="preserve"> </w:t>
      </w:r>
      <w:r w:rsidRPr="00E326FC">
        <w:rPr>
          <w:rStyle w:val="FootnoteReference"/>
          <w:rFonts w:hint="cs"/>
          <w:vertAlign w:val="baseline"/>
          <w:rtl/>
        </w:rPr>
        <w:t>עמ</w:t>
      </w:r>
      <w:r w:rsidRPr="00E326FC">
        <w:rPr>
          <w:rStyle w:val="FootnoteReference"/>
          <w:vertAlign w:val="baseline"/>
          <w:rtl/>
        </w:rPr>
        <w:t>' 195</w:t>
      </w:r>
      <w:r w:rsidRPr="00E326FC">
        <w:rPr>
          <w:rStyle w:val="FootnoteReference"/>
          <w:rFonts w:hint="cs"/>
          <w:vertAlign w:val="baseline"/>
          <w:rtl/>
        </w:rPr>
        <w:t>. נקודה זו מופיעה בשמו, ב</w:t>
      </w:r>
      <w:r w:rsidRPr="00E326FC">
        <w:rPr>
          <w:rFonts w:hint="cs"/>
          <w:rtl/>
        </w:rPr>
        <w:t>קיצור וללא הסבר</w:t>
      </w:r>
      <w:r w:rsidRPr="00E326FC">
        <w:rPr>
          <w:rStyle w:val="FootnoteReference"/>
          <w:rFonts w:hint="cs"/>
          <w:vertAlign w:val="baseline"/>
          <w:rtl/>
        </w:rPr>
        <w:t>, גם ב'</w:t>
      </w:r>
      <w:r w:rsidRPr="00E326FC">
        <w:rPr>
          <w:rStyle w:val="FootnoteReference"/>
          <w:vertAlign w:val="baseline"/>
          <w:rtl/>
        </w:rPr>
        <w:t>בטאון חב"ד</w:t>
      </w:r>
      <w:r w:rsidRPr="00E326FC">
        <w:rPr>
          <w:rStyle w:val="FootnoteReference"/>
          <w:rFonts w:hint="cs"/>
          <w:vertAlign w:val="baseline"/>
          <w:rtl/>
        </w:rPr>
        <w:t>'</w:t>
      </w:r>
      <w:r w:rsidRPr="00E326FC">
        <w:rPr>
          <w:rStyle w:val="FootnoteReference"/>
          <w:vertAlign w:val="baseline"/>
          <w:rtl/>
        </w:rPr>
        <w:t xml:space="preserve"> גליון מס' 4 (תמוז</w:t>
      </w:r>
      <w:r w:rsidRPr="00E326FC">
        <w:rPr>
          <w:rStyle w:val="FootnoteReference"/>
          <w:rFonts w:hint="cs"/>
          <w:vertAlign w:val="baseline"/>
          <w:rtl/>
        </w:rPr>
        <w:t>־</w:t>
      </w:r>
      <w:r w:rsidRPr="00E326FC">
        <w:rPr>
          <w:rStyle w:val="FootnoteReference"/>
          <w:vertAlign w:val="baseline"/>
          <w:rtl/>
        </w:rPr>
        <w:t>אלול) ע</w:t>
      </w:r>
      <w:r w:rsidRPr="00E326FC">
        <w:rPr>
          <w:rFonts w:hint="cs"/>
          <w:rtl/>
        </w:rPr>
        <w:t>מ</w:t>
      </w:r>
      <w:r w:rsidRPr="00E326FC">
        <w:rPr>
          <w:rStyle w:val="FootnoteReference"/>
          <w:vertAlign w:val="baseline"/>
          <w:rtl/>
        </w:rPr>
        <w:t>' 14</w:t>
      </w:r>
      <w:r w:rsidRPr="00E326FC">
        <w:rPr>
          <w:rStyle w:val="FootnoteReference"/>
          <w:rFonts w:hint="cs"/>
          <w:vertAlign w:val="baseline"/>
          <w:rtl/>
        </w:rPr>
        <w:t>, "</w:t>
      </w:r>
      <w:r w:rsidRPr="00E326FC">
        <w:rPr>
          <w:rStyle w:val="FootnoteReference"/>
          <w:vertAlign w:val="baseline"/>
          <w:rtl/>
        </w:rPr>
        <w:t>הרב ר' שאול דב זיסלין מפרש בשם ר' גרונם, משפיע תומכי תמימים בליובאוויטש: "וקם שבט מישראל - מרבי ישראל בעש"ט יצא חוטר השבט החב"די, "ומחץ פאתי מואב" - שכחו אתו להלם ולמחוץ את ה"השכלה" חכמה דטומאה ("מואב" הוא כינוי ל"חכמה דלעומת זה" בספרות הקבלה)</w:t>
      </w:r>
      <w:r w:rsidRPr="00E326FC">
        <w:rPr>
          <w:rStyle w:val="FootnoteReference"/>
          <w:rFonts w:hint="cs"/>
          <w:vertAlign w:val="baseline"/>
          <w:rtl/>
        </w:rPr>
        <w:t>".</w:t>
      </w:r>
    </w:p>
  </w:footnote>
  <w:footnote w:id="261">
    <w:p w:rsidR="004820B2" w:rsidRPr="00E326FC" w:rsidRDefault="004820B2" w:rsidP="00E326FC">
      <w:pPr>
        <w:pStyle w:val="FootnoteText"/>
        <w:rPr>
          <w:rtl/>
        </w:rPr>
      </w:pPr>
      <w:r w:rsidRPr="00E326FC">
        <w:rPr>
          <w:rStyle w:val="FootnoteReference"/>
          <w:vertAlign w:val="baseline"/>
        </w:rPr>
        <w:footnoteRef/>
      </w:r>
      <w:r>
        <w:rPr>
          <w:rFonts w:hint="cs"/>
          <w:rtl/>
        </w:rPr>
        <w:t>)</w:t>
      </w:r>
      <w:r w:rsidRPr="00E326FC">
        <w:rPr>
          <w:rtl/>
        </w:rPr>
        <w:t xml:space="preserve"> </w:t>
      </w:r>
      <w:r w:rsidRPr="00E326FC">
        <w:rPr>
          <w:rFonts w:hint="cs"/>
          <w:rtl/>
        </w:rPr>
        <w:t>תורת נחלת הר חב"ד, קכה (ל"ג בעומר תש"ע), עמ' 71־80.</w:t>
      </w:r>
    </w:p>
  </w:footnote>
  <w:footnote w:id="262">
    <w:p w:rsidR="004820B2" w:rsidRPr="00E326FC" w:rsidRDefault="004820B2" w:rsidP="00E326FC">
      <w:pPr>
        <w:pStyle w:val="FootnoteText"/>
        <w:rPr>
          <w:rtl/>
        </w:rPr>
      </w:pPr>
      <w:r w:rsidRPr="00E326FC">
        <w:rPr>
          <w:rStyle w:val="FootnoteReference"/>
          <w:vertAlign w:val="baseline"/>
        </w:rPr>
        <w:footnoteRef/>
      </w:r>
      <w:r>
        <w:rPr>
          <w:rFonts w:hint="cs"/>
          <w:rtl/>
        </w:rPr>
        <w:t>)</w:t>
      </w:r>
      <w:r w:rsidRPr="00E326FC">
        <w:rPr>
          <w:rtl/>
        </w:rPr>
        <w:t xml:space="preserve"> </w:t>
      </w:r>
      <w:r w:rsidRPr="00E326FC">
        <w:rPr>
          <w:rFonts w:hint="cs"/>
          <w:rtl/>
        </w:rPr>
        <w:t>תיאורן ניתן ברשימת 'מקורי הרשימות' בקונטרס לקוטי רשימות ומעשיות בסופו.</w:t>
      </w:r>
    </w:p>
  </w:footnote>
  <w:footnote w:id="263">
    <w:p w:rsidR="004820B2" w:rsidRPr="00E326FC" w:rsidRDefault="004820B2" w:rsidP="00E326FC">
      <w:pPr>
        <w:pStyle w:val="FootnoteText"/>
      </w:pPr>
      <w:r w:rsidRPr="00E326FC">
        <w:rPr>
          <w:rStyle w:val="FootnoteReference"/>
          <w:vertAlign w:val="baseline"/>
        </w:rPr>
        <w:footnoteRef/>
      </w:r>
      <w:r>
        <w:rPr>
          <w:rFonts w:hint="cs"/>
          <w:rtl/>
        </w:rPr>
        <w:t>)</w:t>
      </w:r>
      <w:r w:rsidRPr="00E326FC">
        <w:rPr>
          <w:rtl/>
        </w:rPr>
        <w:t xml:space="preserve"> </w:t>
      </w:r>
      <w:r w:rsidRPr="00E326FC">
        <w:rPr>
          <w:rFonts w:hint="cs"/>
          <w:rtl/>
        </w:rPr>
        <w:t>ולא לחמיו הרב אברהם מזמבין (כפי שפתחו בתשורה רבינוביץ'־וולף), שנפטר בשנת תרנ"ח.</w:t>
      </w:r>
    </w:p>
  </w:footnote>
  <w:footnote w:id="264">
    <w:p w:rsidR="004820B2" w:rsidRPr="00E326FC" w:rsidRDefault="004820B2" w:rsidP="00E326FC">
      <w:pPr>
        <w:pStyle w:val="FootnoteText"/>
        <w:rPr>
          <w:rtl/>
        </w:rPr>
      </w:pPr>
      <w:r w:rsidRPr="00E326FC">
        <w:rPr>
          <w:rStyle w:val="FootnoteReference"/>
          <w:vertAlign w:val="baseline"/>
        </w:rPr>
        <w:footnoteRef/>
      </w:r>
      <w:r>
        <w:rPr>
          <w:rFonts w:hint="cs"/>
          <w:rtl/>
        </w:rPr>
        <w:t>)</w:t>
      </w:r>
      <w:r w:rsidRPr="00E326FC">
        <w:rPr>
          <w:rtl/>
        </w:rPr>
        <w:t xml:space="preserve"> </w:t>
      </w:r>
      <w:r w:rsidRPr="00E326FC">
        <w:rPr>
          <w:rFonts w:hint="cs"/>
          <w:rtl/>
        </w:rPr>
        <w:t>אך הסבר זה לא יתיישב לפי אופן הא' שיבואר בהמשך, כי הרב ירחמיאל בנימינסון יצא את רוסיה רק בשנת תרצ"ד.</w:t>
      </w:r>
    </w:p>
  </w:footnote>
  <w:footnote w:id="265">
    <w:p w:rsidR="004820B2" w:rsidRPr="00E326FC" w:rsidRDefault="004820B2" w:rsidP="00E326FC">
      <w:pPr>
        <w:pStyle w:val="FootnoteText"/>
        <w:rPr>
          <w:rtl/>
        </w:rPr>
      </w:pPr>
      <w:r w:rsidRPr="00E326FC">
        <w:rPr>
          <w:rStyle w:val="FootnoteReference"/>
          <w:vertAlign w:val="baseline"/>
        </w:rPr>
        <w:footnoteRef/>
      </w:r>
      <w:r>
        <w:rPr>
          <w:rFonts w:hint="cs"/>
          <w:rtl/>
        </w:rPr>
        <w:t>)</w:t>
      </w:r>
      <w:r w:rsidRPr="00E326FC">
        <w:rPr>
          <w:rtl/>
        </w:rPr>
        <w:t xml:space="preserve"> </w:t>
      </w:r>
      <w:r w:rsidRPr="00E326FC">
        <w:rPr>
          <w:rFonts w:hint="cs"/>
          <w:rtl/>
        </w:rPr>
        <w:t>ספר השיחות תרפ"ז, עמ' 118.</w:t>
      </w:r>
    </w:p>
  </w:footnote>
  <w:footnote w:id="266">
    <w:p w:rsidR="004820B2" w:rsidRDefault="004820B2" w:rsidP="00E326FC">
      <w:pPr>
        <w:pStyle w:val="FootnoteText"/>
      </w:pPr>
      <w:r w:rsidRPr="00E326FC">
        <w:rPr>
          <w:rStyle w:val="FootnoteReference"/>
          <w:vertAlign w:val="baseline"/>
        </w:rPr>
        <w:footnoteRef/>
      </w:r>
      <w:r>
        <w:rPr>
          <w:rFonts w:hint="cs"/>
          <w:rtl/>
        </w:rPr>
        <w:t>)</w:t>
      </w:r>
      <w:r w:rsidRPr="00E326FC">
        <w:rPr>
          <w:rtl/>
        </w:rPr>
        <w:t xml:space="preserve"> </w:t>
      </w:r>
      <w:r w:rsidRPr="00E326FC">
        <w:rPr>
          <w:rFonts w:hint="cs"/>
          <w:rtl/>
        </w:rPr>
        <w:t>א.ד. פייגלסון [=א.ו.], ר' מענדל, כפר חב"ד תשנ"ז, עמ' 259. ועוד.</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820B2" w:rsidRPr="00425748" w:rsidTr="00970EBE">
      <w:trPr>
        <w:trHeight w:val="80"/>
      </w:trPr>
      <w:tc>
        <w:tcPr>
          <w:tcW w:w="1008" w:type="dxa"/>
          <w:vAlign w:val="center"/>
        </w:tcPr>
        <w:p w:rsidR="004820B2" w:rsidRPr="002F63A9" w:rsidRDefault="004820B2" w:rsidP="00970EBE">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rsidR="004820B2" w:rsidRPr="00D25874" w:rsidRDefault="004820B2" w:rsidP="00970EBE">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4820B2" w:rsidRPr="00425748" w:rsidRDefault="004820B2" w:rsidP="00970EBE">
          <w:pPr>
            <w:tabs>
              <w:tab w:val="center" w:pos="4680"/>
              <w:tab w:val="right" w:pos="9360"/>
            </w:tabs>
            <w:spacing w:after="0" w:line="240" w:lineRule="auto"/>
            <w:jc w:val="right"/>
            <w:rPr>
              <w:rFonts w:ascii="FbSfaradi Medium" w:hAnsi="FbSfaradi Medium" w:cs="FbSfaradi Medium"/>
              <w:sz w:val="36"/>
              <w:szCs w:val="32"/>
              <w:rtl/>
            </w:rPr>
          </w:pPr>
        </w:p>
      </w:tc>
    </w:tr>
  </w:tbl>
  <w:p w:rsidR="004820B2" w:rsidRDefault="004820B2"/>
  <w:p w:rsidR="004820B2" w:rsidRDefault="004820B2"/>
  <w:p w:rsidR="004820B2" w:rsidRDefault="004820B2"/>
  <w:p w:rsidR="004820B2" w:rsidRDefault="004820B2"/>
  <w:p w:rsidR="004820B2" w:rsidRDefault="004820B2"/>
  <w:p w:rsidR="004820B2" w:rsidRDefault="004820B2"/>
  <w:p w:rsidR="004820B2" w:rsidRDefault="004820B2"/>
  <w:p w:rsidR="004820B2" w:rsidRDefault="004820B2"/>
  <w:p w:rsidR="004820B2" w:rsidRDefault="004820B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820B2" w:rsidRPr="00425748" w:rsidTr="00970EBE">
      <w:trPr>
        <w:trHeight w:val="80"/>
      </w:trPr>
      <w:tc>
        <w:tcPr>
          <w:tcW w:w="1008" w:type="dxa"/>
        </w:tcPr>
        <w:p w:rsidR="004820B2" w:rsidRPr="00425748" w:rsidRDefault="004820B2" w:rsidP="00970EBE">
          <w:pPr>
            <w:tabs>
              <w:tab w:val="center" w:pos="4680"/>
              <w:tab w:val="right" w:pos="9360"/>
            </w:tabs>
            <w:rPr>
              <w:rFonts w:ascii="FbSfaradi Medium" w:hAnsi="FbSfaradi Medium" w:cs="FbSfaradi Medium"/>
              <w:sz w:val="36"/>
              <w:szCs w:val="32"/>
              <w:rtl/>
            </w:rPr>
          </w:pPr>
        </w:p>
      </w:tc>
      <w:tc>
        <w:tcPr>
          <w:tcW w:w="4176" w:type="dxa"/>
        </w:tcPr>
        <w:p w:rsidR="004820B2" w:rsidRPr="00D25874" w:rsidRDefault="004820B2" w:rsidP="00970EBE">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ג' תמוז ה'תש"פ</w:t>
          </w:r>
        </w:p>
      </w:tc>
      <w:tc>
        <w:tcPr>
          <w:tcW w:w="1008" w:type="dxa"/>
          <w:vAlign w:val="bottom"/>
        </w:tcPr>
        <w:p w:rsidR="004820B2" w:rsidRPr="00425748" w:rsidRDefault="004820B2" w:rsidP="00970EBE">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8C1238" w:rsidRPr="008C1238">
            <w:rPr>
              <w:rFonts w:ascii="FbSfaradi Medium" w:hAnsi="FbSfaradi Medium" w:cs="AAd_LivornaB4"/>
              <w:noProof/>
              <w:szCs w:val="28"/>
              <w:rtl/>
            </w:rPr>
            <w:t>24</w:t>
          </w:r>
          <w:r w:rsidRPr="00425748">
            <w:rPr>
              <w:rFonts w:ascii="FbSfaradi Medium" w:hAnsi="FbSfaradi Medium" w:cs="AAd_LivornaB4"/>
              <w:szCs w:val="28"/>
            </w:rPr>
            <w:fldChar w:fldCharType="end"/>
          </w:r>
        </w:p>
      </w:tc>
    </w:tr>
  </w:tbl>
  <w:p w:rsidR="004820B2" w:rsidRDefault="004820B2" w:rsidP="00970EBE">
    <w:pPr>
      <w:tabs>
        <w:tab w:val="left" w:pos="1327"/>
      </w:tabs>
    </w:pPr>
  </w:p>
  <w:p w:rsidR="004820B2" w:rsidRDefault="004820B2"/>
  <w:p w:rsidR="004820B2" w:rsidRDefault="004820B2"/>
  <w:p w:rsidR="004820B2" w:rsidRDefault="004820B2"/>
  <w:p w:rsidR="004820B2" w:rsidRDefault="004820B2"/>
  <w:p w:rsidR="004820B2" w:rsidRDefault="004820B2"/>
  <w:p w:rsidR="004820B2" w:rsidRDefault="004820B2"/>
  <w:p w:rsidR="004820B2" w:rsidRDefault="004820B2"/>
  <w:p w:rsidR="004820B2" w:rsidRDefault="004820B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20233B8"/>
    <w:multiLevelType w:val="hybridMultilevel"/>
    <w:tmpl w:val="B82E6DC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44B644A"/>
    <w:multiLevelType w:val="multilevel"/>
    <w:tmpl w:val="8EBEB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E0805D0"/>
    <w:multiLevelType w:val="multilevel"/>
    <w:tmpl w:val="56321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7876F7"/>
    <w:multiLevelType w:val="hybridMultilevel"/>
    <w:tmpl w:val="DA64F1C6"/>
    <w:lvl w:ilvl="0" w:tplc="44BC5AD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9652B3"/>
    <w:multiLevelType w:val="hybridMultilevel"/>
    <w:tmpl w:val="608C6FAC"/>
    <w:lvl w:ilvl="0" w:tplc="B0B22DD4">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CBA4DA9"/>
    <w:multiLevelType w:val="hybridMultilevel"/>
    <w:tmpl w:val="F5626142"/>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2601204B"/>
    <w:multiLevelType w:val="multilevel"/>
    <w:tmpl w:val="1F5C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80505BA"/>
    <w:multiLevelType w:val="multilevel"/>
    <w:tmpl w:val="C16A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5114F5"/>
    <w:multiLevelType w:val="hybridMultilevel"/>
    <w:tmpl w:val="4522A320"/>
    <w:lvl w:ilvl="0" w:tplc="38600F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D1554F"/>
    <w:multiLevelType w:val="multilevel"/>
    <w:tmpl w:val="21E49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03520C"/>
    <w:multiLevelType w:val="multilevel"/>
    <w:tmpl w:val="99C6B3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F9A632A"/>
    <w:multiLevelType w:val="multilevel"/>
    <w:tmpl w:val="12A0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2B29D0"/>
    <w:multiLevelType w:val="hybridMultilevel"/>
    <w:tmpl w:val="CB0034F4"/>
    <w:lvl w:ilvl="0" w:tplc="733E86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DC1A9A"/>
    <w:multiLevelType w:val="hybridMultilevel"/>
    <w:tmpl w:val="3E7204CC"/>
    <w:lvl w:ilvl="0" w:tplc="3168B4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471096"/>
    <w:multiLevelType w:val="multilevel"/>
    <w:tmpl w:val="EF264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9D45F8"/>
    <w:multiLevelType w:val="multilevel"/>
    <w:tmpl w:val="1524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BA008B"/>
    <w:multiLevelType w:val="hybridMultilevel"/>
    <w:tmpl w:val="0F3847AC"/>
    <w:lvl w:ilvl="0" w:tplc="845A15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DF70C5"/>
    <w:multiLevelType w:val="hybridMultilevel"/>
    <w:tmpl w:val="C9CE7706"/>
    <w:lvl w:ilvl="0" w:tplc="E87EB95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8535FAC"/>
    <w:multiLevelType w:val="hybridMultilevel"/>
    <w:tmpl w:val="083E6D48"/>
    <w:lvl w:ilvl="0" w:tplc="52560F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648C1608"/>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51F23D6"/>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91355B7"/>
    <w:multiLevelType w:val="hybridMultilevel"/>
    <w:tmpl w:val="84BCB3F2"/>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A51247"/>
    <w:multiLevelType w:val="hybridMultilevel"/>
    <w:tmpl w:val="7A4667A2"/>
    <w:lvl w:ilvl="0" w:tplc="9AE4CDA2">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DD09A0"/>
    <w:multiLevelType w:val="hybridMultilevel"/>
    <w:tmpl w:val="A768EC6A"/>
    <w:lvl w:ilvl="0" w:tplc="4FF845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79B49CC"/>
    <w:multiLevelType w:val="multilevel"/>
    <w:tmpl w:val="B71E66E2"/>
    <w:lvl w:ilvl="0">
      <w:start w:val="1"/>
      <w:numFmt w:val="decimal"/>
      <w:lvlText w:val="%1."/>
      <w:lvlJc w:val="left"/>
      <w:pPr>
        <w:ind w:left="720" w:hanging="360"/>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ED047ED"/>
    <w:multiLevelType w:val="hybridMultilevel"/>
    <w:tmpl w:val="CA6E9D26"/>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37"/>
  </w:num>
  <w:num w:numId="3">
    <w:abstractNumId w:val="17"/>
  </w:num>
  <w:num w:numId="4">
    <w:abstractNumId w:val="30"/>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36"/>
  </w:num>
  <w:num w:numId="17">
    <w:abstractNumId w:val="27"/>
  </w:num>
  <w:num w:numId="18">
    <w:abstractNumId w:val="18"/>
  </w:num>
  <w:num w:numId="19">
    <w:abstractNumId w:val="23"/>
  </w:num>
  <w:num w:numId="20">
    <w:abstractNumId w:val="11"/>
  </w:num>
  <w:num w:numId="21">
    <w:abstractNumId w:val="29"/>
  </w:num>
  <w:num w:numId="22">
    <w:abstractNumId w:val="35"/>
  </w:num>
  <w:num w:numId="23">
    <w:abstractNumId w:val="33"/>
  </w:num>
  <w:num w:numId="24">
    <w:abstractNumId w:val="32"/>
  </w:num>
  <w:num w:numId="25">
    <w:abstractNumId w:val="24"/>
  </w:num>
  <w:num w:numId="26">
    <w:abstractNumId w:val="39"/>
  </w:num>
  <w:num w:numId="27">
    <w:abstractNumId w:val="34"/>
  </w:num>
  <w:num w:numId="28">
    <w:abstractNumId w:val="20"/>
  </w:num>
  <w:num w:numId="29">
    <w:abstractNumId w:val="16"/>
  </w:num>
  <w:num w:numId="30">
    <w:abstractNumId w:val="15"/>
  </w:num>
  <w:num w:numId="31">
    <w:abstractNumId w:val="14"/>
  </w:num>
  <w:num w:numId="32">
    <w:abstractNumId w:val="12"/>
  </w:num>
  <w:num w:numId="33">
    <w:abstractNumId w:val="21"/>
  </w:num>
  <w:num w:numId="34">
    <w:abstractNumId w:val="19"/>
  </w:num>
  <w:num w:numId="35">
    <w:abstractNumId w:val="25"/>
  </w:num>
  <w:num w:numId="36">
    <w:abstractNumId w:val="13"/>
  </w:num>
  <w:num w:numId="37">
    <w:abstractNumId w:val="26"/>
  </w:num>
  <w:num w:numId="38">
    <w:abstractNumId w:val="38"/>
  </w:num>
  <w:num w:numId="39">
    <w:abstractNumId w:val="22"/>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hideSpellingErrors/>
  <w:defaultTabStop w:val="720"/>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6F8"/>
    <w:rsid w:val="000836F8"/>
    <w:rsid w:val="001055C7"/>
    <w:rsid w:val="0013361F"/>
    <w:rsid w:val="00170FBC"/>
    <w:rsid w:val="001B37D0"/>
    <w:rsid w:val="001C7D6D"/>
    <w:rsid w:val="00211CAD"/>
    <w:rsid w:val="00235D91"/>
    <w:rsid w:val="00237479"/>
    <w:rsid w:val="002512DF"/>
    <w:rsid w:val="002A5F4C"/>
    <w:rsid w:val="002C5DAA"/>
    <w:rsid w:val="00307807"/>
    <w:rsid w:val="00343F1A"/>
    <w:rsid w:val="00346413"/>
    <w:rsid w:val="00364372"/>
    <w:rsid w:val="003A407F"/>
    <w:rsid w:val="00430298"/>
    <w:rsid w:val="00446F69"/>
    <w:rsid w:val="0048134B"/>
    <w:rsid w:val="004820B2"/>
    <w:rsid w:val="00502173"/>
    <w:rsid w:val="00521750"/>
    <w:rsid w:val="00533B73"/>
    <w:rsid w:val="005D1C58"/>
    <w:rsid w:val="005E0A0C"/>
    <w:rsid w:val="0061153E"/>
    <w:rsid w:val="0064398A"/>
    <w:rsid w:val="00710C70"/>
    <w:rsid w:val="007128D2"/>
    <w:rsid w:val="00752492"/>
    <w:rsid w:val="007907A8"/>
    <w:rsid w:val="007D68AC"/>
    <w:rsid w:val="007E0A34"/>
    <w:rsid w:val="0089120A"/>
    <w:rsid w:val="008C1238"/>
    <w:rsid w:val="008E7D71"/>
    <w:rsid w:val="008F409D"/>
    <w:rsid w:val="00900523"/>
    <w:rsid w:val="009011A6"/>
    <w:rsid w:val="0092759E"/>
    <w:rsid w:val="00965EE2"/>
    <w:rsid w:val="00966B44"/>
    <w:rsid w:val="00970EBE"/>
    <w:rsid w:val="009F0D7D"/>
    <w:rsid w:val="00A20842"/>
    <w:rsid w:val="00A80BCE"/>
    <w:rsid w:val="00AB6EC6"/>
    <w:rsid w:val="00AD2A5D"/>
    <w:rsid w:val="00AD6297"/>
    <w:rsid w:val="00B240FE"/>
    <w:rsid w:val="00B30141"/>
    <w:rsid w:val="00BC3AFB"/>
    <w:rsid w:val="00CC0B50"/>
    <w:rsid w:val="00D10A19"/>
    <w:rsid w:val="00D970AA"/>
    <w:rsid w:val="00DC59FD"/>
    <w:rsid w:val="00E326FC"/>
    <w:rsid w:val="00EA087F"/>
    <w:rsid w:val="00F10B88"/>
    <w:rsid w:val="00F146A6"/>
    <w:rsid w:val="00F50418"/>
    <w:rsid w:val="00F80C08"/>
    <w:rsid w:val="00F87814"/>
    <w:rsid w:val="00FE4765"/>
    <w:rsid w:val="00FE660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408CA0-0CE4-4573-BB10-D2F1A1405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836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0836F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0836F8"/>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0836F8"/>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0836F8"/>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0836F8"/>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0836F8"/>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0836F8"/>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qFormat/>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autoRedefine/>
    <w:qFormat/>
    <w:rsid w:val="00F146A6"/>
    <w:pPr>
      <w:tabs>
        <w:tab w:val="left" w:pos="1895"/>
        <w:tab w:val="center" w:pos="3096"/>
        <w:tab w:val="left" w:pos="4086"/>
        <w:tab w:val="right" w:pos="6192"/>
      </w:tabs>
      <w:spacing w:before="0"/>
    </w:pPr>
    <w:rPr>
      <w:rFonts w:asciiTheme="majorBidi" w:eastAsia="David" w:hAnsiTheme="majorBidi" w:cs="AAd_Livorna"/>
      <w:b/>
      <w:bCs/>
      <w:color w:val="000000" w:themeColor="text1"/>
      <w:sz w:val="27"/>
      <w:szCs w:val="27"/>
      <w:lang w:val="en-GB"/>
    </w:rPr>
  </w:style>
  <w:style w:type="character" w:customStyle="1" w:styleId="Char">
    <w:name w:val="שם Char"/>
    <w:basedOn w:val="DefaultParagraphFont"/>
    <w:link w:val="a"/>
    <w:rsid w:val="00F146A6"/>
    <w:rPr>
      <w:rFonts w:asciiTheme="majorBidi" w:eastAsia="David" w:hAnsiTheme="majorBidi" w:cs="AAd_Livorna"/>
      <w:b/>
      <w:bCs/>
      <w:color w:val="000000" w:themeColor="text1"/>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0836F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0836F8"/>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rsid w:val="000836F8"/>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0836F8"/>
    <w:rPr>
      <w:rFonts w:ascii="Trebuchet MS" w:eastAsia="Times New Roman" w:hAnsi="Trebuchet MS" w:cs="Trebuchet MS"/>
      <w:color w:val="666666"/>
    </w:rPr>
  </w:style>
  <w:style w:type="character" w:customStyle="1" w:styleId="Heading6Char">
    <w:name w:val="Heading 6 Char"/>
    <w:basedOn w:val="DefaultParagraphFont"/>
    <w:link w:val="Heading6"/>
    <w:rsid w:val="000836F8"/>
    <w:rPr>
      <w:rFonts w:ascii="Trebuchet MS" w:eastAsia="Times New Roman" w:hAnsi="Trebuchet MS" w:cs="Trebuchet MS"/>
      <w:i/>
      <w:iCs/>
      <w:color w:val="666666"/>
    </w:rPr>
  </w:style>
  <w:style w:type="character" w:customStyle="1" w:styleId="Heading7Char">
    <w:name w:val="Heading 7 Char"/>
    <w:basedOn w:val="DefaultParagraphFont"/>
    <w:link w:val="Heading7"/>
    <w:rsid w:val="000836F8"/>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0836F8"/>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0836F8"/>
    <w:rPr>
      <w:rFonts w:ascii="Arial" w:eastAsia="Times New Roman" w:hAnsi="Arial" w:cs="Miriam"/>
      <w:i/>
      <w:iCs/>
      <w:spacing w:val="6"/>
      <w:position w:val="4"/>
      <w:sz w:val="18"/>
      <w:szCs w:val="18"/>
    </w:rPr>
  </w:style>
  <w:style w:type="numbering" w:customStyle="1" w:styleId="NoList1">
    <w:name w:val="No List1"/>
    <w:next w:val="NoList"/>
    <w:uiPriority w:val="99"/>
    <w:semiHidden/>
    <w:unhideWhenUsed/>
    <w:rsid w:val="000836F8"/>
  </w:style>
  <w:style w:type="paragraph" w:customStyle="1" w:styleId="a0">
    <w:name w:val="טייטול"/>
    <w:basedOn w:val="Heading2"/>
    <w:next w:val="a"/>
    <w:link w:val="Char0"/>
    <w:qFormat/>
    <w:rsid w:val="000836F8"/>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rsid w:val="000836F8"/>
    <w:rPr>
      <w:rFonts w:ascii="FbFRealBelet Bold" w:eastAsia="Times New Roman" w:hAnsi="FbFRealBelet Bold" w:cs="FbFRealBelet Bold"/>
      <w:bCs/>
      <w:sz w:val="39"/>
      <w:szCs w:val="39"/>
      <w:lang w:val="en-GB"/>
    </w:rPr>
  </w:style>
  <w:style w:type="paragraph" w:customStyle="1" w:styleId="a1">
    <w:name w:val="תיאור"/>
    <w:basedOn w:val="a2"/>
    <w:next w:val="a3"/>
    <w:link w:val="Char1"/>
    <w:qFormat/>
    <w:rsid w:val="000836F8"/>
    <w:pPr>
      <w:bidi w:val="0"/>
    </w:pPr>
    <w:rPr>
      <w:rFonts w:ascii="AAd_Livorna4" w:eastAsia="Calibri" w:hAnsi="AAd_Livorna4" w:cs="AAd_Livorna4"/>
      <w:b w:val="0"/>
      <w:bCs w:val="0"/>
      <w:sz w:val="23"/>
      <w:szCs w:val="23"/>
    </w:rPr>
  </w:style>
  <w:style w:type="character" w:customStyle="1" w:styleId="Char1">
    <w:name w:val="תיאור Char"/>
    <w:basedOn w:val="DefaultParagraphFont"/>
    <w:link w:val="a1"/>
    <w:rsid w:val="000836F8"/>
    <w:rPr>
      <w:rFonts w:ascii="AAd_Livorna4" w:eastAsia="Calibri" w:hAnsi="AAd_Livorna4" w:cs="AAd_Livorna4"/>
      <w:sz w:val="23"/>
      <w:szCs w:val="23"/>
    </w:rPr>
  </w:style>
  <w:style w:type="paragraph" w:customStyle="1" w:styleId="a3">
    <w:name w:val="גוף"/>
    <w:link w:val="Char2"/>
    <w:autoRedefine/>
    <w:qFormat/>
    <w:rsid w:val="004820B2"/>
    <w:pPr>
      <w:widowControl w:val="0"/>
      <w:bidi/>
      <w:spacing w:after="120" w:line="276" w:lineRule="auto"/>
      <w:ind w:firstLine="288"/>
      <w:jc w:val="both"/>
    </w:pPr>
    <w:rPr>
      <w:rFonts w:ascii="FbFrankReal" w:eastAsia="Calibri" w:hAnsi="FbFrankReal" w:cs="FbFrankReal"/>
      <w:color w:val="000000" w:themeColor="text1"/>
      <w:sz w:val="24"/>
      <w:szCs w:val="24"/>
      <w:bdr w:val="nil"/>
      <w:lang w:val="bg-BG"/>
    </w:rPr>
  </w:style>
  <w:style w:type="character" w:customStyle="1" w:styleId="Char2">
    <w:name w:val="גוף Char"/>
    <w:basedOn w:val="DefaultParagraphFont"/>
    <w:link w:val="a3"/>
    <w:rsid w:val="004820B2"/>
    <w:rPr>
      <w:rFonts w:ascii="FbFrankReal" w:eastAsia="Calibri" w:hAnsi="FbFrankReal" w:cs="FbFrankReal"/>
      <w:color w:val="000000" w:themeColor="text1"/>
      <w:sz w:val="24"/>
      <w:szCs w:val="24"/>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0836F8"/>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0836F8"/>
    <w:rPr>
      <w:rFonts w:ascii="FbFrankReal" w:hAnsi="FbFrankReal" w:cs="FbFrankReal"/>
      <w:sz w:val="20"/>
      <w:szCs w:val="20"/>
    </w:rPr>
  </w:style>
  <w:style w:type="character" w:styleId="FootnoteReference">
    <w:name w:val="footnote reference"/>
    <w:aliases w:val="annotation reference,הפניה להערה,אות הערה"/>
    <w:basedOn w:val="DefaultParagraphFont"/>
    <w:uiPriority w:val="99"/>
    <w:unhideWhenUsed/>
    <w:qFormat/>
    <w:rsid w:val="000836F8"/>
    <w:rPr>
      <w:vertAlign w:val="superscript"/>
    </w:rPr>
  </w:style>
  <w:style w:type="paragraph" w:styleId="NormalWeb">
    <w:name w:val="Normal (Web)"/>
    <w:basedOn w:val="Normal"/>
    <w:uiPriority w:val="99"/>
    <w:rsid w:val="000836F8"/>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0836F8"/>
    <w:pPr>
      <w:outlineLvl w:val="9"/>
    </w:pPr>
    <w:rPr>
      <w:lang w:bidi="ar-SA"/>
    </w:rPr>
  </w:style>
  <w:style w:type="paragraph" w:styleId="TOC2">
    <w:name w:val="toc 2"/>
    <w:basedOn w:val="Normal"/>
    <w:next w:val="Normal"/>
    <w:autoRedefine/>
    <w:uiPriority w:val="39"/>
    <w:unhideWhenUsed/>
    <w:rsid w:val="000836F8"/>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0836F8"/>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0836F8"/>
    <w:rPr>
      <w:color w:val="0563C1" w:themeColor="hyperlink"/>
      <w:u w:val="single"/>
    </w:rPr>
  </w:style>
  <w:style w:type="paragraph" w:customStyle="1" w:styleId="a4">
    <w:name w:val="מדור"/>
    <w:basedOn w:val="Heading1"/>
    <w:next w:val="a0"/>
    <w:link w:val="Char3"/>
    <w:rsid w:val="000836F8"/>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rsid w:val="000836F8"/>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0836F8"/>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0836F8"/>
    <w:rPr>
      <w:rFonts w:ascii="Nymphette" w:eastAsia="Times New Roman" w:hAnsi="Nymphette" w:cs="Nymphette"/>
      <w:sz w:val="56"/>
      <w:szCs w:val="56"/>
    </w:rPr>
  </w:style>
  <w:style w:type="paragraph" w:styleId="TOC1">
    <w:name w:val="toc 1"/>
    <w:basedOn w:val="Normal"/>
    <w:next w:val="Normal"/>
    <w:autoRedefine/>
    <w:uiPriority w:val="39"/>
    <w:unhideWhenUsed/>
    <w:rsid w:val="000836F8"/>
    <w:pPr>
      <w:tabs>
        <w:tab w:val="right" w:leader="dot" w:pos="9350"/>
      </w:tabs>
      <w:bidi/>
      <w:spacing w:after="100"/>
    </w:pPr>
    <w:rPr>
      <w:rFonts w:ascii="FbSfaradi Medium" w:hAnsi="FbSfaradi Medium" w:cs="FbSfaradi Medium"/>
      <w:noProof/>
      <w:sz w:val="36"/>
      <w:szCs w:val="36"/>
    </w:rPr>
  </w:style>
  <w:style w:type="paragraph" w:styleId="NoSpacing">
    <w:name w:val="No Spacing"/>
    <w:aliases w:val="Refrance,Main text."/>
    <w:link w:val="NoSpacingChar"/>
    <w:uiPriority w:val="1"/>
    <w:qFormat/>
    <w:rsid w:val="000836F8"/>
    <w:pPr>
      <w:spacing w:after="0" w:line="240" w:lineRule="auto"/>
    </w:pPr>
    <w:rPr>
      <w:lang w:val="en-GB"/>
    </w:rPr>
  </w:style>
  <w:style w:type="paragraph" w:customStyle="1" w:styleId="a2">
    <w:name w:val="ישיבה"/>
    <w:basedOn w:val="Normal"/>
    <w:link w:val="Char5"/>
    <w:rsid w:val="000836F8"/>
    <w:pPr>
      <w:bidi/>
      <w:spacing w:after="120" w:line="240" w:lineRule="auto"/>
    </w:pPr>
    <w:rPr>
      <w:rFonts w:ascii="Times New Roman" w:eastAsia="Times New Roman" w:hAnsi="Times New Roman" w:cs="David"/>
      <w:b/>
      <w:bCs/>
    </w:rPr>
  </w:style>
  <w:style w:type="character" w:customStyle="1" w:styleId="Char5">
    <w:name w:val="ישיבה Char"/>
    <w:link w:val="a2"/>
    <w:locked/>
    <w:rsid w:val="000836F8"/>
    <w:rPr>
      <w:rFonts w:ascii="Times New Roman" w:eastAsia="Times New Roman" w:hAnsi="Times New Roman" w:cs="David"/>
      <w:b/>
      <w:bCs/>
    </w:rPr>
  </w:style>
  <w:style w:type="paragraph" w:customStyle="1" w:styleId="bodytext">
    <w:name w:val="bodytext"/>
    <w:basedOn w:val="Normal"/>
    <w:rsid w:val="000836F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836F8"/>
    <w:pPr>
      <w:ind w:left="720"/>
      <w:contextualSpacing/>
    </w:pPr>
  </w:style>
  <w:style w:type="character" w:customStyle="1" w:styleId="apple-converted-space">
    <w:name w:val="apple-converted-space"/>
    <w:basedOn w:val="DefaultParagraphFont"/>
    <w:rsid w:val="000836F8"/>
  </w:style>
  <w:style w:type="paragraph" w:customStyle="1" w:styleId="a6">
    <w:name w:val="גוף ב'"/>
    <w:basedOn w:val="a3"/>
    <w:link w:val="Char6"/>
    <w:rsid w:val="000836F8"/>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0836F8"/>
    <w:rPr>
      <w:rFonts w:ascii="FbFrankReal" w:eastAsia="Times New Roman" w:hAnsi="FbFrankReal" w:cs="FbFrankReal"/>
      <w:bCs/>
      <w:color w:val="000000" w:themeColor="text1"/>
      <w:sz w:val="24"/>
      <w:szCs w:val="24"/>
      <w:bdr w:val="nil"/>
      <w:lang w:val="bg-BG"/>
    </w:rPr>
  </w:style>
  <w:style w:type="paragraph" w:styleId="TOC4">
    <w:name w:val="toc 4"/>
    <w:basedOn w:val="Normal"/>
    <w:next w:val="Normal"/>
    <w:autoRedefine/>
    <w:uiPriority w:val="39"/>
    <w:unhideWhenUsed/>
    <w:rsid w:val="000836F8"/>
    <w:pPr>
      <w:spacing w:after="100"/>
      <w:ind w:left="660"/>
    </w:pPr>
  </w:style>
  <w:style w:type="paragraph" w:styleId="TOC9">
    <w:name w:val="toc 9"/>
    <w:basedOn w:val="Normal"/>
    <w:next w:val="Normal"/>
    <w:autoRedefine/>
    <w:uiPriority w:val="39"/>
    <w:unhideWhenUsed/>
    <w:rsid w:val="000836F8"/>
    <w:pPr>
      <w:spacing w:after="100"/>
      <w:ind w:left="1760"/>
    </w:pPr>
  </w:style>
  <w:style w:type="paragraph" w:styleId="Header">
    <w:name w:val="header"/>
    <w:basedOn w:val="Normal"/>
    <w:link w:val="HeaderChar"/>
    <w:uiPriority w:val="99"/>
    <w:unhideWhenUsed/>
    <w:rsid w:val="000836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36F8"/>
  </w:style>
  <w:style w:type="paragraph" w:styleId="Footer">
    <w:name w:val="footer"/>
    <w:basedOn w:val="Normal"/>
    <w:link w:val="FooterChar"/>
    <w:uiPriority w:val="99"/>
    <w:unhideWhenUsed/>
    <w:rsid w:val="000836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36F8"/>
  </w:style>
  <w:style w:type="table" w:styleId="TableGrid">
    <w:name w:val="Table Grid"/>
    <w:basedOn w:val="TableNormal"/>
    <w:uiPriority w:val="59"/>
    <w:rsid w:val="000836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0836F8"/>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0836F8"/>
    <w:rPr>
      <w:rFonts w:ascii="FrankRuehl" w:eastAsia="Times New Roman" w:hAnsi="FrankRuehl" w:cs="FrankRuehl"/>
      <w:kern w:val="28"/>
      <w:sz w:val="27"/>
      <w:szCs w:val="27"/>
    </w:rPr>
  </w:style>
  <w:style w:type="paragraph" w:customStyle="1" w:styleId="Style1">
    <w:name w:val="Style1"/>
    <w:basedOn w:val="Normal"/>
    <w:rsid w:val="000836F8"/>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0836F8"/>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0836F8"/>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0836F8"/>
    <w:rPr>
      <w:rFonts w:ascii="Trebuchet MS" w:eastAsia="Times New Roman" w:hAnsi="Trebuchet MS" w:cs="Trebuchet MS"/>
      <w:color w:val="000000"/>
      <w:sz w:val="42"/>
      <w:szCs w:val="42"/>
    </w:rPr>
  </w:style>
  <w:style w:type="paragraph" w:styleId="Title">
    <w:name w:val="Title"/>
    <w:basedOn w:val="Normal"/>
    <w:link w:val="TitleChar"/>
    <w:uiPriority w:val="10"/>
    <w:qFormat/>
    <w:rsid w:val="000836F8"/>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0836F8"/>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0836F8"/>
    <w:rPr>
      <w:rFonts w:ascii="Trebuchet MS" w:eastAsia="Times New Roman" w:hAnsi="Trebuchet MS" w:cs="Trebuchet MS"/>
      <w:i/>
      <w:iCs/>
      <w:color w:val="666666"/>
      <w:sz w:val="26"/>
      <w:szCs w:val="26"/>
    </w:rPr>
  </w:style>
  <w:style w:type="paragraph" w:styleId="Subtitle">
    <w:name w:val="Subtitle"/>
    <w:basedOn w:val="Normal"/>
    <w:link w:val="SubtitleChar"/>
    <w:qFormat/>
    <w:rsid w:val="000836F8"/>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0836F8"/>
    <w:rPr>
      <w:rFonts w:eastAsiaTheme="minorEastAsia"/>
      <w:color w:val="5A5A5A" w:themeColor="text1" w:themeTint="A5"/>
      <w:spacing w:val="15"/>
    </w:rPr>
  </w:style>
  <w:style w:type="paragraph" w:customStyle="1" w:styleId="HaoroDivider">
    <w:name w:val="Haoro Divider"/>
    <w:basedOn w:val="Normal"/>
    <w:rsid w:val="000836F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0836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0836F8"/>
    <w:rPr>
      <w:rFonts w:ascii="Segoe UI" w:hAnsi="Segoe UI" w:cs="Segoe UI"/>
      <w:sz w:val="18"/>
      <w:szCs w:val="18"/>
    </w:rPr>
  </w:style>
  <w:style w:type="paragraph" w:customStyle="1" w:styleId="a8">
    <w:name w:val="כותרת"/>
    <w:basedOn w:val="a9"/>
    <w:link w:val="Char7"/>
    <w:qFormat/>
    <w:rsid w:val="000836F8"/>
    <w:pPr>
      <w:ind w:firstLine="0"/>
      <w:jc w:val="center"/>
    </w:pPr>
    <w:rPr>
      <w:bCs/>
      <w:sz w:val="35"/>
      <w:szCs w:val="33"/>
    </w:rPr>
  </w:style>
  <w:style w:type="paragraph" w:customStyle="1" w:styleId="a9">
    <w:name w:val="טעקסט"/>
    <w:rsid w:val="000836F8"/>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0836F8"/>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0836F8"/>
    <w:rPr>
      <w:rFonts w:ascii="Ashkenazy" w:cs="Ashkenazy"/>
      <w:color w:val="000000"/>
      <w:sz w:val="164"/>
      <w:szCs w:val="164"/>
      <w:lang w:bidi="he-IL"/>
    </w:rPr>
  </w:style>
  <w:style w:type="character" w:customStyle="1" w:styleId="20">
    <w:name w:val="סגנון תו 2"/>
    <w:basedOn w:val="1"/>
    <w:uiPriority w:val="99"/>
    <w:rsid w:val="000836F8"/>
    <w:rPr>
      <w:rFonts w:ascii="Ashkenazy" w:cs="Ashkenazy"/>
      <w:color w:val="000000"/>
      <w:spacing w:val="-9"/>
      <w:w w:val="92"/>
      <w:sz w:val="46"/>
      <w:szCs w:val="46"/>
      <w:lang w:bidi="he-IL"/>
    </w:rPr>
  </w:style>
  <w:style w:type="character" w:customStyle="1" w:styleId="3">
    <w:name w:val="סגנון תו 3"/>
    <w:uiPriority w:val="99"/>
    <w:rsid w:val="000836F8"/>
    <w:rPr>
      <w:rFonts w:ascii="VTvilnacopy01" w:cs="VTvilnacopy01"/>
      <w:b/>
      <w:bCs/>
      <w:w w:val="98"/>
      <w:sz w:val="32"/>
      <w:szCs w:val="32"/>
      <w:lang w:bidi="he-IL"/>
    </w:rPr>
  </w:style>
  <w:style w:type="paragraph" w:styleId="TOC5">
    <w:name w:val="toc 5"/>
    <w:basedOn w:val="Normal"/>
    <w:next w:val="Normal"/>
    <w:autoRedefine/>
    <w:uiPriority w:val="39"/>
    <w:unhideWhenUsed/>
    <w:rsid w:val="000836F8"/>
    <w:pPr>
      <w:spacing w:after="100"/>
      <w:ind w:left="880"/>
    </w:pPr>
    <w:rPr>
      <w:rFonts w:eastAsiaTheme="minorEastAsia"/>
    </w:rPr>
  </w:style>
  <w:style w:type="paragraph" w:styleId="TOC6">
    <w:name w:val="toc 6"/>
    <w:basedOn w:val="Normal"/>
    <w:next w:val="Normal"/>
    <w:autoRedefine/>
    <w:uiPriority w:val="39"/>
    <w:unhideWhenUsed/>
    <w:rsid w:val="000836F8"/>
    <w:pPr>
      <w:spacing w:after="100"/>
      <w:ind w:left="1100"/>
    </w:pPr>
    <w:rPr>
      <w:rFonts w:eastAsiaTheme="minorEastAsia"/>
    </w:rPr>
  </w:style>
  <w:style w:type="paragraph" w:styleId="TOC7">
    <w:name w:val="toc 7"/>
    <w:basedOn w:val="Normal"/>
    <w:next w:val="Normal"/>
    <w:autoRedefine/>
    <w:uiPriority w:val="39"/>
    <w:unhideWhenUsed/>
    <w:rsid w:val="000836F8"/>
    <w:pPr>
      <w:spacing w:after="100"/>
      <w:ind w:left="1320"/>
    </w:pPr>
    <w:rPr>
      <w:rFonts w:eastAsiaTheme="minorEastAsia"/>
    </w:rPr>
  </w:style>
  <w:style w:type="paragraph" w:styleId="TOC8">
    <w:name w:val="toc 8"/>
    <w:basedOn w:val="Normal"/>
    <w:next w:val="Normal"/>
    <w:autoRedefine/>
    <w:uiPriority w:val="39"/>
    <w:unhideWhenUsed/>
    <w:rsid w:val="000836F8"/>
    <w:pPr>
      <w:spacing w:after="100"/>
      <w:ind w:left="1540"/>
    </w:pPr>
    <w:rPr>
      <w:rFonts w:eastAsiaTheme="minorEastAsia"/>
    </w:rPr>
  </w:style>
  <w:style w:type="paragraph" w:customStyle="1" w:styleId="divider">
    <w:name w:val="הקדשה divider"/>
    <w:basedOn w:val="Normal"/>
    <w:link w:val="dividerChar"/>
    <w:rsid w:val="000836F8"/>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0836F8"/>
    <w:rPr>
      <w:rFonts w:ascii="Narkisim" w:eastAsia="Times New Roman" w:hAnsi="Narkisim" w:cs="Narkisim"/>
      <w:sz w:val="27"/>
      <w:szCs w:val="27"/>
    </w:rPr>
  </w:style>
  <w:style w:type="character" w:styleId="SubtleEmphasis">
    <w:name w:val="Subtle Emphasis"/>
    <w:basedOn w:val="DefaultParagraphFont"/>
    <w:uiPriority w:val="19"/>
    <w:rsid w:val="000836F8"/>
    <w:rPr>
      <w:i/>
      <w:iCs/>
      <w:color w:val="404040" w:themeColor="text1" w:themeTint="BF"/>
    </w:rPr>
  </w:style>
  <w:style w:type="character" w:styleId="Emphasis">
    <w:name w:val="Emphasis"/>
    <w:uiPriority w:val="20"/>
    <w:qFormat/>
    <w:rsid w:val="000836F8"/>
    <w:rPr>
      <w:i/>
      <w:iCs/>
    </w:rPr>
  </w:style>
  <w:style w:type="paragraph" w:customStyle="1" w:styleId="aa">
    <w:name w:val="הערה"/>
    <w:basedOn w:val="FootnoteText"/>
    <w:autoRedefine/>
    <w:rsid w:val="000836F8"/>
    <w:pPr>
      <w:spacing w:after="100"/>
      <w:ind w:firstLine="230"/>
    </w:pPr>
    <w:rPr>
      <w:rFonts w:ascii="Times New Roman" w:eastAsia="Times New Roman" w:hAnsi="Times New Roman" w:cs="David"/>
    </w:rPr>
  </w:style>
  <w:style w:type="character" w:customStyle="1" w:styleId="five">
    <w:name w:val="five"/>
    <w:basedOn w:val="DefaultParagraphFont"/>
    <w:rsid w:val="000836F8"/>
  </w:style>
  <w:style w:type="paragraph" w:customStyle="1" w:styleId="ab">
    <w:name w:val="כותרת משנה"/>
    <w:basedOn w:val="Normal"/>
    <w:qFormat/>
    <w:rsid w:val="000836F8"/>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0836F8"/>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0836F8"/>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0836F8"/>
    <w:rPr>
      <w:rFonts w:ascii="Segoe UI" w:hAnsi="Segoe UI" w:cs="Segoe UI"/>
      <w:sz w:val="16"/>
      <w:szCs w:val="16"/>
    </w:rPr>
  </w:style>
  <w:style w:type="numbering" w:customStyle="1" w:styleId="NoList11">
    <w:name w:val="No List11"/>
    <w:next w:val="NoList"/>
    <w:uiPriority w:val="99"/>
    <w:semiHidden/>
    <w:unhideWhenUsed/>
    <w:rsid w:val="000836F8"/>
  </w:style>
  <w:style w:type="paragraph" w:styleId="PlainText">
    <w:name w:val="Plain Text"/>
    <w:basedOn w:val="Normal"/>
    <w:link w:val="PlainTextChar"/>
    <w:uiPriority w:val="99"/>
    <w:unhideWhenUsed/>
    <w:rsid w:val="000836F8"/>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0836F8"/>
    <w:rPr>
      <w:rFonts w:ascii="Consolas" w:hAnsi="Consolas" w:cs="Consolas"/>
      <w:sz w:val="21"/>
      <w:szCs w:val="21"/>
    </w:rPr>
  </w:style>
  <w:style w:type="character" w:styleId="PageNumber">
    <w:name w:val="page number"/>
    <w:basedOn w:val="DefaultParagraphFont"/>
    <w:rsid w:val="000836F8"/>
  </w:style>
  <w:style w:type="character" w:styleId="FollowedHyperlink">
    <w:name w:val="FollowedHyperlink"/>
    <w:basedOn w:val="DefaultParagraphFont"/>
    <w:semiHidden/>
    <w:rsid w:val="000836F8"/>
    <w:rPr>
      <w:color w:val="800080"/>
      <w:u w:val="single"/>
    </w:rPr>
  </w:style>
  <w:style w:type="character" w:customStyle="1" w:styleId="StyleFootnoteReference">
    <w:name w:val="Style Footnote Reference"/>
    <w:basedOn w:val="FootnoteReference"/>
    <w:rsid w:val="000836F8"/>
    <w:rPr>
      <w:rFonts w:cs="FrankRuehl"/>
      <w:spacing w:val="0"/>
      <w:position w:val="0"/>
      <w:sz w:val="18"/>
      <w:szCs w:val="18"/>
      <w:vertAlign w:val="superscript"/>
    </w:rPr>
  </w:style>
  <w:style w:type="paragraph" w:styleId="EndnoteText">
    <w:name w:val="endnote text"/>
    <w:basedOn w:val="Normal"/>
    <w:link w:val="EndnoteTextChar"/>
    <w:uiPriority w:val="99"/>
    <w:semiHidden/>
    <w:rsid w:val="000836F8"/>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uiPriority w:val="99"/>
    <w:semiHidden/>
    <w:rsid w:val="000836F8"/>
    <w:rPr>
      <w:rFonts w:ascii="Times New Roman" w:eastAsia="Times New Roman" w:hAnsi="Times New Roman" w:cs="Dor"/>
      <w:spacing w:val="6"/>
      <w:position w:val="4"/>
      <w:sz w:val="20"/>
      <w:szCs w:val="20"/>
    </w:rPr>
  </w:style>
  <w:style w:type="character" w:styleId="EndnoteReference">
    <w:name w:val="endnote reference"/>
    <w:basedOn w:val="DefaultParagraphFont"/>
    <w:uiPriority w:val="99"/>
    <w:semiHidden/>
    <w:rsid w:val="000836F8"/>
    <w:rPr>
      <w:vertAlign w:val="superscript"/>
    </w:rPr>
  </w:style>
  <w:style w:type="paragraph" w:customStyle="1" w:styleId="ad">
    <w:name w:val="ע&quot;כ"/>
    <w:basedOn w:val="a9"/>
    <w:rsid w:val="000836F8"/>
    <w:rPr>
      <w:bCs/>
      <w:sz w:val="31"/>
      <w:szCs w:val="29"/>
    </w:rPr>
  </w:style>
  <w:style w:type="paragraph" w:customStyle="1" w:styleId="ae">
    <w:name w:val="כוכבים"/>
    <w:basedOn w:val="FootnoteText"/>
    <w:rsid w:val="000836F8"/>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0836F8"/>
    <w:rPr>
      <w:rFonts w:ascii="FrankRuehl" w:hAnsi="FrankRuehl"/>
      <w:sz w:val="30"/>
    </w:rPr>
  </w:style>
  <w:style w:type="paragraph" w:styleId="Signature">
    <w:name w:val="Signature"/>
    <w:basedOn w:val="Normal"/>
    <w:link w:val="SignatureChar"/>
    <w:rsid w:val="000836F8"/>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0836F8"/>
    <w:rPr>
      <w:rFonts w:ascii="Times New Roman" w:eastAsia="Times New Roman" w:hAnsi="Times New Roman" w:cs="David"/>
      <w:sz w:val="24"/>
      <w:szCs w:val="24"/>
    </w:rPr>
  </w:style>
  <w:style w:type="character" w:customStyle="1" w:styleId="af">
    <w:name w:val="נורמל תו"/>
    <w:basedOn w:val="DefaultParagraphFont"/>
    <w:locked/>
    <w:rsid w:val="000836F8"/>
    <w:rPr>
      <w:rFonts w:ascii="Times New Roman" w:eastAsia="Times New Roman" w:hAnsi="Times New Roman" w:cs="FrankRuehl"/>
      <w:kern w:val="28"/>
      <w:sz w:val="27"/>
      <w:szCs w:val="27"/>
    </w:rPr>
  </w:style>
  <w:style w:type="paragraph" w:customStyle="1" w:styleId="Footnotes">
    <w:name w:val="Footnotes"/>
    <w:basedOn w:val="Normal"/>
    <w:rsid w:val="000836F8"/>
    <w:pPr>
      <w:bidi/>
      <w:spacing w:after="0" w:line="260" w:lineRule="exact"/>
      <w:ind w:firstLine="432"/>
      <w:jc w:val="both"/>
    </w:pPr>
    <w:rPr>
      <w:rFonts w:ascii="David" w:eastAsia="David" w:hAnsi="David" w:cs="David"/>
      <w:sz w:val="20"/>
      <w:szCs w:val="20"/>
    </w:rPr>
  </w:style>
  <w:style w:type="character" w:customStyle="1" w:styleId="it">
    <w:name w:val="it"/>
    <w:uiPriority w:val="1"/>
    <w:rsid w:val="000836F8"/>
    <w:rPr>
      <w:rFonts w:ascii="Levenim MT" w:eastAsia="Levenim MT" w:hAnsi="Levenim MT" w:cs="Levenim MT"/>
      <w:sz w:val="16"/>
      <w:szCs w:val="16"/>
    </w:rPr>
  </w:style>
  <w:style w:type="character" w:customStyle="1" w:styleId="hit">
    <w:name w:val="hit"/>
    <w:basedOn w:val="DefaultParagraphFont"/>
    <w:rsid w:val="000836F8"/>
  </w:style>
  <w:style w:type="paragraph" w:customStyle="1" w:styleId="af0">
    <w:name w:val="דוד"/>
    <w:basedOn w:val="Normal"/>
    <w:rsid w:val="000836F8"/>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0836F8"/>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0836F8"/>
    <w:rPr>
      <w:sz w:val="16"/>
      <w:szCs w:val="16"/>
    </w:rPr>
  </w:style>
  <w:style w:type="paragraph" w:styleId="CommentText">
    <w:name w:val="annotation text"/>
    <w:basedOn w:val="Normal"/>
    <w:link w:val="CommentTextChar"/>
    <w:uiPriority w:val="99"/>
    <w:rsid w:val="000836F8"/>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0836F8"/>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0836F8"/>
    <w:rPr>
      <w:b/>
      <w:bCs/>
    </w:rPr>
  </w:style>
  <w:style w:type="character" w:customStyle="1" w:styleId="CommentSubjectChar">
    <w:name w:val="Comment Subject Char"/>
    <w:basedOn w:val="CommentTextChar"/>
    <w:link w:val="CommentSubject"/>
    <w:uiPriority w:val="99"/>
    <w:rsid w:val="000836F8"/>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0836F8"/>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0836F8"/>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0836F8"/>
    <w:pPr>
      <w:spacing w:after="0" w:line="240" w:lineRule="auto"/>
    </w:pPr>
  </w:style>
  <w:style w:type="table" w:customStyle="1" w:styleId="GridTable1Light1">
    <w:name w:val="Grid Table 1 Light1"/>
    <w:basedOn w:val="TableNormal"/>
    <w:uiPriority w:val="46"/>
    <w:rsid w:val="000836F8"/>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0836F8"/>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0836F8"/>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0836F8"/>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0836F8"/>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0836F8"/>
    <w:pPr>
      <w:numPr>
        <w:numId w:val="1"/>
      </w:numPr>
    </w:pPr>
  </w:style>
  <w:style w:type="numbering" w:customStyle="1" w:styleId="ImportedStyle2">
    <w:name w:val="Imported Style 2"/>
    <w:rsid w:val="000836F8"/>
    <w:pPr>
      <w:numPr>
        <w:numId w:val="2"/>
      </w:numPr>
    </w:pPr>
  </w:style>
  <w:style w:type="numbering" w:customStyle="1" w:styleId="ImportedStyle3">
    <w:name w:val="Imported Style 3"/>
    <w:rsid w:val="000836F8"/>
    <w:pPr>
      <w:numPr>
        <w:numId w:val="3"/>
      </w:numPr>
    </w:pPr>
  </w:style>
  <w:style w:type="paragraph" w:customStyle="1" w:styleId="11">
    <w:name w:val="כותרת משנה 1"/>
    <w:basedOn w:val="a3"/>
    <w:link w:val="1Char"/>
    <w:qFormat/>
    <w:rsid w:val="00900523"/>
    <w:pPr>
      <w:bidi w:val="0"/>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900523"/>
    <w:rPr>
      <w:rFonts w:ascii="FbFRealBelet Bold" w:eastAsia="Calibri" w:hAnsi="FbFRealBelet Bold" w:cs="FbFRealBelet Bold"/>
      <w:b/>
      <w:bCs/>
      <w:color w:val="000000" w:themeColor="text1"/>
      <w:sz w:val="20"/>
      <w:szCs w:val="20"/>
      <w:bdr w:val="nil"/>
      <w:lang w:val="bg-BG"/>
    </w:rPr>
  </w:style>
  <w:style w:type="paragraph" w:customStyle="1" w:styleId="Standard">
    <w:name w:val="Standard"/>
    <w:rsid w:val="000836F8"/>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0836F8"/>
    <w:pPr>
      <w:spacing w:after="120"/>
    </w:pPr>
  </w:style>
  <w:style w:type="paragraph" w:styleId="List">
    <w:name w:val="List"/>
    <w:basedOn w:val="Textbody"/>
    <w:rsid w:val="000836F8"/>
    <w:rPr>
      <w:rFonts w:cs="Tahoma"/>
    </w:rPr>
  </w:style>
  <w:style w:type="paragraph" w:styleId="Caption">
    <w:name w:val="caption"/>
    <w:basedOn w:val="Standard"/>
    <w:rsid w:val="000836F8"/>
    <w:pPr>
      <w:suppressLineNumbers/>
      <w:spacing w:before="120" w:after="120"/>
    </w:pPr>
    <w:rPr>
      <w:rFonts w:cs="Tahoma"/>
      <w:i/>
      <w:iCs/>
    </w:rPr>
  </w:style>
  <w:style w:type="paragraph" w:customStyle="1" w:styleId="Index">
    <w:name w:val="Index"/>
    <w:basedOn w:val="Standard"/>
    <w:rsid w:val="000836F8"/>
    <w:pPr>
      <w:suppressLineNumbers/>
    </w:pPr>
    <w:rPr>
      <w:rFonts w:cs="Tahoma"/>
    </w:rPr>
  </w:style>
  <w:style w:type="paragraph" w:customStyle="1" w:styleId="Footnote">
    <w:name w:val="Footnote"/>
    <w:basedOn w:val="Standard"/>
    <w:rsid w:val="000836F8"/>
    <w:pPr>
      <w:suppressLineNumbers/>
      <w:ind w:left="283" w:hanging="283"/>
    </w:pPr>
    <w:rPr>
      <w:sz w:val="20"/>
      <w:szCs w:val="20"/>
    </w:rPr>
  </w:style>
  <w:style w:type="character" w:customStyle="1" w:styleId="FootnoteSymbol">
    <w:name w:val="Footnote Symbol"/>
    <w:rsid w:val="000836F8"/>
  </w:style>
  <w:style w:type="character" w:customStyle="1" w:styleId="Footnoteanchor">
    <w:name w:val="Footnote anchor"/>
    <w:rsid w:val="000836F8"/>
    <w:rPr>
      <w:position w:val="0"/>
      <w:vertAlign w:val="superscript"/>
    </w:rPr>
  </w:style>
  <w:style w:type="character" w:customStyle="1" w:styleId="Char9">
    <w:name w:val="הקדשות Char"/>
    <w:basedOn w:val="DefaultParagraphFont"/>
    <w:link w:val="af2"/>
    <w:locked/>
    <w:rsid w:val="000836F8"/>
    <w:rPr>
      <w:rFonts w:ascii="Narkisim" w:eastAsia="Times New Roman" w:hAnsi="Narkisim" w:cs="Narkisim"/>
      <w:sz w:val="27"/>
      <w:szCs w:val="27"/>
    </w:rPr>
  </w:style>
  <w:style w:type="paragraph" w:customStyle="1" w:styleId="af2">
    <w:name w:val="הקדשות"/>
    <w:basedOn w:val="Normal"/>
    <w:link w:val="Char9"/>
    <w:rsid w:val="000836F8"/>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0836F8"/>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0836F8"/>
    <w:rPr>
      <w:i/>
      <w:iCs/>
      <w:color w:val="5B9BD5" w:themeColor="accent1"/>
    </w:rPr>
  </w:style>
  <w:style w:type="paragraph" w:customStyle="1" w:styleId="af3">
    <w:name w:val="הקדשה"/>
    <w:basedOn w:val="Normal"/>
    <w:link w:val="Chara"/>
    <w:qFormat/>
    <w:rsid w:val="000836F8"/>
    <w:pPr>
      <w:bidi/>
      <w:spacing w:line="240" w:lineRule="auto"/>
      <w:jc w:val="center"/>
    </w:pPr>
    <w:rPr>
      <w:rFonts w:cs="1ShefaClassic"/>
      <w:sz w:val="28"/>
      <w:szCs w:val="28"/>
    </w:rPr>
  </w:style>
  <w:style w:type="table" w:customStyle="1" w:styleId="TableGridLight1">
    <w:name w:val="Table Grid Light1"/>
    <w:basedOn w:val="TableNormal"/>
    <w:uiPriority w:val="40"/>
    <w:rsid w:val="000836F8"/>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0836F8"/>
    <w:rPr>
      <w:rFonts w:cs="1ShefaClassic"/>
      <w:sz w:val="28"/>
      <w:szCs w:val="28"/>
    </w:rPr>
  </w:style>
  <w:style w:type="character" w:customStyle="1" w:styleId="Char7">
    <w:name w:val="כותרת Char"/>
    <w:basedOn w:val="DefaultParagraphFont"/>
    <w:link w:val="a8"/>
    <w:rsid w:val="000836F8"/>
    <w:rPr>
      <w:rFonts w:ascii="Times New Roman" w:eastAsia="Times New Roman" w:hAnsi="Times New Roman" w:cs="David"/>
      <w:b/>
      <w:bCs/>
      <w:sz w:val="35"/>
      <w:szCs w:val="33"/>
    </w:rPr>
  </w:style>
  <w:style w:type="paragraph" w:customStyle="1" w:styleId="about">
    <w:name w:val="about"/>
    <w:basedOn w:val="Normal"/>
    <w:rsid w:val="000836F8"/>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0836F8"/>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0836F8"/>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0836F8"/>
    <w:rPr>
      <w:rFonts w:ascii="David" w:hAnsi="David" w:cs="David"/>
      <w:b/>
      <w:bCs/>
    </w:rPr>
  </w:style>
  <w:style w:type="character" w:customStyle="1" w:styleId="Heading10">
    <w:name w:val="Heading #1_"/>
    <w:basedOn w:val="DefaultParagraphFont"/>
    <w:link w:val="Heading11"/>
    <w:rsid w:val="000836F8"/>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0836F8"/>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0836F8"/>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0836F8"/>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0836F8"/>
    <w:rPr>
      <w:rFonts w:cs="FrankRuehl"/>
      <w:color w:val="000000"/>
      <w:kern w:val="28"/>
      <w:lang w:val="en-US" w:eastAsia="en-US" w:bidi="he-IL"/>
    </w:rPr>
  </w:style>
  <w:style w:type="paragraph" w:customStyle="1" w:styleId="af5">
    <w:name w:val="פנים"/>
    <w:rsid w:val="000836F8"/>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0836F8"/>
    <w:rPr>
      <w:smallCaps/>
      <w:color w:val="5A5A5A" w:themeColor="text1" w:themeTint="A5"/>
    </w:rPr>
  </w:style>
  <w:style w:type="paragraph" w:customStyle="1" w:styleId="headingchapters">
    <w:name w:val="heading chapters"/>
    <w:basedOn w:val="Heading1"/>
    <w:rsid w:val="000836F8"/>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0836F8"/>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0836F8"/>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0836F8"/>
  </w:style>
  <w:style w:type="character" w:styleId="Strong">
    <w:name w:val="Strong"/>
    <w:rsid w:val="000836F8"/>
    <w:rPr>
      <w:b/>
      <w:bCs/>
    </w:rPr>
  </w:style>
  <w:style w:type="paragraph" w:customStyle="1" w:styleId="af8">
    <w:name w:val="תוכן ותמצית"/>
    <w:rsid w:val="000836F8"/>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qFormat/>
    <w:rsid w:val="000836F8"/>
    <w:pPr>
      <w:spacing w:before="0" w:after="100"/>
    </w:pPr>
    <w:rPr>
      <w:rFonts w:ascii="FbSfaradi Medium" w:hAnsi="FbSfaradi Medium" w:cs="FbSfaradi Medium"/>
    </w:rPr>
  </w:style>
  <w:style w:type="character" w:customStyle="1" w:styleId="1Char0">
    <w:name w:val="מדור1 Char"/>
    <w:basedOn w:val="Char3"/>
    <w:link w:val="12"/>
    <w:rsid w:val="000836F8"/>
    <w:rPr>
      <w:rFonts w:ascii="FbSfaradi Medium" w:eastAsia="Times New Roman" w:hAnsi="FbSfaradi Medium" w:cs="FbSfaradi Medium"/>
      <w:sz w:val="70"/>
      <w:szCs w:val="70"/>
      <w:lang w:val="en-GB"/>
    </w:rPr>
  </w:style>
  <w:style w:type="paragraph" w:customStyle="1" w:styleId="af9">
    <w:name w:val="מענה"/>
    <w:basedOn w:val="Normal"/>
    <w:link w:val="Charb"/>
    <w:qFormat/>
    <w:rsid w:val="000836F8"/>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0836F8"/>
    <w:rPr>
      <w:rFonts w:ascii="FbSfaradi" w:hAnsi="FbSfaradi" w:cs="FbSfaradi"/>
      <w:sz w:val="26"/>
      <w:szCs w:val="26"/>
    </w:rPr>
  </w:style>
  <w:style w:type="table" w:styleId="GridTable1Light">
    <w:name w:val="Grid Table 1 Light"/>
    <w:basedOn w:val="TableNormal"/>
    <w:uiPriority w:val="46"/>
    <w:rsid w:val="000836F8"/>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0836F8"/>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0836F8"/>
    <w:rPr>
      <w:rFonts w:ascii="Times New Roman" w:hAnsi="Times New Roman" w:cs="Times New Roman"/>
    </w:rPr>
  </w:style>
  <w:style w:type="paragraph" w:customStyle="1" w:styleId="HaarosBody">
    <w:name w:val="Haaros Body"/>
    <w:basedOn w:val="Normal"/>
    <w:link w:val="HaarosBodyChar"/>
    <w:qFormat/>
    <w:rsid w:val="000836F8"/>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0836F8"/>
    <w:rPr>
      <w:rFonts w:ascii="Narkisim" w:hAnsi="Narkisim" w:cs="Narkisim"/>
      <w:szCs w:val="24"/>
    </w:rPr>
  </w:style>
  <w:style w:type="paragraph" w:customStyle="1" w:styleId="HaarosTitle">
    <w:name w:val="Haaros Title"/>
    <w:basedOn w:val="HaarosName"/>
    <w:link w:val="HaarosTitleChar"/>
    <w:rsid w:val="000836F8"/>
    <w:pPr>
      <w:jc w:val="both"/>
    </w:pPr>
    <w:rPr>
      <w:sz w:val="38"/>
      <w:szCs w:val="38"/>
    </w:rPr>
  </w:style>
  <w:style w:type="character" w:customStyle="1" w:styleId="HaarosTitleChar">
    <w:name w:val="Haaros Title Char"/>
    <w:basedOn w:val="HaarosNameChar"/>
    <w:link w:val="HaarosTitle"/>
    <w:rsid w:val="000836F8"/>
    <w:rPr>
      <w:rFonts w:ascii="David" w:hAnsi="David" w:cs="David"/>
      <w:b/>
      <w:bCs/>
      <w:sz w:val="38"/>
      <w:szCs w:val="38"/>
    </w:rPr>
  </w:style>
  <w:style w:type="paragraph" w:styleId="BodyText2">
    <w:name w:val="Body Text 2"/>
    <w:basedOn w:val="Normal"/>
    <w:link w:val="BodyText2Char"/>
    <w:semiHidden/>
    <w:rsid w:val="000836F8"/>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0836F8"/>
    <w:rPr>
      <w:rFonts w:ascii="Times New Roman" w:eastAsia="Times New Roman" w:hAnsi="Times New Roman" w:cs="Miriam"/>
      <w:sz w:val="24"/>
      <w:szCs w:val="28"/>
    </w:rPr>
  </w:style>
  <w:style w:type="character" w:customStyle="1" w:styleId="Charc">
    <w:name w:val="נורמל Char"/>
    <w:rsid w:val="000836F8"/>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0836F8"/>
    <w:pPr>
      <w:spacing w:after="120"/>
      <w:ind w:left="360"/>
    </w:pPr>
  </w:style>
  <w:style w:type="character" w:customStyle="1" w:styleId="BodyTextIndentChar">
    <w:name w:val="Body Text Indent Char"/>
    <w:basedOn w:val="DefaultParagraphFont"/>
    <w:link w:val="BodyTextIndent"/>
    <w:uiPriority w:val="99"/>
    <w:semiHidden/>
    <w:rsid w:val="000836F8"/>
  </w:style>
  <w:style w:type="paragraph" w:styleId="BodyTextIndent2">
    <w:name w:val="Body Text Indent 2"/>
    <w:basedOn w:val="Normal"/>
    <w:link w:val="BodyTextIndent2Char"/>
    <w:uiPriority w:val="99"/>
    <w:semiHidden/>
    <w:unhideWhenUsed/>
    <w:rsid w:val="000836F8"/>
    <w:pPr>
      <w:spacing w:after="120" w:line="480" w:lineRule="auto"/>
      <w:ind w:left="360"/>
    </w:pPr>
  </w:style>
  <w:style w:type="character" w:customStyle="1" w:styleId="BodyTextIndent2Char">
    <w:name w:val="Body Text Indent 2 Char"/>
    <w:basedOn w:val="DefaultParagraphFont"/>
    <w:link w:val="BodyTextIndent2"/>
    <w:uiPriority w:val="99"/>
    <w:semiHidden/>
    <w:rsid w:val="000836F8"/>
  </w:style>
  <w:style w:type="paragraph" w:customStyle="1" w:styleId="afa">
    <w:name w:val="שם הרב"/>
    <w:basedOn w:val="Normal"/>
    <w:rsid w:val="000836F8"/>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0836F8"/>
  </w:style>
  <w:style w:type="paragraph" w:styleId="BodyText3">
    <w:name w:val="Body Text"/>
    <w:basedOn w:val="Normal"/>
    <w:link w:val="BodyTextChar"/>
    <w:uiPriority w:val="99"/>
    <w:semiHidden/>
    <w:unhideWhenUsed/>
    <w:rsid w:val="000836F8"/>
    <w:pPr>
      <w:spacing w:after="120"/>
    </w:pPr>
  </w:style>
  <w:style w:type="character" w:customStyle="1" w:styleId="BodyTextChar">
    <w:name w:val="Body Text Char"/>
    <w:basedOn w:val="DefaultParagraphFont"/>
    <w:link w:val="BodyText3"/>
    <w:uiPriority w:val="99"/>
    <w:semiHidden/>
    <w:rsid w:val="000836F8"/>
  </w:style>
  <w:style w:type="paragraph" w:customStyle="1" w:styleId="afb">
    <w:name w:val="דברי רשי"/>
    <w:basedOn w:val="Normal"/>
    <w:link w:val="afc"/>
    <w:qFormat/>
    <w:rsid w:val="000836F8"/>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rsid w:val="000836F8"/>
    <w:rPr>
      <w:rFonts w:ascii="Times New Roman" w:eastAsia="Times New Roman" w:hAnsi="Times New Roman" w:cs="Guttman Rashi"/>
      <w:b/>
      <w:bCs/>
      <w:i/>
      <w:iCs/>
      <w:sz w:val="28"/>
      <w:szCs w:val="28"/>
    </w:rPr>
  </w:style>
  <w:style w:type="paragraph" w:customStyle="1" w:styleId="afd">
    <w:name w:val="נושא"/>
    <w:basedOn w:val="Normal"/>
    <w:next w:val="Normal"/>
    <w:rsid w:val="000836F8"/>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0836F8"/>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0836F8"/>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aliases w:val="Refrance Char,Main text. Char"/>
    <w:basedOn w:val="DefaultParagraphFont"/>
    <w:link w:val="NoSpacing"/>
    <w:uiPriority w:val="1"/>
    <w:rsid w:val="000836F8"/>
    <w:rPr>
      <w:lang w:val="en-GB"/>
    </w:rPr>
  </w:style>
  <w:style w:type="character" w:customStyle="1" w:styleId="gd">
    <w:name w:val="gd"/>
    <w:basedOn w:val="DefaultParagraphFont"/>
    <w:rsid w:val="000836F8"/>
  </w:style>
  <w:style w:type="character" w:customStyle="1" w:styleId="go">
    <w:name w:val="go"/>
    <w:basedOn w:val="DefaultParagraphFont"/>
    <w:rsid w:val="000836F8"/>
  </w:style>
  <w:style w:type="paragraph" w:customStyle="1" w:styleId="he">
    <w:name w:val="he"/>
    <w:basedOn w:val="Normal"/>
    <w:rsid w:val="000836F8"/>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qFormat/>
    <w:rsid w:val="000836F8"/>
    <w:rPr>
      <w:b/>
      <w:bCs/>
      <w:i/>
      <w:iCs/>
      <w:spacing w:val="5"/>
    </w:rPr>
  </w:style>
  <w:style w:type="character" w:customStyle="1" w:styleId="gi">
    <w:name w:val="gi"/>
    <w:basedOn w:val="DefaultParagraphFont"/>
    <w:rsid w:val="000836F8"/>
  </w:style>
  <w:style w:type="character" w:customStyle="1" w:styleId="qu">
    <w:name w:val="qu"/>
    <w:basedOn w:val="DefaultParagraphFont"/>
    <w:rsid w:val="000836F8"/>
  </w:style>
  <w:style w:type="character" w:customStyle="1" w:styleId="Chard">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0836F8"/>
    <w:rPr>
      <w:rFonts w:ascii="Times New Roman" w:eastAsia="Times New Roman" w:hAnsi="Times New Roman" w:cs="Times New Roman"/>
      <w:sz w:val="20"/>
      <w:szCs w:val="20"/>
      <w:lang w:bidi="he-IL"/>
    </w:rPr>
  </w:style>
  <w:style w:type="paragraph" w:customStyle="1" w:styleId="aff">
    <w:name w:val="פתח דבר"/>
    <w:basedOn w:val="Normal"/>
    <w:rsid w:val="000836F8"/>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0836F8"/>
  </w:style>
  <w:style w:type="paragraph" w:customStyle="1" w:styleId="aff0">
    <w:name w:val="פתח דבר חתימה"/>
    <w:qFormat/>
    <w:rsid w:val="000836F8"/>
    <w:pPr>
      <w:spacing w:after="0" w:line="240" w:lineRule="auto"/>
    </w:pPr>
    <w:rPr>
      <w:rFonts w:ascii="FrankRuehl" w:eastAsia="Times New Roman" w:hAnsi="FrankRuehl" w:cs="Hadassa Bold"/>
      <w:kern w:val="28"/>
      <w:sz w:val="27"/>
      <w:szCs w:val="27"/>
    </w:rPr>
  </w:style>
  <w:style w:type="character" w:customStyle="1" w:styleId="gmail-hebrewchar">
    <w:name w:val="gmail-hebrewchar"/>
    <w:basedOn w:val="DefaultParagraphFont"/>
    <w:rsid w:val="000836F8"/>
  </w:style>
  <w:style w:type="paragraph" w:customStyle="1" w:styleId="aff1">
    <w:name w:val="מונוטייפ כותרת ראשית"/>
    <w:basedOn w:val="Normal"/>
    <w:link w:val="aff2"/>
    <w:qFormat/>
    <w:rsid w:val="000836F8"/>
    <w:pPr>
      <w:shd w:val="clear" w:color="auto" w:fill="FCFCFC"/>
      <w:bidi/>
      <w:spacing w:before="40" w:after="100" w:line="240" w:lineRule="auto"/>
      <w:ind w:firstLine="170"/>
      <w:jc w:val="both"/>
    </w:pPr>
    <w:rPr>
      <w:rFonts w:ascii="Monotype Hadassah" w:hAnsi="Monotype Hadassah" w:cs="Monotype Hadassah"/>
      <w:b/>
      <w:bCs/>
      <w:sz w:val="38"/>
      <w:szCs w:val="38"/>
    </w:rPr>
  </w:style>
  <w:style w:type="character" w:customStyle="1" w:styleId="aff2">
    <w:name w:val="מונוטייפ כותרת ראשית תו"/>
    <w:link w:val="aff1"/>
    <w:locked/>
    <w:rsid w:val="000836F8"/>
    <w:rPr>
      <w:rFonts w:ascii="Monotype Hadassah" w:hAnsi="Monotype Hadassah" w:cs="Monotype Hadassah"/>
      <w:b/>
      <w:bCs/>
      <w:sz w:val="38"/>
      <w:szCs w:val="38"/>
      <w:shd w:val="clear" w:color="auto" w:fill="FCFCFC"/>
    </w:rPr>
  </w:style>
  <w:style w:type="paragraph" w:customStyle="1" w:styleId="Normal1">
    <w:name w:val="Normal1"/>
    <w:basedOn w:val="Normal"/>
    <w:rsid w:val="00D10A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l">
    <w:name w:val="il"/>
    <w:basedOn w:val="DefaultParagraphFont"/>
    <w:rsid w:val="00346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6747182">
      <w:bodyDiv w:val="1"/>
      <w:marLeft w:val="0"/>
      <w:marRight w:val="0"/>
      <w:marTop w:val="0"/>
      <w:marBottom w:val="0"/>
      <w:divBdr>
        <w:top w:val="none" w:sz="0" w:space="0" w:color="auto"/>
        <w:left w:val="none" w:sz="0" w:space="0" w:color="auto"/>
        <w:bottom w:val="none" w:sz="0" w:space="0" w:color="auto"/>
        <w:right w:val="none" w:sz="0" w:space="0" w:color="auto"/>
      </w:divBdr>
    </w:div>
    <w:div w:id="1727872737">
      <w:bodyDiv w:val="1"/>
      <w:marLeft w:val="0"/>
      <w:marRight w:val="0"/>
      <w:marTop w:val="0"/>
      <w:marBottom w:val="0"/>
      <w:divBdr>
        <w:top w:val="none" w:sz="0" w:space="0" w:color="auto"/>
        <w:left w:val="none" w:sz="0" w:space="0" w:color="auto"/>
        <w:bottom w:val="none" w:sz="0" w:space="0" w:color="auto"/>
        <w:right w:val="none" w:sz="0" w:space="0" w:color="auto"/>
      </w:divBdr>
      <w:divsChild>
        <w:div w:id="1178890853">
          <w:marLeft w:val="0"/>
          <w:marRight w:val="0"/>
          <w:marTop w:val="0"/>
          <w:marBottom w:val="0"/>
          <w:divBdr>
            <w:top w:val="none" w:sz="0" w:space="0" w:color="auto"/>
            <w:left w:val="none" w:sz="0" w:space="0" w:color="auto"/>
            <w:bottom w:val="none" w:sz="0" w:space="0" w:color="auto"/>
            <w:right w:val="none" w:sz="0" w:space="0" w:color="auto"/>
          </w:divBdr>
        </w:div>
        <w:div w:id="966005024">
          <w:marLeft w:val="0"/>
          <w:marRight w:val="0"/>
          <w:marTop w:val="0"/>
          <w:marBottom w:val="0"/>
          <w:divBdr>
            <w:top w:val="none" w:sz="0" w:space="0" w:color="auto"/>
            <w:left w:val="none" w:sz="0" w:space="0" w:color="auto"/>
            <w:bottom w:val="none" w:sz="0" w:space="0" w:color="auto"/>
            <w:right w:val="none" w:sz="0" w:space="0" w:color="auto"/>
          </w:divBdr>
        </w:div>
        <w:div w:id="72557562">
          <w:marLeft w:val="0"/>
          <w:marRight w:val="0"/>
          <w:marTop w:val="0"/>
          <w:marBottom w:val="0"/>
          <w:divBdr>
            <w:top w:val="none" w:sz="0" w:space="0" w:color="auto"/>
            <w:left w:val="none" w:sz="0" w:space="0" w:color="auto"/>
            <w:bottom w:val="none" w:sz="0" w:space="0" w:color="auto"/>
            <w:right w:val="none" w:sz="0" w:space="0" w:color="auto"/>
          </w:divBdr>
        </w:div>
        <w:div w:id="1219320360">
          <w:marLeft w:val="0"/>
          <w:marRight w:val="0"/>
          <w:marTop w:val="0"/>
          <w:marBottom w:val="0"/>
          <w:divBdr>
            <w:top w:val="none" w:sz="0" w:space="0" w:color="auto"/>
            <w:left w:val="none" w:sz="0" w:space="0" w:color="auto"/>
            <w:bottom w:val="none" w:sz="0" w:space="0" w:color="auto"/>
            <w:right w:val="none" w:sz="0" w:space="0" w:color="auto"/>
          </w:divBdr>
        </w:div>
        <w:div w:id="1677538172">
          <w:marLeft w:val="0"/>
          <w:marRight w:val="0"/>
          <w:marTop w:val="0"/>
          <w:marBottom w:val="0"/>
          <w:divBdr>
            <w:top w:val="none" w:sz="0" w:space="0" w:color="auto"/>
            <w:left w:val="none" w:sz="0" w:space="0" w:color="auto"/>
            <w:bottom w:val="none" w:sz="0" w:space="0" w:color="auto"/>
            <w:right w:val="none" w:sz="0" w:space="0" w:color="auto"/>
          </w:divBdr>
        </w:div>
        <w:div w:id="583996976">
          <w:marLeft w:val="0"/>
          <w:marRight w:val="0"/>
          <w:marTop w:val="0"/>
          <w:marBottom w:val="0"/>
          <w:divBdr>
            <w:top w:val="none" w:sz="0" w:space="0" w:color="auto"/>
            <w:left w:val="none" w:sz="0" w:space="0" w:color="auto"/>
            <w:bottom w:val="none" w:sz="0" w:space="0" w:color="auto"/>
            <w:right w:val="none" w:sz="0" w:space="0" w:color="auto"/>
          </w:divBdr>
        </w:div>
        <w:div w:id="799612485">
          <w:marLeft w:val="0"/>
          <w:marRight w:val="0"/>
          <w:marTop w:val="0"/>
          <w:marBottom w:val="0"/>
          <w:divBdr>
            <w:top w:val="none" w:sz="0" w:space="0" w:color="auto"/>
            <w:left w:val="none" w:sz="0" w:space="0" w:color="auto"/>
            <w:bottom w:val="none" w:sz="0" w:space="0" w:color="auto"/>
            <w:right w:val="none" w:sz="0" w:space="0" w:color="auto"/>
          </w:divBdr>
        </w:div>
        <w:div w:id="10451757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image" Target="media/image1.png"/><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hturem.net/index.php?section=blog_new&amp;article_id=129"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eta.hebrewbooks.org/pdfpager.aspx?req=14949&amp;st=&amp;pgnum=78"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beta.hebrewbooks.org/shas.aspx?mesechta=26&amp;daf=10b&amp;format=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7F06F-6C9F-476C-8A6D-D95DAEA7C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1</Pages>
  <Words>44850</Words>
  <Characters>255646</Characters>
  <Application>Microsoft Office Word</Application>
  <DocSecurity>0</DocSecurity>
  <Lines>2130</Lines>
  <Paragraphs>599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29</cp:revision>
  <cp:lastPrinted>2020-06-25T11:42:00Z</cp:lastPrinted>
  <dcterms:created xsi:type="dcterms:W3CDTF">2020-06-24T01:21:00Z</dcterms:created>
  <dcterms:modified xsi:type="dcterms:W3CDTF">2020-06-25T11:47:00Z</dcterms:modified>
</cp:coreProperties>
</file>