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D9B2E" w14:textId="77777777" w:rsidR="005330C9" w:rsidRPr="00E27970" w:rsidRDefault="005330C9" w:rsidP="005330C9">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55ACF4FE" wp14:editId="673F9DB2">
                <wp:simplePos x="0" y="0"/>
                <wp:positionH relativeFrom="margin">
                  <wp:posOffset>-59690</wp:posOffset>
                </wp:positionH>
                <wp:positionV relativeFrom="margin">
                  <wp:posOffset>3884930</wp:posOffset>
                </wp:positionV>
                <wp:extent cx="3032760" cy="14287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28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E6EF3B" w14:textId="77777777" w:rsidR="00304B8E" w:rsidRPr="008A2DB0" w:rsidRDefault="00304B8E" w:rsidP="005330C9">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ושלוש</w:t>
                            </w:r>
                          </w:p>
                          <w:p w14:paraId="23747EE1" w14:textId="77777777" w:rsidR="00304B8E" w:rsidRPr="00F24E97" w:rsidRDefault="00304B8E" w:rsidP="005330C9">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א</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w:t>
                            </w:r>
                            <w:r>
                              <w:rPr>
                                <w:rFonts w:ascii="FbSfaradi Regular" w:hAnsi="FbSfaradi Regular" w:cs="PFT_Vilna" w:hint="cs"/>
                                <w:sz w:val="28"/>
                                <w:szCs w:val="28"/>
                                <w:rtl/>
                              </w:rPr>
                              <w:t>רב</w:t>
                            </w:r>
                            <w:r w:rsidRPr="00F24E97">
                              <w:rPr>
                                <w:rFonts w:ascii="FbSfaradi Regular" w:hAnsi="FbSfaradi Regular" w:cs="PFT_Vilna"/>
                                <w:sz w:val="28"/>
                                <w:szCs w:val="28"/>
                                <w:rtl/>
                              </w:rPr>
                              <w:t>]</w:t>
                            </w:r>
                          </w:p>
                          <w:p w14:paraId="47344C6A" w14:textId="77777777" w:rsidR="00304B8E" w:rsidRDefault="00304B8E" w:rsidP="005330C9">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ראש השנה</w:t>
                            </w:r>
                          </w:p>
                          <w:p w14:paraId="3C644DB5" w14:textId="77777777" w:rsidR="00304B8E" w:rsidRDefault="00304B8E" w:rsidP="005330C9">
                            <w:pPr>
                              <w:pStyle w:val="NoParagraphStyle"/>
                              <w:spacing w:line="276" w:lineRule="auto"/>
                              <w:jc w:val="right"/>
                              <w:rPr>
                                <w:rFonts w:ascii="FbSfaradi Bold" w:hAnsi="FbSfaradi Bold" w:cs="PFT_Vilna"/>
                                <w:sz w:val="28"/>
                                <w:szCs w:val="28"/>
                                <w:rtl/>
                              </w:rPr>
                            </w:pPr>
                          </w:p>
                          <w:p w14:paraId="6F05F25E" w14:textId="77777777" w:rsidR="00304B8E" w:rsidRDefault="00304B8E" w:rsidP="005330C9">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ACF4FE" id="_x0000_t202" coordsize="21600,21600" o:spt="202" path="m,l,21600r21600,l21600,xe">
                <v:stroke joinstyle="miter"/>
                <v:path gradientshapeok="t" o:connecttype="rect"/>
              </v:shapetype>
              <v:shape id="Text Box 3" o:spid="_x0000_s1026" type="#_x0000_t202" style="position:absolute;margin-left:-4.7pt;margin-top:305.9pt;width:238.8pt;height:112.5pt;z-index:2516695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" filled="f" stroked="f" strokecolor="black [0]" insetpen="t">
                <v:textbox inset="2.88pt,2.88pt,2.88pt,2.88pt">
                  <w:txbxContent>
                    <w:p w14:paraId="51E6EF3B" w14:textId="77777777" w:rsidR="00304B8E" w:rsidRPr="008A2DB0" w:rsidRDefault="00304B8E" w:rsidP="005330C9">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ושלוש</w:t>
                      </w:r>
                    </w:p>
                    <w:p w14:paraId="23747EE1" w14:textId="77777777" w:rsidR="00304B8E" w:rsidRPr="00F24E97" w:rsidRDefault="00304B8E" w:rsidP="005330C9">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א</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w:t>
                      </w:r>
                      <w:r>
                        <w:rPr>
                          <w:rFonts w:ascii="FbSfaradi Regular" w:hAnsi="FbSfaradi Regular" w:cs="PFT_Vilna" w:hint="cs"/>
                          <w:sz w:val="28"/>
                          <w:szCs w:val="28"/>
                          <w:rtl/>
                        </w:rPr>
                        <w:t>רב</w:t>
                      </w:r>
                      <w:r w:rsidRPr="00F24E97">
                        <w:rPr>
                          <w:rFonts w:ascii="FbSfaradi Regular" w:hAnsi="FbSfaradi Regular" w:cs="PFT_Vilna"/>
                          <w:sz w:val="28"/>
                          <w:szCs w:val="28"/>
                          <w:rtl/>
                        </w:rPr>
                        <w:t>]</w:t>
                      </w:r>
                    </w:p>
                    <w:p w14:paraId="47344C6A" w14:textId="77777777" w:rsidR="00304B8E" w:rsidRDefault="00304B8E" w:rsidP="005330C9">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ראש השנה</w:t>
                      </w:r>
                    </w:p>
                    <w:p w14:paraId="3C644DB5" w14:textId="77777777" w:rsidR="00304B8E" w:rsidRDefault="00304B8E" w:rsidP="005330C9">
                      <w:pPr>
                        <w:pStyle w:val="NoParagraphStyle"/>
                        <w:spacing w:line="276" w:lineRule="auto"/>
                        <w:jc w:val="right"/>
                        <w:rPr>
                          <w:rFonts w:ascii="FbSfaradi Bold" w:hAnsi="FbSfaradi Bold" w:cs="PFT_Vilna"/>
                          <w:sz w:val="28"/>
                          <w:szCs w:val="28"/>
                          <w:rtl/>
                        </w:rPr>
                      </w:pPr>
                    </w:p>
                    <w:p w14:paraId="6F05F25E" w14:textId="77777777" w:rsidR="00304B8E" w:rsidRDefault="00304B8E" w:rsidP="005330C9">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0E91A550" wp14:editId="047F93E8">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2FE347" w14:textId="77777777" w:rsidR="00304B8E" w:rsidRPr="00A85094" w:rsidRDefault="00304B8E" w:rsidP="005330C9">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122F00A0" w14:textId="77777777" w:rsidR="00304B8E" w:rsidRPr="00A85094" w:rsidRDefault="00304B8E" w:rsidP="005330C9">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3037A7D5" w14:textId="77777777" w:rsidR="00304B8E" w:rsidRPr="00A85094" w:rsidRDefault="00304B8E" w:rsidP="005330C9">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622E6893" w14:textId="77777777" w:rsidR="00304B8E" w:rsidRDefault="00304B8E" w:rsidP="005330C9">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296EB335" w14:textId="6DA7A724" w:rsidR="00304B8E" w:rsidRPr="00A85094" w:rsidRDefault="00304B8E" w:rsidP="005330C9">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ושתים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1A550" id="Text Box 4" o:spid="_x0000_s1027" type="#_x0000_t202" style="position:absolute;margin-left:0;margin-top:442.35pt;width:266.45pt;height:105.6pt;z-index:25167052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" filled="f" stroked="f" strokecolor="black [0]" insetpen="t">
                <v:textbox inset="2.88pt,2.88pt,2.88pt,2.88pt">
                  <w:txbxContent>
                    <w:p w14:paraId="522FE347" w14:textId="77777777" w:rsidR="00304B8E" w:rsidRPr="00A85094" w:rsidRDefault="00304B8E" w:rsidP="005330C9">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122F00A0" w14:textId="77777777" w:rsidR="00304B8E" w:rsidRPr="00A85094" w:rsidRDefault="00304B8E" w:rsidP="005330C9">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3037A7D5" w14:textId="77777777" w:rsidR="00304B8E" w:rsidRPr="00A85094" w:rsidRDefault="00304B8E" w:rsidP="005330C9">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622E6893" w14:textId="77777777" w:rsidR="00304B8E" w:rsidRDefault="00304B8E" w:rsidP="005330C9">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296EB335" w14:textId="6DA7A724" w:rsidR="00304B8E" w:rsidRPr="00A85094" w:rsidRDefault="00304B8E" w:rsidP="005330C9">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ושתים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2D59D458" wp14:editId="6A33FC1F">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DDCFFF" w14:textId="77777777" w:rsidR="00304B8E" w:rsidRPr="00827182" w:rsidRDefault="00304B8E" w:rsidP="005330C9">
                            <w:pPr>
                              <w:widowControl w:val="0"/>
                              <w:bidi/>
                              <w:spacing w:line="240" w:lineRule="auto"/>
                              <w:jc w:val="center"/>
                              <w:rPr>
                                <w:rFonts w:ascii="FbSfaradi Regular" w:hAnsi="FbSfaradi Regular" w:cs="FbSfaradi Regular"/>
                                <w:sz w:val="26"/>
                                <w:szCs w:val="26"/>
                              </w:rPr>
                            </w:pPr>
                            <w:r>
                              <w:rPr>
                                <w:rFonts w:ascii="FbSfaradi Regular" w:hAnsi="FbSfaradi Regular" w:cs="FbSfaradi Regular" w:hint="cs"/>
                                <w:sz w:val="26"/>
                                <w:szCs w:val="26"/>
                                <w:rtl/>
                              </w:rPr>
                              <w:t>ב"ה</w:t>
                            </w:r>
                          </w:p>
                          <w:p w14:paraId="56813803" w14:textId="77777777" w:rsidR="00304B8E" w:rsidRDefault="00304B8E" w:rsidP="005330C9">
                            <w:pPr>
                              <w:widowControl w:val="0"/>
                              <w:bidi/>
                              <w:spacing w:line="156" w:lineRule="auto"/>
                              <w:jc w:val="center"/>
                              <w:rPr>
                                <w:rFonts w:ascii="FbSfaradi Regular" w:hAnsi="FbSfaradi Regular" w:cs="FbSfaradi Regular"/>
                                <w:sz w:val="26"/>
                                <w:szCs w:val="26"/>
                                <w:rtl/>
                              </w:rPr>
                            </w:pPr>
                          </w:p>
                          <w:p w14:paraId="364EA4C8" w14:textId="77777777" w:rsidR="00304B8E" w:rsidRPr="00E967C0" w:rsidRDefault="00304B8E" w:rsidP="005330C9">
                            <w:pPr>
                              <w:widowControl w:val="0"/>
                              <w:bidi/>
                              <w:spacing w:line="240" w:lineRule="auto"/>
                              <w:jc w:val="center"/>
                              <w:rPr>
                                <w:rFonts w:ascii="FbSfaradi Regular" w:hAnsi="FbSfaradi Regular" w:cs="FbSfaradi Regular"/>
                                <w:sz w:val="2"/>
                                <w:szCs w:val="2"/>
                                <w:rtl/>
                              </w:rPr>
                            </w:pPr>
                          </w:p>
                          <w:p w14:paraId="02145065" w14:textId="77777777" w:rsidR="00304B8E" w:rsidRPr="0041359D" w:rsidRDefault="00304B8E" w:rsidP="005330C9">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05CEDF5" w14:textId="77777777" w:rsidR="00304B8E" w:rsidRPr="0041359D" w:rsidRDefault="00304B8E" w:rsidP="005330C9">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6821C3D8" w14:textId="77777777" w:rsidR="00304B8E" w:rsidRPr="00827182" w:rsidRDefault="00304B8E" w:rsidP="005330C9">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72631F44" w14:textId="77777777" w:rsidR="00304B8E" w:rsidRPr="0041359D" w:rsidRDefault="00304B8E" w:rsidP="005330C9">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9D458" id="Text Box 5" o:spid="_x0000_s1028" type="#_x0000_t202" style="position:absolute;margin-left:-.55pt;margin-top:-23.8pt;width:303.9pt;height:279.35pt;z-index:2516674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" filled="f" stroked="f" strokecolor="black [0]" insetpen="t">
                <v:textbox inset="2.88pt,2.88pt,2.88pt,2.88pt">
                  <w:txbxContent>
                    <w:p w14:paraId="16DDCFFF" w14:textId="77777777" w:rsidR="00304B8E" w:rsidRPr="00827182" w:rsidRDefault="00304B8E" w:rsidP="005330C9">
                      <w:pPr>
                        <w:widowControl w:val="0"/>
                        <w:bidi/>
                        <w:spacing w:line="240" w:lineRule="auto"/>
                        <w:jc w:val="center"/>
                        <w:rPr>
                          <w:rFonts w:ascii="FbSfaradi Regular" w:hAnsi="FbSfaradi Regular" w:cs="FbSfaradi Regular"/>
                          <w:sz w:val="26"/>
                          <w:szCs w:val="26"/>
                        </w:rPr>
                      </w:pPr>
                      <w:r>
                        <w:rPr>
                          <w:rFonts w:ascii="FbSfaradi Regular" w:hAnsi="FbSfaradi Regular" w:cs="FbSfaradi Regular" w:hint="cs"/>
                          <w:sz w:val="26"/>
                          <w:szCs w:val="26"/>
                          <w:rtl/>
                        </w:rPr>
                        <w:t>ב"ה</w:t>
                      </w:r>
                    </w:p>
                    <w:p w14:paraId="56813803" w14:textId="77777777" w:rsidR="00304B8E" w:rsidRDefault="00304B8E" w:rsidP="005330C9">
                      <w:pPr>
                        <w:widowControl w:val="0"/>
                        <w:bidi/>
                        <w:spacing w:line="156" w:lineRule="auto"/>
                        <w:jc w:val="center"/>
                        <w:rPr>
                          <w:rFonts w:ascii="FbSfaradi Regular" w:hAnsi="FbSfaradi Regular" w:cs="FbSfaradi Regular"/>
                          <w:sz w:val="26"/>
                          <w:szCs w:val="26"/>
                          <w:rtl/>
                        </w:rPr>
                      </w:pPr>
                    </w:p>
                    <w:p w14:paraId="364EA4C8" w14:textId="77777777" w:rsidR="00304B8E" w:rsidRPr="00E967C0" w:rsidRDefault="00304B8E" w:rsidP="005330C9">
                      <w:pPr>
                        <w:widowControl w:val="0"/>
                        <w:bidi/>
                        <w:spacing w:line="240" w:lineRule="auto"/>
                        <w:jc w:val="center"/>
                        <w:rPr>
                          <w:rFonts w:ascii="FbSfaradi Regular" w:hAnsi="FbSfaradi Regular" w:cs="FbSfaradi Regular"/>
                          <w:sz w:val="2"/>
                          <w:szCs w:val="2"/>
                          <w:rtl/>
                        </w:rPr>
                      </w:pPr>
                    </w:p>
                    <w:p w14:paraId="02145065" w14:textId="77777777" w:rsidR="00304B8E" w:rsidRPr="0041359D" w:rsidRDefault="00304B8E" w:rsidP="005330C9">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05CEDF5" w14:textId="77777777" w:rsidR="00304B8E" w:rsidRPr="0041359D" w:rsidRDefault="00304B8E" w:rsidP="005330C9">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6821C3D8" w14:textId="77777777" w:rsidR="00304B8E" w:rsidRPr="00827182" w:rsidRDefault="00304B8E" w:rsidP="005330C9">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72631F44" w14:textId="77777777" w:rsidR="00304B8E" w:rsidRPr="0041359D" w:rsidRDefault="00304B8E" w:rsidP="005330C9">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675C2E64" wp14:editId="566C9934">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B35FD3" w14:textId="77777777" w:rsidR="00304B8E" w:rsidRPr="00880CC5" w:rsidRDefault="00304B8E" w:rsidP="005330C9">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C2E64" id="Text Box 2" o:spid="_x0000_s1029" type="#_x0000_t202" style="position:absolute;margin-left:0;margin-top:249.1pt;width:204.6pt;height:36.35pt;z-index:2516684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" filled="f" stroked="f" strokecolor="black [0]" insetpen="t">
                <v:textbox inset="2.88pt,2.88pt,2.88pt,2.88pt">
                  <w:txbxContent>
                    <w:p w14:paraId="5FB35FD3" w14:textId="77777777" w:rsidR="00304B8E" w:rsidRPr="00880CC5" w:rsidRDefault="00304B8E" w:rsidP="005330C9">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p>
    <w:p w14:paraId="31F6E34B" w14:textId="77777777" w:rsidR="005330C9" w:rsidRDefault="005330C9" w:rsidP="005330C9">
      <w:pPr>
        <w:bidi/>
        <w:spacing w:after="100"/>
        <w:jc w:val="center"/>
        <w:rPr>
          <w:rFonts w:ascii="FbFRealBelet Bold" w:hAnsi="FbFRealBelet Bold" w:cs="FbFRealBelet Bold"/>
          <w:b/>
          <w:bCs/>
          <w:sz w:val="32"/>
          <w:szCs w:val="32"/>
        </w:rPr>
        <w:sectPr w:rsidR="005330C9" w:rsidSect="005330C9">
          <w:footnotePr>
            <w:numRestart w:val="eachSect"/>
          </w:footnotePr>
          <w:pgSz w:w="7920" w:h="12240"/>
          <w:pgMar w:top="-1152" w:right="864" w:bottom="720" w:left="864" w:header="562" w:footer="0" w:gutter="0"/>
          <w:cols w:space="720"/>
          <w:docGrid w:linePitch="360"/>
        </w:sectPr>
      </w:pPr>
    </w:p>
    <w:p w14:paraId="677A74D5" w14:textId="77777777" w:rsidR="005330C9" w:rsidRDefault="005330C9" w:rsidP="005330C9">
      <w:pPr>
        <w:rPr>
          <w:rFonts w:ascii="FbSfaradi Regular" w:hAnsi="FbSfaradi Regular" w:cs="FbSfaradi Regular"/>
          <w:rtl/>
        </w:rPr>
      </w:pPr>
      <w:r w:rsidRPr="007565AD">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72576" behindDoc="0" locked="0" layoutInCell="1" allowOverlap="1" wp14:anchorId="1F3E48CB" wp14:editId="222BC658">
                <wp:simplePos x="0" y="0"/>
                <wp:positionH relativeFrom="margin">
                  <wp:align>center</wp:align>
                </wp:positionH>
                <wp:positionV relativeFrom="paragraph">
                  <wp:posOffset>307975</wp:posOffset>
                </wp:positionV>
                <wp:extent cx="3017520" cy="3200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17520" cy="3200400"/>
                        </a:xfrm>
                        <a:prstGeom prst="rect">
                          <a:avLst/>
                        </a:prstGeom>
                        <a:solidFill>
                          <a:sysClr val="window" lastClr="FFFFFF"/>
                        </a:solidFill>
                        <a:ln w="6350">
                          <a:noFill/>
                        </a:ln>
                        <a:effectLst/>
                      </wps:spPr>
                      <wps:txbx>
                        <w:txbxContent>
                          <w:p w14:paraId="70CC53A9" w14:textId="77777777" w:rsidR="00304B8E" w:rsidRPr="00E60D97" w:rsidRDefault="00304B8E" w:rsidP="00E60D97">
                            <w:pPr>
                              <w:bidi/>
                              <w:spacing w:after="80" w:line="264" w:lineRule="auto"/>
                              <w:jc w:val="center"/>
                              <w:rPr>
                                <w:rFonts w:ascii="FbFrankReal" w:eastAsia="Times New Roman" w:hAnsi="FbFrankReal" w:cs="1ShefaClassic"/>
                                <w:b/>
                                <w:bCs/>
                                <w:kern w:val="28"/>
                                <w:sz w:val="36"/>
                                <w:szCs w:val="36"/>
                                <w:rtl/>
                              </w:rPr>
                            </w:pPr>
                            <w:r w:rsidRPr="00E60D97">
                              <w:rPr>
                                <w:rFonts w:ascii="FbFrankReal" w:eastAsia="Times New Roman" w:hAnsi="FbFrankReal" w:cs="1ShefaClassic" w:hint="cs"/>
                                <w:b/>
                                <w:bCs/>
                                <w:kern w:val="28"/>
                                <w:sz w:val="36"/>
                                <w:szCs w:val="36"/>
                                <w:rtl/>
                              </w:rPr>
                              <w:t xml:space="preserve">לזכות </w:t>
                            </w:r>
                          </w:p>
                          <w:p w14:paraId="7F6FFFAF" w14:textId="67819209" w:rsidR="00304B8E" w:rsidRPr="006667A8" w:rsidRDefault="00304B8E" w:rsidP="00E60D97">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b/>
                                <w:bCs/>
                                <w:kern w:val="28"/>
                                <w:sz w:val="27"/>
                                <w:szCs w:val="27"/>
                                <w:rtl/>
                              </w:rPr>
                              <w:t>חברי המערכת:</w:t>
                            </w:r>
                          </w:p>
                          <w:p w14:paraId="06B0DB35"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הגה"ח ר' </w:t>
                            </w:r>
                            <w:r w:rsidRPr="006667A8">
                              <w:rPr>
                                <w:rFonts w:ascii="FbFrankReal" w:eastAsia="Times New Roman" w:hAnsi="FbFrankReal" w:cs="1ShefaClassic" w:hint="cs"/>
                                <w:b/>
                                <w:bCs/>
                                <w:kern w:val="28"/>
                                <w:sz w:val="27"/>
                                <w:szCs w:val="27"/>
                                <w:rtl/>
                              </w:rPr>
                              <w:t>אברהם יצחק ברוך גערליצקי</w:t>
                            </w:r>
                            <w:r w:rsidRPr="006667A8">
                              <w:rPr>
                                <w:rFonts w:ascii="FbFrankReal" w:eastAsia="Times New Roman" w:hAnsi="FbFrankReal" w:cs="1ShefaClassic" w:hint="cs"/>
                                <w:kern w:val="28"/>
                                <w:sz w:val="27"/>
                                <w:szCs w:val="27"/>
                                <w:rtl/>
                              </w:rPr>
                              <w:t xml:space="preserve"> שליט"א</w:t>
                            </w:r>
                          </w:p>
                          <w:p w14:paraId="49D632D5"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מנחם מענדל</w:t>
                            </w:r>
                            <w:r w:rsidRPr="006667A8">
                              <w:rPr>
                                <w:rFonts w:ascii="FbFrankReal" w:eastAsia="Times New Roman" w:hAnsi="FbFrankReal" w:cs="1ShefaClassic" w:hint="cs"/>
                                <w:kern w:val="28"/>
                                <w:sz w:val="27"/>
                                <w:szCs w:val="27"/>
                                <w:rtl/>
                              </w:rPr>
                              <w:t xml:space="preserve"> שי' </w:t>
                            </w:r>
                            <w:r>
                              <w:rPr>
                                <w:rFonts w:ascii="FbFrankReal" w:eastAsia="Times New Roman" w:hAnsi="FbFrankReal" w:cs="1ShefaClassic" w:hint="cs"/>
                                <w:b/>
                                <w:bCs/>
                                <w:kern w:val="28"/>
                                <w:sz w:val="27"/>
                                <w:szCs w:val="27"/>
                                <w:rtl/>
                              </w:rPr>
                              <w:t>אוירעכמאן</w:t>
                            </w:r>
                          </w:p>
                          <w:p w14:paraId="3968E028"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שלום דובער</w:t>
                            </w:r>
                            <w:r w:rsidRPr="006667A8">
                              <w:rPr>
                                <w:rFonts w:ascii="FbFrankReal" w:eastAsia="Times New Roman" w:hAnsi="FbFrankReal" w:cs="1ShefaClassic" w:hint="cs"/>
                                <w:kern w:val="28"/>
                                <w:sz w:val="27"/>
                                <w:szCs w:val="27"/>
                                <w:rtl/>
                              </w:rPr>
                              <w:t xml:space="preserve"> </w:t>
                            </w:r>
                            <w:r w:rsidRPr="006667A8">
                              <w:rPr>
                                <w:rFonts w:ascii="FbFrankReal" w:eastAsia="Times New Roman" w:hAnsi="FbFrankReal" w:cs="1ShefaClassic"/>
                                <w:kern w:val="28"/>
                                <w:sz w:val="27"/>
                                <w:szCs w:val="27"/>
                                <w:rtl/>
                              </w:rPr>
                              <w:t xml:space="preserve">שי' </w:t>
                            </w:r>
                            <w:r>
                              <w:rPr>
                                <w:rFonts w:ascii="FbFrankReal" w:eastAsia="Times New Roman" w:hAnsi="FbFrankReal" w:cs="1ShefaClassic" w:hint="cs"/>
                                <w:b/>
                                <w:bCs/>
                                <w:kern w:val="28"/>
                                <w:sz w:val="27"/>
                                <w:szCs w:val="27"/>
                                <w:rtl/>
                              </w:rPr>
                              <w:t>גורארי'</w:t>
                            </w:r>
                          </w:p>
                          <w:p w14:paraId="076C4304" w14:textId="77777777" w:rsidR="00304B8E" w:rsidRDefault="00304B8E" w:rsidP="005330C9">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מנחם מענדל</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חזן</w:t>
                            </w:r>
                          </w:p>
                          <w:p w14:paraId="5F5393D1"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Pr>
                                <w:rFonts w:ascii="FbFrankReal" w:eastAsia="Times New Roman" w:hAnsi="FbFrankReal" w:cs="1ShefaClassic" w:hint="cs"/>
                                <w:kern w:val="28"/>
                                <w:sz w:val="27"/>
                                <w:szCs w:val="27"/>
                                <w:rtl/>
                              </w:rPr>
                              <w:t>ה</w:t>
                            </w:r>
                            <w:r w:rsidRPr="006667A8">
                              <w:rPr>
                                <w:rFonts w:ascii="FbFrankReal" w:eastAsia="Times New Roman" w:hAnsi="FbFrankReal" w:cs="1ShefaClassic" w:hint="cs"/>
                                <w:kern w:val="28"/>
                                <w:sz w:val="27"/>
                                <w:szCs w:val="27"/>
                                <w:rtl/>
                              </w:rPr>
                              <w:t xml:space="preserve">ת' </w:t>
                            </w:r>
                            <w:r>
                              <w:rPr>
                                <w:rFonts w:ascii="FbFrankReal" w:eastAsia="Times New Roman" w:hAnsi="FbFrankReal" w:cs="1ShefaClassic" w:hint="cs"/>
                                <w:b/>
                                <w:bCs/>
                                <w:kern w:val="28"/>
                                <w:sz w:val="27"/>
                                <w:szCs w:val="27"/>
                                <w:rtl/>
                              </w:rPr>
                              <w:t>אברהם</w:t>
                            </w:r>
                            <w:r w:rsidRPr="006667A8">
                              <w:rPr>
                                <w:rFonts w:ascii="FbFrankReal" w:eastAsia="Times New Roman" w:hAnsi="FbFrankReal" w:cs="1ShefaClassic" w:hint="cs"/>
                                <w:kern w:val="28"/>
                                <w:sz w:val="27"/>
                                <w:szCs w:val="27"/>
                                <w:rtl/>
                              </w:rPr>
                              <w:t xml:space="preserve"> שי' </w:t>
                            </w:r>
                            <w:r>
                              <w:rPr>
                                <w:rFonts w:ascii="FbFrankReal" w:eastAsia="Times New Roman" w:hAnsi="FbFrankReal" w:cs="1ShefaClassic" w:hint="cs"/>
                                <w:b/>
                                <w:bCs/>
                                <w:kern w:val="28"/>
                                <w:sz w:val="27"/>
                                <w:szCs w:val="27"/>
                                <w:rtl/>
                              </w:rPr>
                              <w:t>כ"ץ</w:t>
                            </w:r>
                          </w:p>
                          <w:p w14:paraId="245AAEF1"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דוד</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ליפשיץ</w:t>
                            </w:r>
                          </w:p>
                          <w:p w14:paraId="42DB5339" w14:textId="321A866D" w:rsidR="00304B8E" w:rsidRPr="00E60D97" w:rsidRDefault="00304B8E" w:rsidP="00E60D97">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צמח</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שאנאוויטש</w:t>
                            </w:r>
                          </w:p>
                          <w:p w14:paraId="056C9F41" w14:textId="3EA3D844" w:rsidR="00304B8E" w:rsidRDefault="00304B8E" w:rsidP="00E60D97">
                            <w:pPr>
                              <w:pStyle w:val="NormalComplexNarkisim"/>
                              <w:spacing w:before="160" w:after="160" w:line="240" w:lineRule="auto"/>
                              <w:rPr>
                                <w:rFonts w:cs="1ShefaClassic"/>
                                <w:sz w:val="27"/>
                                <w:szCs w:val="27"/>
                                <w:rtl/>
                              </w:rPr>
                            </w:pPr>
                            <w:r w:rsidRPr="00E60D97">
                              <w:rPr>
                                <w:rFonts w:cs="1ShefaClassic"/>
                                <w:sz w:val="18"/>
                                <w:szCs w:val="18"/>
                              </w:rPr>
                              <w:sym w:font="Wingdings 2" w:char="F0B2"/>
                            </w:r>
                          </w:p>
                          <w:p w14:paraId="2EAC8C49" w14:textId="43CB44E4" w:rsidR="00304B8E" w:rsidRPr="00E60D97" w:rsidRDefault="00304B8E" w:rsidP="00320B41">
                            <w:pPr>
                              <w:pStyle w:val="NormalComplexNarkisim"/>
                              <w:spacing w:before="160" w:after="160" w:line="264" w:lineRule="auto"/>
                              <w:rPr>
                                <w:rFonts w:cs="1ShefaClassic"/>
                                <w:b/>
                                <w:bCs/>
                                <w:sz w:val="27"/>
                                <w:szCs w:val="27"/>
                              </w:rPr>
                            </w:pPr>
                            <w:r w:rsidRPr="00E60D97">
                              <w:rPr>
                                <w:rFonts w:cs="1ShefaClassic" w:hint="cs"/>
                                <w:b/>
                                <w:bCs/>
                                <w:sz w:val="27"/>
                                <w:szCs w:val="27"/>
                                <w:rtl/>
                              </w:rPr>
                              <w:t>שיתברכו בכתיבה וחתימה טובה</w:t>
                            </w:r>
                            <w:r>
                              <w:rPr>
                                <w:rFonts w:cs="1ShefaClassic"/>
                                <w:b/>
                                <w:bCs/>
                                <w:sz w:val="27"/>
                                <w:szCs w:val="27"/>
                                <w:rtl/>
                              </w:rPr>
                              <w:br/>
                            </w:r>
                            <w:r>
                              <w:rPr>
                                <w:rFonts w:cs="1ShefaClassic" w:hint="cs"/>
                                <w:b/>
                                <w:bCs/>
                                <w:sz w:val="27"/>
                                <w:szCs w:val="27"/>
                                <w:rtl/>
                              </w:rPr>
                              <w:t xml:space="preserve">לשנה טובה ומתוקה </w:t>
                            </w:r>
                            <w:r w:rsidRPr="00E60D97">
                              <w:rPr>
                                <w:rFonts w:cs="1ShefaClassic" w:hint="cs"/>
                                <w:b/>
                                <w:bCs/>
                                <w:sz w:val="27"/>
                                <w:szCs w:val="27"/>
                                <w:rtl/>
                              </w:rPr>
                              <w:t>בטוב הנראה והנגלה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E48CB" id="Text Box 1" o:spid="_x0000_s1030" type="#_x0000_t202" style="position:absolute;margin-left:0;margin-top:24.25pt;width:237.6pt;height:252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" fillcolor="window" stroked="f" strokeweight=".5pt">
                <v:textbox>
                  <w:txbxContent>
                    <w:p w14:paraId="70CC53A9" w14:textId="77777777" w:rsidR="00304B8E" w:rsidRPr="00E60D97" w:rsidRDefault="00304B8E" w:rsidP="00E60D97">
                      <w:pPr>
                        <w:bidi/>
                        <w:spacing w:after="80" w:line="264" w:lineRule="auto"/>
                        <w:jc w:val="center"/>
                        <w:rPr>
                          <w:rFonts w:ascii="FbFrankReal" w:eastAsia="Times New Roman" w:hAnsi="FbFrankReal" w:cs="1ShefaClassic"/>
                          <w:b/>
                          <w:bCs/>
                          <w:kern w:val="28"/>
                          <w:sz w:val="36"/>
                          <w:szCs w:val="36"/>
                          <w:rtl/>
                        </w:rPr>
                      </w:pPr>
                      <w:r w:rsidRPr="00E60D97">
                        <w:rPr>
                          <w:rFonts w:ascii="FbFrankReal" w:eastAsia="Times New Roman" w:hAnsi="FbFrankReal" w:cs="1ShefaClassic" w:hint="cs"/>
                          <w:b/>
                          <w:bCs/>
                          <w:kern w:val="28"/>
                          <w:sz w:val="36"/>
                          <w:szCs w:val="36"/>
                          <w:rtl/>
                        </w:rPr>
                        <w:t xml:space="preserve">לזכות </w:t>
                      </w:r>
                    </w:p>
                    <w:p w14:paraId="7F6FFFAF" w14:textId="67819209" w:rsidR="00304B8E" w:rsidRPr="006667A8" w:rsidRDefault="00304B8E" w:rsidP="00E60D97">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b/>
                          <w:bCs/>
                          <w:kern w:val="28"/>
                          <w:sz w:val="27"/>
                          <w:szCs w:val="27"/>
                          <w:rtl/>
                        </w:rPr>
                        <w:t>חברי המערכת:</w:t>
                      </w:r>
                    </w:p>
                    <w:p w14:paraId="06B0DB35"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הגה"ח ר' </w:t>
                      </w:r>
                      <w:r w:rsidRPr="006667A8">
                        <w:rPr>
                          <w:rFonts w:ascii="FbFrankReal" w:eastAsia="Times New Roman" w:hAnsi="FbFrankReal" w:cs="1ShefaClassic" w:hint="cs"/>
                          <w:b/>
                          <w:bCs/>
                          <w:kern w:val="28"/>
                          <w:sz w:val="27"/>
                          <w:szCs w:val="27"/>
                          <w:rtl/>
                        </w:rPr>
                        <w:t>אברהם יצחק ברוך גערליצקי</w:t>
                      </w:r>
                      <w:r w:rsidRPr="006667A8">
                        <w:rPr>
                          <w:rFonts w:ascii="FbFrankReal" w:eastAsia="Times New Roman" w:hAnsi="FbFrankReal" w:cs="1ShefaClassic" w:hint="cs"/>
                          <w:kern w:val="28"/>
                          <w:sz w:val="27"/>
                          <w:szCs w:val="27"/>
                          <w:rtl/>
                        </w:rPr>
                        <w:t xml:space="preserve"> שליט"א</w:t>
                      </w:r>
                    </w:p>
                    <w:p w14:paraId="49D632D5"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מנחם מענדל</w:t>
                      </w:r>
                      <w:r w:rsidRPr="006667A8">
                        <w:rPr>
                          <w:rFonts w:ascii="FbFrankReal" w:eastAsia="Times New Roman" w:hAnsi="FbFrankReal" w:cs="1ShefaClassic" w:hint="cs"/>
                          <w:kern w:val="28"/>
                          <w:sz w:val="27"/>
                          <w:szCs w:val="27"/>
                          <w:rtl/>
                        </w:rPr>
                        <w:t xml:space="preserve"> שי' </w:t>
                      </w:r>
                      <w:r>
                        <w:rPr>
                          <w:rFonts w:ascii="FbFrankReal" w:eastAsia="Times New Roman" w:hAnsi="FbFrankReal" w:cs="1ShefaClassic" w:hint="cs"/>
                          <w:b/>
                          <w:bCs/>
                          <w:kern w:val="28"/>
                          <w:sz w:val="27"/>
                          <w:szCs w:val="27"/>
                          <w:rtl/>
                        </w:rPr>
                        <w:t>אוירעכמאן</w:t>
                      </w:r>
                    </w:p>
                    <w:p w14:paraId="3968E028"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שלום דובער</w:t>
                      </w:r>
                      <w:r w:rsidRPr="006667A8">
                        <w:rPr>
                          <w:rFonts w:ascii="FbFrankReal" w:eastAsia="Times New Roman" w:hAnsi="FbFrankReal" w:cs="1ShefaClassic" w:hint="cs"/>
                          <w:kern w:val="28"/>
                          <w:sz w:val="27"/>
                          <w:szCs w:val="27"/>
                          <w:rtl/>
                        </w:rPr>
                        <w:t xml:space="preserve"> </w:t>
                      </w:r>
                      <w:r w:rsidRPr="006667A8">
                        <w:rPr>
                          <w:rFonts w:ascii="FbFrankReal" w:eastAsia="Times New Roman" w:hAnsi="FbFrankReal" w:cs="1ShefaClassic"/>
                          <w:kern w:val="28"/>
                          <w:sz w:val="27"/>
                          <w:szCs w:val="27"/>
                          <w:rtl/>
                        </w:rPr>
                        <w:t xml:space="preserve">שי' </w:t>
                      </w:r>
                      <w:r>
                        <w:rPr>
                          <w:rFonts w:ascii="FbFrankReal" w:eastAsia="Times New Roman" w:hAnsi="FbFrankReal" w:cs="1ShefaClassic" w:hint="cs"/>
                          <w:b/>
                          <w:bCs/>
                          <w:kern w:val="28"/>
                          <w:sz w:val="27"/>
                          <w:szCs w:val="27"/>
                          <w:rtl/>
                        </w:rPr>
                        <w:t>גורארי'</w:t>
                      </w:r>
                    </w:p>
                    <w:p w14:paraId="076C4304" w14:textId="77777777" w:rsidR="00304B8E" w:rsidRDefault="00304B8E" w:rsidP="005330C9">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מנחם מענדל</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חזן</w:t>
                      </w:r>
                    </w:p>
                    <w:p w14:paraId="5F5393D1"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Pr>
                          <w:rFonts w:ascii="FbFrankReal" w:eastAsia="Times New Roman" w:hAnsi="FbFrankReal" w:cs="1ShefaClassic" w:hint="cs"/>
                          <w:kern w:val="28"/>
                          <w:sz w:val="27"/>
                          <w:szCs w:val="27"/>
                          <w:rtl/>
                        </w:rPr>
                        <w:t>ה</w:t>
                      </w:r>
                      <w:r w:rsidRPr="006667A8">
                        <w:rPr>
                          <w:rFonts w:ascii="FbFrankReal" w:eastAsia="Times New Roman" w:hAnsi="FbFrankReal" w:cs="1ShefaClassic" w:hint="cs"/>
                          <w:kern w:val="28"/>
                          <w:sz w:val="27"/>
                          <w:szCs w:val="27"/>
                          <w:rtl/>
                        </w:rPr>
                        <w:t xml:space="preserve">ת' </w:t>
                      </w:r>
                      <w:r>
                        <w:rPr>
                          <w:rFonts w:ascii="FbFrankReal" w:eastAsia="Times New Roman" w:hAnsi="FbFrankReal" w:cs="1ShefaClassic" w:hint="cs"/>
                          <w:b/>
                          <w:bCs/>
                          <w:kern w:val="28"/>
                          <w:sz w:val="27"/>
                          <w:szCs w:val="27"/>
                          <w:rtl/>
                        </w:rPr>
                        <w:t>אברהם</w:t>
                      </w:r>
                      <w:r w:rsidRPr="006667A8">
                        <w:rPr>
                          <w:rFonts w:ascii="FbFrankReal" w:eastAsia="Times New Roman" w:hAnsi="FbFrankReal" w:cs="1ShefaClassic" w:hint="cs"/>
                          <w:kern w:val="28"/>
                          <w:sz w:val="27"/>
                          <w:szCs w:val="27"/>
                          <w:rtl/>
                        </w:rPr>
                        <w:t xml:space="preserve"> שי' </w:t>
                      </w:r>
                      <w:r>
                        <w:rPr>
                          <w:rFonts w:ascii="FbFrankReal" w:eastAsia="Times New Roman" w:hAnsi="FbFrankReal" w:cs="1ShefaClassic" w:hint="cs"/>
                          <w:b/>
                          <w:bCs/>
                          <w:kern w:val="28"/>
                          <w:sz w:val="27"/>
                          <w:szCs w:val="27"/>
                          <w:rtl/>
                        </w:rPr>
                        <w:t>כ"ץ</w:t>
                      </w:r>
                    </w:p>
                    <w:p w14:paraId="245AAEF1" w14:textId="77777777" w:rsidR="00304B8E" w:rsidRPr="006667A8" w:rsidRDefault="00304B8E" w:rsidP="005330C9">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דוד</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ליפשיץ</w:t>
                      </w:r>
                    </w:p>
                    <w:p w14:paraId="42DB5339" w14:textId="321A866D" w:rsidR="00304B8E" w:rsidRPr="00E60D97" w:rsidRDefault="00304B8E" w:rsidP="00E60D97">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kern w:val="28"/>
                          <w:sz w:val="27"/>
                          <w:szCs w:val="27"/>
                          <w:rtl/>
                        </w:rPr>
                        <w:t xml:space="preserve">הת' </w:t>
                      </w:r>
                      <w:r>
                        <w:rPr>
                          <w:rFonts w:ascii="FbFrankReal" w:eastAsia="Times New Roman" w:hAnsi="FbFrankReal" w:cs="1ShefaClassic" w:hint="cs"/>
                          <w:b/>
                          <w:bCs/>
                          <w:kern w:val="28"/>
                          <w:sz w:val="27"/>
                          <w:szCs w:val="27"/>
                          <w:rtl/>
                        </w:rPr>
                        <w:t>צמח</w:t>
                      </w:r>
                      <w:r w:rsidRPr="006667A8">
                        <w:rPr>
                          <w:rFonts w:ascii="FbFrankReal" w:eastAsia="Times New Roman" w:hAnsi="FbFrankReal" w:cs="1ShefaClassic"/>
                          <w:kern w:val="28"/>
                          <w:sz w:val="27"/>
                          <w:szCs w:val="27"/>
                          <w:rtl/>
                        </w:rPr>
                        <w:t xml:space="preserve"> שי' </w:t>
                      </w:r>
                      <w:r>
                        <w:rPr>
                          <w:rFonts w:ascii="FbFrankReal" w:eastAsia="Times New Roman" w:hAnsi="FbFrankReal" w:cs="1ShefaClassic" w:hint="cs"/>
                          <w:b/>
                          <w:bCs/>
                          <w:kern w:val="28"/>
                          <w:sz w:val="27"/>
                          <w:szCs w:val="27"/>
                          <w:rtl/>
                        </w:rPr>
                        <w:t>שאנאוויטש</w:t>
                      </w:r>
                    </w:p>
                    <w:p w14:paraId="056C9F41" w14:textId="3EA3D844" w:rsidR="00304B8E" w:rsidRDefault="00304B8E" w:rsidP="00E60D97">
                      <w:pPr>
                        <w:pStyle w:val="NormalComplexNarkisim"/>
                        <w:spacing w:before="160" w:after="160" w:line="240" w:lineRule="auto"/>
                        <w:rPr>
                          <w:rFonts w:cs="1ShefaClassic"/>
                          <w:sz w:val="27"/>
                          <w:szCs w:val="27"/>
                          <w:rtl/>
                        </w:rPr>
                      </w:pPr>
                      <w:r w:rsidRPr="00E60D97">
                        <w:rPr>
                          <w:rFonts w:cs="1ShefaClassic"/>
                          <w:sz w:val="18"/>
                          <w:szCs w:val="18"/>
                        </w:rPr>
                        <w:sym w:font="Wingdings 2" w:char="F0B2"/>
                      </w:r>
                    </w:p>
                    <w:p w14:paraId="2EAC8C49" w14:textId="43CB44E4" w:rsidR="00304B8E" w:rsidRPr="00E60D97" w:rsidRDefault="00304B8E" w:rsidP="00320B41">
                      <w:pPr>
                        <w:pStyle w:val="NormalComplexNarkisim"/>
                        <w:spacing w:before="160" w:after="160" w:line="264" w:lineRule="auto"/>
                        <w:rPr>
                          <w:rFonts w:cs="1ShefaClassic"/>
                          <w:b/>
                          <w:bCs/>
                          <w:sz w:val="27"/>
                          <w:szCs w:val="27"/>
                        </w:rPr>
                      </w:pPr>
                      <w:r w:rsidRPr="00E60D97">
                        <w:rPr>
                          <w:rFonts w:cs="1ShefaClassic" w:hint="cs"/>
                          <w:b/>
                          <w:bCs/>
                          <w:sz w:val="27"/>
                          <w:szCs w:val="27"/>
                          <w:rtl/>
                        </w:rPr>
                        <w:t>שיתברכו בכתיבה וחתימה טובה</w:t>
                      </w:r>
                      <w:r>
                        <w:rPr>
                          <w:rFonts w:cs="1ShefaClassic"/>
                          <w:b/>
                          <w:bCs/>
                          <w:sz w:val="27"/>
                          <w:szCs w:val="27"/>
                          <w:rtl/>
                        </w:rPr>
                        <w:br/>
                      </w:r>
                      <w:r>
                        <w:rPr>
                          <w:rFonts w:cs="1ShefaClassic" w:hint="cs"/>
                          <w:b/>
                          <w:bCs/>
                          <w:sz w:val="27"/>
                          <w:szCs w:val="27"/>
                          <w:rtl/>
                        </w:rPr>
                        <w:t xml:space="preserve">לשנה טובה ומתוקה </w:t>
                      </w:r>
                      <w:r w:rsidRPr="00E60D97">
                        <w:rPr>
                          <w:rFonts w:cs="1ShefaClassic" w:hint="cs"/>
                          <w:b/>
                          <w:bCs/>
                          <w:sz w:val="27"/>
                          <w:szCs w:val="27"/>
                          <w:rtl/>
                        </w:rPr>
                        <w:t>בטוב הנראה והנגלה</w:t>
                      </w:r>
                    </w:p>
                  </w:txbxContent>
                </v:textbox>
                <w10:wrap anchorx="margin"/>
              </v:shape>
            </w:pict>
          </mc:Fallback>
        </mc:AlternateContent>
      </w: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71552" behindDoc="1" locked="0" layoutInCell="1" allowOverlap="1" wp14:anchorId="1D1D13B9" wp14:editId="7F8A6D01">
                <wp:simplePos x="0" y="0"/>
                <wp:positionH relativeFrom="margin">
                  <wp:align>center</wp:align>
                </wp:positionH>
                <wp:positionV relativeFrom="margin">
                  <wp:posOffset>3614807</wp:posOffset>
                </wp:positionV>
                <wp:extent cx="4262755" cy="3092450"/>
                <wp:effectExtent l="0" t="0" r="23495" b="1270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30924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60F4F75" w14:textId="77777777" w:rsidR="00304B8E" w:rsidRPr="005F738F" w:rsidRDefault="00304B8E" w:rsidP="005330C9">
                            <w:pPr>
                              <w:bidi/>
                              <w:spacing w:before="120" w:after="0" w:line="264" w:lineRule="auto"/>
                              <w:ind w:left="161" w:right="180"/>
                              <w:jc w:val="center"/>
                              <w:rPr>
                                <w:rFonts w:ascii="FbSfaradi Medium" w:hAnsi="FbSfaradi Medium" w:cs="1ShefaClassic"/>
                                <w:sz w:val="28"/>
                                <w:szCs w:val="28"/>
                              </w:rPr>
                            </w:pPr>
                            <w:r w:rsidRPr="005F738F">
                              <w:rPr>
                                <w:rFonts w:ascii="FbSfaradi Medium" w:hAnsi="FbSfaradi Medium" w:cs="1ShefaClassic" w:hint="cs"/>
                                <w:sz w:val="28"/>
                                <w:szCs w:val="28"/>
                                <w:rtl/>
                              </w:rPr>
                              <w:t>הקובץ הבא</w:t>
                            </w:r>
                          </w:p>
                          <w:p w14:paraId="64680947" w14:textId="77777777" w:rsidR="00304B8E" w:rsidRPr="00345CDE" w:rsidRDefault="00304B8E" w:rsidP="005330C9">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w:t>
                            </w:r>
                            <w:r>
                              <w:rPr>
                                <w:rFonts w:ascii="FbSfaradi Medium" w:hAnsi="FbSfaradi Medium" w:cs="1ShefaClassic" w:hint="cs"/>
                                <w:sz w:val="28"/>
                                <w:szCs w:val="28"/>
                                <w:rtl/>
                              </w:rPr>
                              <w:t xml:space="preserve">האזינו </w:t>
                            </w:r>
                            <w:r>
                              <w:rPr>
                                <w:rFonts w:ascii="FbSfaradi Medium" w:hAnsi="FbSfaradi Medium" w:cs="1ShefaClassic"/>
                                <w:sz w:val="28"/>
                                <w:szCs w:val="28"/>
                                <w:rtl/>
                              </w:rPr>
                              <w:t>-</w:t>
                            </w:r>
                            <w:r>
                              <w:rPr>
                                <w:rFonts w:ascii="FbSfaradi Medium" w:hAnsi="FbSfaradi Medium" w:cs="1ShefaClassic" w:hint="cs"/>
                                <w:sz w:val="28"/>
                                <w:szCs w:val="28"/>
                                <w:rtl/>
                              </w:rPr>
                              <w:t xml:space="preserve"> חג הסוכות </w:t>
                            </w:r>
                            <w:r w:rsidRPr="00BF2C66">
                              <w:rPr>
                                <w:rFonts w:ascii="FbSfaradi Medium" w:hAnsi="FbSfaradi Medium" w:cs="1ShefaClassic" w:hint="cs"/>
                                <w:sz w:val="28"/>
                                <w:szCs w:val="28"/>
                                <w:rtl/>
                              </w:rPr>
                              <w:t>תשפ"</w:t>
                            </w:r>
                            <w:r>
                              <w:rPr>
                                <w:rFonts w:ascii="FbSfaradi Medium" w:hAnsi="FbSfaradi Medium" w:cs="1ShefaClassic" w:hint="cs"/>
                                <w:sz w:val="28"/>
                                <w:szCs w:val="28"/>
                                <w:rtl/>
                              </w:rPr>
                              <w:t>ב</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ט' תשרי</w:t>
                            </w:r>
                            <w:r w:rsidRPr="00BF2C66">
                              <w:rPr>
                                <w:rFonts w:ascii="FbSfaradi Medium" w:hAnsi="FbSfaradi Medium" w:cs="1ShefaClassic" w:hint="cs"/>
                                <w:sz w:val="28"/>
                                <w:szCs w:val="28"/>
                                <w:rtl/>
                              </w:rPr>
                              <w:t xml:space="preserve"> תשפ"</w:t>
                            </w:r>
                            <w:r>
                              <w:rPr>
                                <w:rFonts w:ascii="FbSfaradi Medium" w:hAnsi="FbSfaradi Medium" w:cs="1ShefaClassic" w:hint="cs"/>
                                <w:sz w:val="28"/>
                                <w:szCs w:val="28"/>
                                <w:rtl/>
                              </w:rPr>
                              <w:t>ב</w:t>
                            </w:r>
                          </w:p>
                          <w:p w14:paraId="0638D777" w14:textId="77777777" w:rsidR="00304B8E" w:rsidRDefault="00304B8E" w:rsidP="005330C9">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4DAEAE92" w14:textId="77777777" w:rsidR="00304B8E" w:rsidRDefault="00304B8E" w:rsidP="005330C9">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16BF5AC" w14:textId="77777777" w:rsidR="00304B8E" w:rsidRDefault="00304B8E" w:rsidP="005330C9">
                            <w:pPr>
                              <w:pStyle w:val="Footer"/>
                              <w:bidi/>
                              <w:ind w:left="161" w:right="180"/>
                              <w:jc w:val="center"/>
                              <w:rPr>
                                <w:rFonts w:ascii="FbFrankReal" w:hAnsi="FbFrankReal" w:cs="Levenim MT"/>
                                <w:sz w:val="16"/>
                                <w:szCs w:val="16"/>
                                <w:rtl/>
                              </w:rPr>
                            </w:pPr>
                          </w:p>
                          <w:p w14:paraId="65BCB122" w14:textId="77777777" w:rsidR="00304B8E" w:rsidRDefault="00304B8E" w:rsidP="005330C9">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12E4438A" w14:textId="77777777" w:rsidR="00304B8E" w:rsidRDefault="00304B8E" w:rsidP="005330C9">
                            <w:pPr>
                              <w:bidi/>
                              <w:spacing w:after="0" w:line="240" w:lineRule="auto"/>
                              <w:ind w:left="161" w:right="180"/>
                              <w:jc w:val="center"/>
                              <w:rPr>
                                <w:rFonts w:ascii="FbFrankReal" w:hAnsi="FbFrankReal" w:cs="1ShefaClassic"/>
                                <w:b/>
                                <w:bCs/>
                                <w:rtl/>
                              </w:rPr>
                            </w:pPr>
                          </w:p>
                          <w:p w14:paraId="59FFC4F8" w14:textId="77777777" w:rsidR="00304B8E" w:rsidRDefault="00304B8E" w:rsidP="005330C9">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44345501" w14:textId="77777777" w:rsidR="00304B8E" w:rsidRDefault="00304B8E" w:rsidP="005330C9">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26ADEB52" w14:textId="77777777" w:rsidR="00304B8E" w:rsidRDefault="00304B8E" w:rsidP="005330C9">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7929681A" w14:textId="77777777" w:rsidR="00304B8E" w:rsidRDefault="00304B8E" w:rsidP="005330C9">
                            <w:pPr>
                              <w:bidi/>
                              <w:spacing w:before="60" w:after="0" w:line="240" w:lineRule="auto"/>
                              <w:ind w:left="158" w:right="187"/>
                              <w:jc w:val="center"/>
                              <w:rPr>
                                <w:rFonts w:ascii="FbFrankReal" w:hAnsi="FbFrankReal" w:cs="1ShefaClassic"/>
                                <w:sz w:val="18"/>
                                <w:szCs w:val="18"/>
                                <w:rtl/>
                              </w:rPr>
                            </w:pPr>
                            <w:r>
                              <w:rPr>
                                <w:rFonts w:ascii="FbFrankReal" w:hAnsi="FbFrankReal" w:cs="1ShefaClassic" w:hint="cs"/>
                                <w:b/>
                                <w:bCs/>
                                <w:rtl/>
                              </w:rPr>
                              <w:t>כתובת</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sz w:val="18"/>
                                <w:szCs w:val="18"/>
                              </w:rPr>
                              <w:t>639 Eastern Parkway, Apt 3F</w:t>
                            </w:r>
                          </w:p>
                          <w:p w14:paraId="448B99F1" w14:textId="77777777" w:rsidR="00304B8E" w:rsidRDefault="00304B8E" w:rsidP="005330C9">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3A9D8CFD" w14:textId="77777777" w:rsidR="00304B8E" w:rsidRDefault="00304B8E" w:rsidP="005330C9">
                            <w:pPr>
                              <w:pStyle w:val="HaoroDivider"/>
                              <w:spacing w:before="60" w:after="60" w:line="240" w:lineRule="auto"/>
                              <w:ind w:left="158" w:right="187"/>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4936A8F7" w14:textId="77777777" w:rsidR="00304B8E" w:rsidRPr="005F1CF7" w:rsidRDefault="00304B8E" w:rsidP="005330C9">
                            <w:pPr>
                              <w:bidi/>
                              <w:spacing w:after="0"/>
                              <w:ind w:left="161" w:right="180"/>
                              <w:jc w:val="center"/>
                              <w:rPr>
                                <w:rFonts w:ascii="FbFrankReal" w:hAnsi="FbFrankReal" w:cs="1ShefaClassic"/>
                                <w:b/>
                                <w:bCs/>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D13B9" id="Text Box 8" o:spid="_x0000_s1031" type="#_x0000_t202" style="position:absolute;margin-left:0;margin-top:284.65pt;width:335.65pt;height:243.5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" fillcolor="window" strokecolor="windowText" strokeweight="1pt">
                <v:textbox>
                  <w:txbxContent>
                    <w:p w14:paraId="160F4F75" w14:textId="77777777" w:rsidR="00304B8E" w:rsidRPr="005F738F" w:rsidRDefault="00304B8E" w:rsidP="005330C9">
                      <w:pPr>
                        <w:bidi/>
                        <w:spacing w:before="120" w:after="0" w:line="264" w:lineRule="auto"/>
                        <w:ind w:left="161" w:right="180"/>
                        <w:jc w:val="center"/>
                        <w:rPr>
                          <w:rFonts w:ascii="FbSfaradi Medium" w:hAnsi="FbSfaradi Medium" w:cs="1ShefaClassic"/>
                          <w:sz w:val="28"/>
                          <w:szCs w:val="28"/>
                        </w:rPr>
                      </w:pPr>
                      <w:r w:rsidRPr="005F738F">
                        <w:rPr>
                          <w:rFonts w:ascii="FbSfaradi Medium" w:hAnsi="FbSfaradi Medium" w:cs="1ShefaClassic" w:hint="cs"/>
                          <w:sz w:val="28"/>
                          <w:szCs w:val="28"/>
                          <w:rtl/>
                        </w:rPr>
                        <w:t>הקובץ הבא</w:t>
                      </w:r>
                    </w:p>
                    <w:p w14:paraId="64680947" w14:textId="77777777" w:rsidR="00304B8E" w:rsidRPr="00345CDE" w:rsidRDefault="00304B8E" w:rsidP="005330C9">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w:t>
                      </w:r>
                      <w:r>
                        <w:rPr>
                          <w:rFonts w:ascii="FbSfaradi Medium" w:hAnsi="FbSfaradi Medium" w:cs="1ShefaClassic" w:hint="cs"/>
                          <w:sz w:val="28"/>
                          <w:szCs w:val="28"/>
                          <w:rtl/>
                        </w:rPr>
                        <w:t xml:space="preserve">האזינו </w:t>
                      </w:r>
                      <w:r>
                        <w:rPr>
                          <w:rFonts w:ascii="FbSfaradi Medium" w:hAnsi="FbSfaradi Medium" w:cs="1ShefaClassic"/>
                          <w:sz w:val="28"/>
                          <w:szCs w:val="28"/>
                          <w:rtl/>
                        </w:rPr>
                        <w:t>-</w:t>
                      </w:r>
                      <w:r>
                        <w:rPr>
                          <w:rFonts w:ascii="FbSfaradi Medium" w:hAnsi="FbSfaradi Medium" w:cs="1ShefaClassic" w:hint="cs"/>
                          <w:sz w:val="28"/>
                          <w:szCs w:val="28"/>
                          <w:rtl/>
                        </w:rPr>
                        <w:t xml:space="preserve"> חג הסוכות </w:t>
                      </w:r>
                      <w:r w:rsidRPr="00BF2C66">
                        <w:rPr>
                          <w:rFonts w:ascii="FbSfaradi Medium" w:hAnsi="FbSfaradi Medium" w:cs="1ShefaClassic" w:hint="cs"/>
                          <w:sz w:val="28"/>
                          <w:szCs w:val="28"/>
                          <w:rtl/>
                        </w:rPr>
                        <w:t>תשפ"</w:t>
                      </w:r>
                      <w:r>
                        <w:rPr>
                          <w:rFonts w:ascii="FbSfaradi Medium" w:hAnsi="FbSfaradi Medium" w:cs="1ShefaClassic" w:hint="cs"/>
                          <w:sz w:val="28"/>
                          <w:szCs w:val="28"/>
                          <w:rtl/>
                        </w:rPr>
                        <w:t>ב</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ט' תשרי</w:t>
                      </w:r>
                      <w:r w:rsidRPr="00BF2C66">
                        <w:rPr>
                          <w:rFonts w:ascii="FbSfaradi Medium" w:hAnsi="FbSfaradi Medium" w:cs="1ShefaClassic" w:hint="cs"/>
                          <w:sz w:val="28"/>
                          <w:szCs w:val="28"/>
                          <w:rtl/>
                        </w:rPr>
                        <w:t xml:space="preserve"> תשפ"</w:t>
                      </w:r>
                      <w:r>
                        <w:rPr>
                          <w:rFonts w:ascii="FbSfaradi Medium" w:hAnsi="FbSfaradi Medium" w:cs="1ShefaClassic" w:hint="cs"/>
                          <w:sz w:val="28"/>
                          <w:szCs w:val="28"/>
                          <w:rtl/>
                        </w:rPr>
                        <w:t>ב</w:t>
                      </w:r>
                    </w:p>
                    <w:p w14:paraId="0638D777" w14:textId="77777777" w:rsidR="00304B8E" w:rsidRDefault="00304B8E" w:rsidP="005330C9">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4DAEAE92" w14:textId="77777777" w:rsidR="00304B8E" w:rsidRDefault="00304B8E" w:rsidP="005330C9">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16BF5AC" w14:textId="77777777" w:rsidR="00304B8E" w:rsidRDefault="00304B8E" w:rsidP="005330C9">
                      <w:pPr>
                        <w:pStyle w:val="Footer"/>
                        <w:bidi/>
                        <w:ind w:left="161" w:right="180"/>
                        <w:jc w:val="center"/>
                        <w:rPr>
                          <w:rFonts w:ascii="FbFrankReal" w:hAnsi="FbFrankReal" w:cs="Levenim MT"/>
                          <w:sz w:val="16"/>
                          <w:szCs w:val="16"/>
                          <w:rtl/>
                        </w:rPr>
                      </w:pPr>
                    </w:p>
                    <w:p w14:paraId="65BCB122" w14:textId="77777777" w:rsidR="00304B8E" w:rsidRDefault="00304B8E" w:rsidP="005330C9">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12E4438A" w14:textId="77777777" w:rsidR="00304B8E" w:rsidRDefault="00304B8E" w:rsidP="005330C9">
                      <w:pPr>
                        <w:bidi/>
                        <w:spacing w:after="0" w:line="240" w:lineRule="auto"/>
                        <w:ind w:left="161" w:right="180"/>
                        <w:jc w:val="center"/>
                        <w:rPr>
                          <w:rFonts w:ascii="FbFrankReal" w:hAnsi="FbFrankReal" w:cs="1ShefaClassic"/>
                          <w:b/>
                          <w:bCs/>
                          <w:rtl/>
                        </w:rPr>
                      </w:pPr>
                    </w:p>
                    <w:p w14:paraId="59FFC4F8" w14:textId="77777777" w:rsidR="00304B8E" w:rsidRDefault="00304B8E" w:rsidP="005330C9">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44345501" w14:textId="77777777" w:rsidR="00304B8E" w:rsidRDefault="00304B8E" w:rsidP="005330C9">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26ADEB52" w14:textId="77777777" w:rsidR="00304B8E" w:rsidRDefault="00304B8E" w:rsidP="005330C9">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7929681A" w14:textId="77777777" w:rsidR="00304B8E" w:rsidRDefault="00304B8E" w:rsidP="005330C9">
                      <w:pPr>
                        <w:bidi/>
                        <w:spacing w:before="60" w:after="0" w:line="240" w:lineRule="auto"/>
                        <w:ind w:left="158" w:right="187"/>
                        <w:jc w:val="center"/>
                        <w:rPr>
                          <w:rFonts w:ascii="FbFrankReal" w:hAnsi="FbFrankReal" w:cs="1ShefaClassic"/>
                          <w:sz w:val="18"/>
                          <w:szCs w:val="18"/>
                          <w:rtl/>
                        </w:rPr>
                      </w:pPr>
                      <w:r>
                        <w:rPr>
                          <w:rFonts w:ascii="FbFrankReal" w:hAnsi="FbFrankReal" w:cs="1ShefaClassic" w:hint="cs"/>
                          <w:b/>
                          <w:bCs/>
                          <w:rtl/>
                        </w:rPr>
                        <w:t>כתובת</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sz w:val="18"/>
                          <w:szCs w:val="18"/>
                        </w:rPr>
                        <w:t>639 Eastern Parkway, Apt 3F</w:t>
                      </w:r>
                    </w:p>
                    <w:p w14:paraId="448B99F1" w14:textId="77777777" w:rsidR="00304B8E" w:rsidRDefault="00304B8E" w:rsidP="005330C9">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3A9D8CFD" w14:textId="77777777" w:rsidR="00304B8E" w:rsidRDefault="00304B8E" w:rsidP="005330C9">
                      <w:pPr>
                        <w:pStyle w:val="HaoroDivider"/>
                        <w:spacing w:before="60" w:after="60" w:line="240" w:lineRule="auto"/>
                        <w:ind w:left="158" w:right="187"/>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4936A8F7" w14:textId="77777777" w:rsidR="00304B8E" w:rsidRPr="005F1CF7" w:rsidRDefault="00304B8E" w:rsidP="005330C9">
                      <w:pPr>
                        <w:bidi/>
                        <w:spacing w:after="0"/>
                        <w:ind w:left="161" w:right="180"/>
                        <w:jc w:val="center"/>
                        <w:rPr>
                          <w:rFonts w:ascii="FbFrankReal" w:hAnsi="FbFrankReal" w:cs="1ShefaClassic"/>
                          <w:b/>
                          <w:bCs/>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r>
        <w:rPr>
          <w:rFonts w:ascii="FbSfaradi Regular" w:hAnsi="FbSfaradi Regular" w:cs="FbSfaradi Regular"/>
        </w:rPr>
        <w:br w:type="page"/>
      </w:r>
    </w:p>
    <w:p w14:paraId="5FE0FF3F" w14:textId="77777777" w:rsidR="005330C9" w:rsidRPr="00666F8A" w:rsidRDefault="005330C9" w:rsidP="005330C9">
      <w:pPr>
        <w:keepNext/>
        <w:keepLines/>
        <w:bidi/>
        <w:spacing w:before="40" w:after="120" w:line="240" w:lineRule="auto"/>
        <w:outlineLvl w:val="2"/>
        <w:rPr>
          <w:rFonts w:ascii="FbFrankReal" w:eastAsia="Times New Roman" w:hAnsi="FbFrankReal" w:cs="FbFrankReal"/>
          <w:b/>
          <w:sz w:val="28"/>
          <w:szCs w:val="24"/>
          <w:rtl/>
        </w:rPr>
      </w:pPr>
      <w:r w:rsidRPr="00666F8A">
        <w:rPr>
          <w:rFonts w:ascii="FbFrankReal" w:eastAsia="Times New Roman" w:hAnsi="FbFrankReal" w:cs="FbFrankReal" w:hint="cs"/>
          <w:b/>
          <w:sz w:val="28"/>
          <w:szCs w:val="24"/>
          <w:rtl/>
        </w:rPr>
        <w:lastRenderedPageBreak/>
        <w:t>ב"ה</w:t>
      </w:r>
    </w:p>
    <w:p w14:paraId="123ADD67" w14:textId="2F2187FB" w:rsidR="006D006C" w:rsidRPr="006D006C" w:rsidRDefault="00320B41" w:rsidP="00B3558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ראש השנה</w:t>
      </w:r>
      <w:r w:rsidR="006D006C" w:rsidRPr="006D006C">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א</w:t>
      </w:r>
      <w:r w:rsidR="006D006C" w:rsidRPr="006D006C">
        <w:rPr>
          <w:rFonts w:ascii="FbFRealBelet Bold" w:hAnsi="FbFRealBelet Bold" w:cs="FbFRealBelet Bold"/>
          <w:b/>
          <w:bCs/>
          <w:sz w:val="32"/>
          <w:szCs w:val="32"/>
          <w:rtl/>
        </w:rPr>
        <w:t xml:space="preserve"> [</w:t>
      </w:r>
      <w:r w:rsidR="00FB4860">
        <w:rPr>
          <w:rFonts w:ascii="FbFRealBelet Bold" w:hAnsi="FbFRealBelet Bold" w:cs="FbFRealBelet Bold" w:hint="cs"/>
          <w:b/>
          <w:bCs/>
          <w:sz w:val="32"/>
          <w:szCs w:val="32"/>
          <w:rtl/>
        </w:rPr>
        <w:t>א</w:t>
      </w:r>
      <w:r>
        <w:rPr>
          <w:rFonts w:ascii="FbFRealBelet Bold" w:hAnsi="FbFRealBelet Bold" w:cs="FbFRealBelet Bold" w:hint="cs"/>
          <w:b/>
          <w:bCs/>
          <w:sz w:val="32"/>
          <w:szCs w:val="32"/>
          <w:rtl/>
        </w:rPr>
        <w:t>'רב</w:t>
      </w:r>
      <w:r w:rsidR="006D006C"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1DA11875" w14:textId="09025C43" w:rsidR="00304B8E" w:rsidRDefault="006D006C" w:rsidP="00304B8E">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81540384" w:history="1">
            <w:r w:rsidR="00304B8E" w:rsidRPr="00652E14">
              <w:rPr>
                <w:rStyle w:val="Hyperlink"/>
                <w:rtl/>
              </w:rPr>
              <w:t>עניני משיח וגאולה</w:t>
            </w:r>
          </w:hyperlink>
        </w:p>
        <w:p w14:paraId="48340643" w14:textId="0254F91E" w:rsidR="00304B8E" w:rsidRDefault="00304B8E" w:rsidP="00304B8E">
          <w:pPr>
            <w:pStyle w:val="TOC2"/>
            <w:rPr>
              <w:rFonts w:asciiTheme="minorHAnsi" w:eastAsiaTheme="minorEastAsia" w:hAnsiTheme="minorHAnsi" w:cstheme="minorBidi"/>
            </w:rPr>
          </w:pPr>
          <w:hyperlink w:anchor="_Toc81540385" w:history="1">
            <w:r w:rsidRPr="00652E14">
              <w:rPr>
                <w:rStyle w:val="Hyperlink"/>
                <w:rtl/>
              </w:rPr>
              <w:t>ביטויי הציפי' לגאולה</w:t>
            </w:r>
            <w:r>
              <w:rPr>
                <w:webHidden/>
              </w:rPr>
              <w:tab/>
            </w:r>
            <w:r>
              <w:rPr>
                <w:webHidden/>
              </w:rPr>
              <w:fldChar w:fldCharType="begin"/>
            </w:r>
            <w:r>
              <w:rPr>
                <w:webHidden/>
              </w:rPr>
              <w:instrText xml:space="preserve"> PAGEREF _Toc81540385 \h </w:instrText>
            </w:r>
            <w:r>
              <w:rPr>
                <w:webHidden/>
              </w:rPr>
            </w:r>
            <w:r>
              <w:rPr>
                <w:webHidden/>
              </w:rPr>
              <w:fldChar w:fldCharType="separate"/>
            </w:r>
            <w:r w:rsidR="00660B71">
              <w:rPr>
                <w:webHidden/>
                <w:rtl/>
              </w:rPr>
              <w:t>6</w:t>
            </w:r>
            <w:r>
              <w:rPr>
                <w:webHidden/>
              </w:rPr>
              <w:fldChar w:fldCharType="end"/>
            </w:r>
          </w:hyperlink>
        </w:p>
        <w:p w14:paraId="0EE1164E" w14:textId="3E5745D2"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86" w:history="1">
            <w:r w:rsidRPr="00652E14">
              <w:rPr>
                <w:rStyle w:val="Hyperlink"/>
                <w:rtl/>
              </w:rPr>
              <w:t>הרב שלום צירקינד</w:t>
            </w:r>
          </w:hyperlink>
        </w:p>
        <w:p w14:paraId="6C215944" w14:textId="53BCBC54" w:rsidR="00304B8E" w:rsidRDefault="00304B8E" w:rsidP="00304B8E">
          <w:pPr>
            <w:pStyle w:val="TOC1"/>
            <w:rPr>
              <w:rFonts w:asciiTheme="minorHAnsi" w:eastAsiaTheme="minorEastAsia" w:hAnsiTheme="minorHAnsi" w:cstheme="minorBidi"/>
              <w:sz w:val="22"/>
              <w:szCs w:val="22"/>
            </w:rPr>
          </w:pPr>
          <w:hyperlink w:anchor="_Toc81540387" w:history="1">
            <w:r w:rsidRPr="00652E14">
              <w:rPr>
                <w:rStyle w:val="Hyperlink"/>
                <w:rtl/>
              </w:rPr>
              <w:t>תורת רבינו</w:t>
            </w:r>
          </w:hyperlink>
        </w:p>
        <w:p w14:paraId="566A88FA" w14:textId="34525A63" w:rsidR="00304B8E" w:rsidRDefault="00304B8E" w:rsidP="00304B8E">
          <w:pPr>
            <w:pStyle w:val="TOC2"/>
            <w:rPr>
              <w:rFonts w:asciiTheme="minorHAnsi" w:eastAsiaTheme="minorEastAsia" w:hAnsiTheme="minorHAnsi" w:cstheme="minorBidi"/>
            </w:rPr>
          </w:pPr>
          <w:hyperlink w:anchor="_Toc81540388" w:history="1">
            <w:r w:rsidRPr="00652E14">
              <w:rPr>
                <w:rStyle w:val="Hyperlink"/>
                <w:rtl/>
              </w:rPr>
              <w:t>בל תוסיף בברכת כהנים</w:t>
            </w:r>
            <w:r>
              <w:rPr>
                <w:webHidden/>
              </w:rPr>
              <w:tab/>
            </w:r>
            <w:r>
              <w:rPr>
                <w:webHidden/>
              </w:rPr>
              <w:fldChar w:fldCharType="begin"/>
            </w:r>
            <w:r>
              <w:rPr>
                <w:webHidden/>
              </w:rPr>
              <w:instrText xml:space="preserve"> PAGEREF _Toc81540388 \h </w:instrText>
            </w:r>
            <w:r>
              <w:rPr>
                <w:webHidden/>
              </w:rPr>
            </w:r>
            <w:r>
              <w:rPr>
                <w:webHidden/>
              </w:rPr>
              <w:fldChar w:fldCharType="separate"/>
            </w:r>
            <w:r w:rsidR="00660B71">
              <w:rPr>
                <w:webHidden/>
                <w:rtl/>
              </w:rPr>
              <w:t>8</w:t>
            </w:r>
            <w:r>
              <w:rPr>
                <w:webHidden/>
              </w:rPr>
              <w:fldChar w:fldCharType="end"/>
            </w:r>
          </w:hyperlink>
        </w:p>
        <w:p w14:paraId="5015C1A6" w14:textId="351E6C32"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89" w:history="1">
            <w:r w:rsidRPr="00652E14">
              <w:rPr>
                <w:rStyle w:val="Hyperlink"/>
                <w:rtl/>
              </w:rPr>
              <w:t>הרב אברהם יצחק ברוך גערליצקי</w:t>
            </w:r>
          </w:hyperlink>
        </w:p>
        <w:p w14:paraId="6DB2ED8B" w14:textId="150A47A2" w:rsidR="00304B8E" w:rsidRDefault="00304B8E" w:rsidP="00304B8E">
          <w:pPr>
            <w:pStyle w:val="TOC2"/>
            <w:rPr>
              <w:rFonts w:asciiTheme="minorHAnsi" w:eastAsiaTheme="minorEastAsia" w:hAnsiTheme="minorHAnsi" w:cstheme="minorBidi"/>
            </w:rPr>
          </w:pPr>
          <w:hyperlink w:anchor="_Toc81540390" w:history="1">
            <w:r w:rsidRPr="00652E14">
              <w:rPr>
                <w:rStyle w:val="Hyperlink"/>
                <w:rtl/>
              </w:rPr>
              <w:t>כמה הערות קטנות במאמר ד"ה אני לדודי ה'תשכ"ו (מלוקט ד')</w:t>
            </w:r>
            <w:r>
              <w:rPr>
                <w:webHidden/>
              </w:rPr>
              <w:tab/>
            </w:r>
            <w:r>
              <w:rPr>
                <w:webHidden/>
              </w:rPr>
              <w:fldChar w:fldCharType="begin"/>
            </w:r>
            <w:r>
              <w:rPr>
                <w:webHidden/>
              </w:rPr>
              <w:instrText xml:space="preserve"> PAGEREF _Toc81540390 \h </w:instrText>
            </w:r>
            <w:r>
              <w:rPr>
                <w:webHidden/>
              </w:rPr>
            </w:r>
            <w:r>
              <w:rPr>
                <w:webHidden/>
              </w:rPr>
              <w:fldChar w:fldCharType="separate"/>
            </w:r>
            <w:r w:rsidR="00660B71">
              <w:rPr>
                <w:webHidden/>
                <w:rtl/>
              </w:rPr>
              <w:t>12</w:t>
            </w:r>
            <w:r>
              <w:rPr>
                <w:webHidden/>
              </w:rPr>
              <w:fldChar w:fldCharType="end"/>
            </w:r>
          </w:hyperlink>
        </w:p>
        <w:p w14:paraId="044FF173" w14:textId="6B298B02"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91" w:history="1">
            <w:r w:rsidRPr="00652E14">
              <w:rPr>
                <w:rStyle w:val="Hyperlink"/>
                <w:rtl/>
              </w:rPr>
              <w:t>הרב אברהם אלטר הלוי הבר</w:t>
            </w:r>
          </w:hyperlink>
        </w:p>
        <w:p w14:paraId="09EE7750" w14:textId="0D14CBAB" w:rsidR="00304B8E" w:rsidRDefault="00304B8E" w:rsidP="00304B8E">
          <w:pPr>
            <w:pStyle w:val="TOC2"/>
            <w:rPr>
              <w:rFonts w:asciiTheme="minorHAnsi" w:eastAsiaTheme="minorEastAsia" w:hAnsiTheme="minorHAnsi" w:cstheme="minorBidi"/>
            </w:rPr>
          </w:pPr>
          <w:hyperlink w:anchor="_Toc81540392" w:history="1">
            <w:r w:rsidRPr="00652E14">
              <w:rPr>
                <w:rStyle w:val="Hyperlink"/>
                <w:rtl/>
              </w:rPr>
              <w:t>הערה בלקוטי שיחות חכ"ט פ' עקב</w:t>
            </w:r>
            <w:r>
              <w:rPr>
                <w:webHidden/>
              </w:rPr>
              <w:tab/>
            </w:r>
            <w:r>
              <w:rPr>
                <w:webHidden/>
              </w:rPr>
              <w:fldChar w:fldCharType="begin"/>
            </w:r>
            <w:r>
              <w:rPr>
                <w:webHidden/>
              </w:rPr>
              <w:instrText xml:space="preserve"> PAGEREF _Toc81540392 \h </w:instrText>
            </w:r>
            <w:r>
              <w:rPr>
                <w:webHidden/>
              </w:rPr>
            </w:r>
            <w:r>
              <w:rPr>
                <w:webHidden/>
              </w:rPr>
              <w:fldChar w:fldCharType="separate"/>
            </w:r>
            <w:r w:rsidR="00660B71">
              <w:rPr>
                <w:webHidden/>
                <w:rtl/>
              </w:rPr>
              <w:t>14</w:t>
            </w:r>
            <w:r>
              <w:rPr>
                <w:webHidden/>
              </w:rPr>
              <w:fldChar w:fldCharType="end"/>
            </w:r>
          </w:hyperlink>
        </w:p>
        <w:p w14:paraId="1C63E3D3" w14:textId="33C6CB8E"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93" w:history="1">
            <w:r w:rsidRPr="00652E14">
              <w:rPr>
                <w:rStyle w:val="Hyperlink"/>
                <w:rtl/>
              </w:rPr>
              <w:t>הרב מרדכי מינצברג</w:t>
            </w:r>
          </w:hyperlink>
        </w:p>
        <w:p w14:paraId="3F27CC20" w14:textId="3D96FD9D" w:rsidR="00304B8E" w:rsidRDefault="00304B8E" w:rsidP="00304B8E">
          <w:pPr>
            <w:pStyle w:val="TOC2"/>
            <w:rPr>
              <w:rFonts w:asciiTheme="minorHAnsi" w:eastAsiaTheme="minorEastAsia" w:hAnsiTheme="minorHAnsi" w:cstheme="minorBidi"/>
            </w:rPr>
          </w:pPr>
          <w:hyperlink w:anchor="_Toc81540394" w:history="1">
            <w:r w:rsidRPr="00652E14">
              <w:rPr>
                <w:rStyle w:val="Hyperlink"/>
                <w:rtl/>
              </w:rPr>
              <w:t>תוס' ביאור בענין הארת הקישוטין דיגמה"ר מאמר ד"ה השמים כסאי תשכ"ח</w:t>
            </w:r>
            <w:r>
              <w:rPr>
                <w:webHidden/>
              </w:rPr>
              <w:tab/>
            </w:r>
            <w:r>
              <w:rPr>
                <w:webHidden/>
              </w:rPr>
              <w:fldChar w:fldCharType="begin"/>
            </w:r>
            <w:r>
              <w:rPr>
                <w:webHidden/>
              </w:rPr>
              <w:instrText xml:space="preserve"> PAGEREF _Toc81540394 \h </w:instrText>
            </w:r>
            <w:r>
              <w:rPr>
                <w:webHidden/>
              </w:rPr>
            </w:r>
            <w:r>
              <w:rPr>
                <w:webHidden/>
              </w:rPr>
              <w:fldChar w:fldCharType="separate"/>
            </w:r>
            <w:r w:rsidR="00660B71">
              <w:rPr>
                <w:webHidden/>
                <w:rtl/>
              </w:rPr>
              <w:t>15</w:t>
            </w:r>
            <w:r>
              <w:rPr>
                <w:webHidden/>
              </w:rPr>
              <w:fldChar w:fldCharType="end"/>
            </w:r>
          </w:hyperlink>
        </w:p>
        <w:p w14:paraId="74CEC37C" w14:textId="6C7BDBED"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95" w:history="1">
            <w:r w:rsidRPr="00652E14">
              <w:rPr>
                <w:rStyle w:val="Hyperlink"/>
                <w:rtl/>
              </w:rPr>
              <w:t>הרב דוד פלדמן</w:t>
            </w:r>
          </w:hyperlink>
        </w:p>
        <w:p w14:paraId="3B2E6069" w14:textId="76D252D6" w:rsidR="00304B8E" w:rsidRDefault="00304B8E" w:rsidP="00304B8E">
          <w:pPr>
            <w:pStyle w:val="TOC2"/>
            <w:rPr>
              <w:rFonts w:asciiTheme="minorHAnsi" w:eastAsiaTheme="minorEastAsia" w:hAnsiTheme="minorHAnsi" w:cstheme="minorBidi"/>
            </w:rPr>
          </w:pPr>
          <w:hyperlink w:anchor="_Toc81540396" w:history="1">
            <w:r w:rsidRPr="00652E14">
              <w:rPr>
                <w:rStyle w:val="Hyperlink"/>
                <w:rtl/>
              </w:rPr>
              <w:t>להנזר ממלחמת תנופה</w:t>
            </w:r>
            <w:r>
              <w:rPr>
                <w:webHidden/>
              </w:rPr>
              <w:tab/>
            </w:r>
            <w:r>
              <w:rPr>
                <w:webHidden/>
              </w:rPr>
              <w:fldChar w:fldCharType="begin"/>
            </w:r>
            <w:r>
              <w:rPr>
                <w:webHidden/>
              </w:rPr>
              <w:instrText xml:space="preserve"> PAGEREF _Toc81540396 \h </w:instrText>
            </w:r>
            <w:r>
              <w:rPr>
                <w:webHidden/>
              </w:rPr>
            </w:r>
            <w:r>
              <w:rPr>
                <w:webHidden/>
              </w:rPr>
              <w:fldChar w:fldCharType="separate"/>
            </w:r>
            <w:r w:rsidR="00660B71">
              <w:rPr>
                <w:webHidden/>
                <w:rtl/>
              </w:rPr>
              <w:t>18</w:t>
            </w:r>
            <w:r>
              <w:rPr>
                <w:webHidden/>
              </w:rPr>
              <w:fldChar w:fldCharType="end"/>
            </w:r>
          </w:hyperlink>
        </w:p>
        <w:p w14:paraId="7D35796D" w14:textId="66B10F07"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97" w:history="1">
            <w:r w:rsidRPr="00652E14">
              <w:rPr>
                <w:rStyle w:val="Hyperlink"/>
                <w:rtl/>
              </w:rPr>
              <w:t>הרב שמחה אלכסנדר פרענד</w:t>
            </w:r>
          </w:hyperlink>
        </w:p>
        <w:p w14:paraId="07805046" w14:textId="67250E4D" w:rsidR="00304B8E" w:rsidRDefault="00304B8E" w:rsidP="00304B8E">
          <w:pPr>
            <w:pStyle w:val="TOC2"/>
            <w:rPr>
              <w:rFonts w:asciiTheme="minorHAnsi" w:eastAsiaTheme="minorEastAsia" w:hAnsiTheme="minorHAnsi" w:cstheme="minorBidi"/>
            </w:rPr>
          </w:pPr>
          <w:hyperlink w:anchor="_Toc81540398" w:history="1">
            <w:r w:rsidRPr="00652E14">
              <w:rPr>
                <w:rStyle w:val="Hyperlink"/>
                <w:rtl/>
              </w:rPr>
              <w:t>לבטל כו' בימי ספה"ע</w:t>
            </w:r>
            <w:r>
              <w:rPr>
                <w:webHidden/>
              </w:rPr>
              <w:tab/>
            </w:r>
            <w:r>
              <w:rPr>
                <w:webHidden/>
              </w:rPr>
              <w:fldChar w:fldCharType="begin"/>
            </w:r>
            <w:r>
              <w:rPr>
                <w:webHidden/>
              </w:rPr>
              <w:instrText xml:space="preserve"> PAGEREF _Toc81540398 \h </w:instrText>
            </w:r>
            <w:r>
              <w:rPr>
                <w:webHidden/>
              </w:rPr>
            </w:r>
            <w:r>
              <w:rPr>
                <w:webHidden/>
              </w:rPr>
              <w:fldChar w:fldCharType="separate"/>
            </w:r>
            <w:r w:rsidR="00660B71">
              <w:rPr>
                <w:webHidden/>
                <w:rtl/>
              </w:rPr>
              <w:t>20</w:t>
            </w:r>
            <w:r>
              <w:rPr>
                <w:webHidden/>
              </w:rPr>
              <w:fldChar w:fldCharType="end"/>
            </w:r>
          </w:hyperlink>
        </w:p>
        <w:p w14:paraId="609442B4" w14:textId="319A6A2B"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399" w:history="1">
            <w:r w:rsidRPr="00652E14">
              <w:rPr>
                <w:rStyle w:val="Hyperlink"/>
                <w:rtl/>
              </w:rPr>
              <w:t>הרב פסח צבי שמערלינג</w:t>
            </w:r>
          </w:hyperlink>
        </w:p>
        <w:p w14:paraId="32CFD2DA" w14:textId="0A91B7F0" w:rsidR="00304B8E" w:rsidRDefault="00304B8E" w:rsidP="00304B8E">
          <w:pPr>
            <w:pStyle w:val="TOC1"/>
            <w:rPr>
              <w:rFonts w:asciiTheme="minorHAnsi" w:eastAsiaTheme="minorEastAsia" w:hAnsiTheme="minorHAnsi" w:cstheme="minorBidi"/>
              <w:sz w:val="22"/>
              <w:szCs w:val="22"/>
            </w:rPr>
          </w:pPr>
          <w:hyperlink w:anchor="_Toc81540400" w:history="1">
            <w:r w:rsidRPr="00652E14">
              <w:rPr>
                <w:rStyle w:val="Hyperlink"/>
                <w:rtl/>
              </w:rPr>
              <w:t>נגלה</w:t>
            </w:r>
          </w:hyperlink>
        </w:p>
        <w:p w14:paraId="69D8B867" w14:textId="5F88FFCC" w:rsidR="00304B8E" w:rsidRDefault="00304B8E" w:rsidP="00304B8E">
          <w:pPr>
            <w:pStyle w:val="TOC2"/>
            <w:rPr>
              <w:rFonts w:asciiTheme="minorHAnsi" w:eastAsiaTheme="minorEastAsia" w:hAnsiTheme="minorHAnsi" w:cstheme="minorBidi"/>
            </w:rPr>
          </w:pPr>
          <w:hyperlink w:anchor="_Toc81540401" w:history="1">
            <w:r w:rsidRPr="00652E14">
              <w:rPr>
                <w:rStyle w:val="Hyperlink"/>
                <w:rtl/>
              </w:rPr>
              <w:t>ביאור מחלוקת ר"ח ותוס' אם בעינן גז"ש למילף איסור הוצאה – לדרכו של אדה"ז</w:t>
            </w:r>
            <w:r>
              <w:rPr>
                <w:webHidden/>
              </w:rPr>
              <w:tab/>
            </w:r>
            <w:r>
              <w:rPr>
                <w:webHidden/>
              </w:rPr>
              <w:fldChar w:fldCharType="begin"/>
            </w:r>
            <w:r>
              <w:rPr>
                <w:webHidden/>
              </w:rPr>
              <w:instrText xml:space="preserve"> PAGEREF _Toc81540401 \h </w:instrText>
            </w:r>
            <w:r>
              <w:rPr>
                <w:webHidden/>
              </w:rPr>
            </w:r>
            <w:r>
              <w:rPr>
                <w:webHidden/>
              </w:rPr>
              <w:fldChar w:fldCharType="separate"/>
            </w:r>
            <w:r w:rsidR="00660B71">
              <w:rPr>
                <w:webHidden/>
                <w:rtl/>
              </w:rPr>
              <w:t>21</w:t>
            </w:r>
            <w:r>
              <w:rPr>
                <w:webHidden/>
              </w:rPr>
              <w:fldChar w:fldCharType="end"/>
            </w:r>
          </w:hyperlink>
        </w:p>
        <w:p w14:paraId="3A274500" w14:textId="134A285D"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02" w:history="1">
            <w:r w:rsidRPr="00652E14">
              <w:rPr>
                <w:rStyle w:val="Hyperlink"/>
                <w:rtl/>
              </w:rPr>
              <w:t>הרב יהושע בלאזענשטיין</w:t>
            </w:r>
          </w:hyperlink>
        </w:p>
        <w:p w14:paraId="0F8ED4F7" w14:textId="54364BBE" w:rsidR="00304B8E" w:rsidRDefault="00304B8E" w:rsidP="00304B8E">
          <w:pPr>
            <w:pStyle w:val="TOC2"/>
            <w:rPr>
              <w:rFonts w:asciiTheme="minorHAnsi" w:eastAsiaTheme="minorEastAsia" w:hAnsiTheme="minorHAnsi" w:cstheme="minorBidi"/>
            </w:rPr>
          </w:pPr>
          <w:hyperlink w:anchor="_Toc81540403" w:history="1">
            <w:r w:rsidRPr="00652E14">
              <w:rPr>
                <w:rStyle w:val="Hyperlink"/>
                <w:rtl/>
              </w:rPr>
              <w:t>ביאור הוכחת התוס' דהוצאה מלאכה גרועה היא</w:t>
            </w:r>
            <w:r>
              <w:rPr>
                <w:webHidden/>
              </w:rPr>
              <w:tab/>
            </w:r>
            <w:r>
              <w:rPr>
                <w:webHidden/>
              </w:rPr>
              <w:fldChar w:fldCharType="begin"/>
            </w:r>
            <w:r>
              <w:rPr>
                <w:webHidden/>
              </w:rPr>
              <w:instrText xml:space="preserve"> PAGEREF _Toc81540403 \h </w:instrText>
            </w:r>
            <w:r>
              <w:rPr>
                <w:webHidden/>
              </w:rPr>
            </w:r>
            <w:r>
              <w:rPr>
                <w:webHidden/>
              </w:rPr>
              <w:fldChar w:fldCharType="separate"/>
            </w:r>
            <w:r w:rsidR="00660B71">
              <w:rPr>
                <w:webHidden/>
                <w:rtl/>
              </w:rPr>
              <w:t>24</w:t>
            </w:r>
            <w:r>
              <w:rPr>
                <w:webHidden/>
              </w:rPr>
              <w:fldChar w:fldCharType="end"/>
            </w:r>
          </w:hyperlink>
        </w:p>
        <w:p w14:paraId="758CB18A" w14:textId="1EFB37C7"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04" w:history="1">
            <w:r w:rsidRPr="00652E14">
              <w:rPr>
                <w:rStyle w:val="Hyperlink"/>
                <w:rtl/>
              </w:rPr>
              <w:t>הנ"ל</w:t>
            </w:r>
          </w:hyperlink>
        </w:p>
        <w:p w14:paraId="3183E29C" w14:textId="43656814" w:rsidR="00304B8E" w:rsidRDefault="00304B8E" w:rsidP="00304B8E">
          <w:pPr>
            <w:pStyle w:val="TOC2"/>
            <w:rPr>
              <w:rFonts w:asciiTheme="minorHAnsi" w:eastAsiaTheme="minorEastAsia" w:hAnsiTheme="minorHAnsi" w:cstheme="minorBidi"/>
            </w:rPr>
          </w:pPr>
          <w:hyperlink w:anchor="_Toc81540405" w:history="1">
            <w:r w:rsidRPr="00652E14">
              <w:rPr>
                <w:rStyle w:val="Hyperlink"/>
                <w:rtl/>
              </w:rPr>
              <w:t>איסור בעל קרי במחנה לויה</w:t>
            </w:r>
            <w:r>
              <w:rPr>
                <w:webHidden/>
              </w:rPr>
              <w:tab/>
            </w:r>
            <w:r>
              <w:rPr>
                <w:webHidden/>
              </w:rPr>
              <w:fldChar w:fldCharType="begin"/>
            </w:r>
            <w:r>
              <w:rPr>
                <w:webHidden/>
              </w:rPr>
              <w:instrText xml:space="preserve"> PAGEREF _Toc81540405 \h </w:instrText>
            </w:r>
            <w:r>
              <w:rPr>
                <w:webHidden/>
              </w:rPr>
            </w:r>
            <w:r>
              <w:rPr>
                <w:webHidden/>
              </w:rPr>
              <w:fldChar w:fldCharType="separate"/>
            </w:r>
            <w:r w:rsidR="00660B71">
              <w:rPr>
                <w:webHidden/>
                <w:rtl/>
              </w:rPr>
              <w:t>26</w:t>
            </w:r>
            <w:r>
              <w:rPr>
                <w:webHidden/>
              </w:rPr>
              <w:fldChar w:fldCharType="end"/>
            </w:r>
          </w:hyperlink>
        </w:p>
        <w:p w14:paraId="2B994EAB" w14:textId="2697856B"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06" w:history="1">
            <w:r w:rsidRPr="00652E14">
              <w:rPr>
                <w:rStyle w:val="Hyperlink"/>
                <w:rtl/>
              </w:rPr>
              <w:t>הרב שמואל גינזבורג</w:t>
            </w:r>
          </w:hyperlink>
        </w:p>
        <w:p w14:paraId="336BC15A" w14:textId="2BBCCB7B" w:rsidR="00304B8E" w:rsidRDefault="00304B8E" w:rsidP="00304B8E">
          <w:pPr>
            <w:pStyle w:val="TOC2"/>
            <w:rPr>
              <w:rFonts w:asciiTheme="minorHAnsi" w:eastAsiaTheme="minorEastAsia" w:hAnsiTheme="minorHAnsi" w:cstheme="minorBidi"/>
            </w:rPr>
          </w:pPr>
          <w:hyperlink w:anchor="_Toc81540407" w:history="1">
            <w:r w:rsidRPr="00652E14">
              <w:rPr>
                <w:rStyle w:val="Hyperlink"/>
                <w:rtl/>
              </w:rPr>
              <w:t>ביאור בשיטת רש"י ותוס' בדיוקו של ר' אשי "המוציא מרל"ר מי לא עסקינן וכו'"</w:t>
            </w:r>
            <w:r>
              <w:rPr>
                <w:webHidden/>
              </w:rPr>
              <w:tab/>
            </w:r>
            <w:r>
              <w:rPr>
                <w:webHidden/>
              </w:rPr>
              <w:fldChar w:fldCharType="begin"/>
            </w:r>
            <w:r>
              <w:rPr>
                <w:webHidden/>
              </w:rPr>
              <w:instrText xml:space="preserve"> PAGEREF _Toc81540407 \h </w:instrText>
            </w:r>
            <w:r>
              <w:rPr>
                <w:webHidden/>
              </w:rPr>
            </w:r>
            <w:r>
              <w:rPr>
                <w:webHidden/>
              </w:rPr>
              <w:fldChar w:fldCharType="separate"/>
            </w:r>
            <w:r w:rsidR="00660B71">
              <w:rPr>
                <w:webHidden/>
                <w:rtl/>
              </w:rPr>
              <w:t>28</w:t>
            </w:r>
            <w:r>
              <w:rPr>
                <w:webHidden/>
              </w:rPr>
              <w:fldChar w:fldCharType="end"/>
            </w:r>
          </w:hyperlink>
        </w:p>
        <w:p w14:paraId="47E55B42" w14:textId="1DE60F39"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08" w:history="1">
            <w:r w:rsidRPr="00652E14">
              <w:rPr>
                <w:rStyle w:val="Hyperlink"/>
                <w:rtl/>
              </w:rPr>
              <w:t>הרב אלי' סימפסאן</w:t>
            </w:r>
          </w:hyperlink>
        </w:p>
        <w:p w14:paraId="44EACA58" w14:textId="1DE2BDC6" w:rsidR="00304B8E" w:rsidRDefault="00304B8E" w:rsidP="00304B8E">
          <w:pPr>
            <w:pStyle w:val="TOC1"/>
            <w:rPr>
              <w:rFonts w:asciiTheme="minorHAnsi" w:eastAsiaTheme="minorEastAsia" w:hAnsiTheme="minorHAnsi" w:cstheme="minorBidi"/>
              <w:sz w:val="22"/>
              <w:szCs w:val="22"/>
            </w:rPr>
          </w:pPr>
          <w:hyperlink w:anchor="_Toc81540409" w:history="1">
            <w:r w:rsidRPr="00652E14">
              <w:rPr>
                <w:rStyle w:val="Hyperlink"/>
                <w:rtl/>
              </w:rPr>
              <w:t>חסידות</w:t>
            </w:r>
          </w:hyperlink>
        </w:p>
        <w:p w14:paraId="7E6163DD" w14:textId="4590D0A6" w:rsidR="00304B8E" w:rsidRDefault="00304B8E" w:rsidP="00304B8E">
          <w:pPr>
            <w:pStyle w:val="TOC2"/>
            <w:rPr>
              <w:rFonts w:asciiTheme="minorHAnsi" w:eastAsiaTheme="minorEastAsia" w:hAnsiTheme="minorHAnsi" w:cstheme="minorBidi"/>
            </w:rPr>
          </w:pPr>
          <w:hyperlink w:anchor="_Toc81540410" w:history="1">
            <w:r w:rsidRPr="00652E14">
              <w:rPr>
                <w:rStyle w:val="Hyperlink"/>
                <w:rtl/>
              </w:rPr>
              <w:t>י"ג מדות הרחמים – חילוקי השיטות בזה</w:t>
            </w:r>
            <w:r>
              <w:rPr>
                <w:webHidden/>
              </w:rPr>
              <w:tab/>
            </w:r>
            <w:r>
              <w:rPr>
                <w:webHidden/>
              </w:rPr>
              <w:fldChar w:fldCharType="begin"/>
            </w:r>
            <w:r>
              <w:rPr>
                <w:webHidden/>
              </w:rPr>
              <w:instrText xml:space="preserve"> PAGEREF _Toc81540410 \h </w:instrText>
            </w:r>
            <w:r>
              <w:rPr>
                <w:webHidden/>
              </w:rPr>
            </w:r>
            <w:r>
              <w:rPr>
                <w:webHidden/>
              </w:rPr>
              <w:fldChar w:fldCharType="separate"/>
            </w:r>
            <w:r w:rsidR="00660B71">
              <w:rPr>
                <w:webHidden/>
                <w:rtl/>
              </w:rPr>
              <w:t>32</w:t>
            </w:r>
            <w:r>
              <w:rPr>
                <w:webHidden/>
              </w:rPr>
              <w:fldChar w:fldCharType="end"/>
            </w:r>
          </w:hyperlink>
        </w:p>
        <w:p w14:paraId="79410394" w14:textId="1E971406"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11" w:history="1">
            <w:r w:rsidRPr="00652E14">
              <w:rPr>
                <w:rStyle w:val="Hyperlink"/>
                <w:rtl/>
              </w:rPr>
              <w:t>הרב פינחס אש</w:t>
            </w:r>
          </w:hyperlink>
        </w:p>
        <w:p w14:paraId="4E332CFE" w14:textId="24E7DB69" w:rsidR="00304B8E" w:rsidRDefault="00304B8E" w:rsidP="00304B8E">
          <w:pPr>
            <w:pStyle w:val="TOC1"/>
            <w:rPr>
              <w:rFonts w:asciiTheme="minorHAnsi" w:eastAsiaTheme="minorEastAsia" w:hAnsiTheme="minorHAnsi" w:cstheme="minorBidi"/>
              <w:sz w:val="22"/>
              <w:szCs w:val="22"/>
            </w:rPr>
          </w:pPr>
          <w:hyperlink w:anchor="_Toc81540412" w:history="1">
            <w:r w:rsidRPr="00652E14">
              <w:rPr>
                <w:rStyle w:val="Hyperlink"/>
                <w:rtl/>
              </w:rPr>
              <w:t>הלכה ומנהג</w:t>
            </w:r>
          </w:hyperlink>
        </w:p>
        <w:p w14:paraId="1C51D93A" w14:textId="498F4026" w:rsidR="00304B8E" w:rsidRDefault="00304B8E" w:rsidP="00304B8E">
          <w:pPr>
            <w:pStyle w:val="TOC2"/>
            <w:rPr>
              <w:rFonts w:asciiTheme="minorHAnsi" w:eastAsiaTheme="minorEastAsia" w:hAnsiTheme="minorHAnsi" w:cstheme="minorBidi"/>
            </w:rPr>
          </w:pPr>
          <w:hyperlink w:anchor="_Toc81540413" w:history="1">
            <w:r w:rsidRPr="00652E14">
              <w:rPr>
                <w:rStyle w:val="Hyperlink"/>
                <w:rtl/>
              </w:rPr>
              <w:t>נפילת אפים בלא ספר תורה (גליון)</w:t>
            </w:r>
            <w:r>
              <w:rPr>
                <w:webHidden/>
              </w:rPr>
              <w:tab/>
            </w:r>
            <w:r>
              <w:rPr>
                <w:webHidden/>
              </w:rPr>
              <w:fldChar w:fldCharType="begin"/>
            </w:r>
            <w:r>
              <w:rPr>
                <w:webHidden/>
              </w:rPr>
              <w:instrText xml:space="preserve"> PAGEREF _Toc81540413 \h </w:instrText>
            </w:r>
            <w:r>
              <w:rPr>
                <w:webHidden/>
              </w:rPr>
            </w:r>
            <w:r>
              <w:rPr>
                <w:webHidden/>
              </w:rPr>
              <w:fldChar w:fldCharType="separate"/>
            </w:r>
            <w:r w:rsidR="00660B71">
              <w:rPr>
                <w:webHidden/>
                <w:rtl/>
              </w:rPr>
              <w:t>39</w:t>
            </w:r>
            <w:r>
              <w:rPr>
                <w:webHidden/>
              </w:rPr>
              <w:fldChar w:fldCharType="end"/>
            </w:r>
          </w:hyperlink>
        </w:p>
        <w:p w14:paraId="0B074E74" w14:textId="6DD90B95"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14" w:history="1">
            <w:r w:rsidRPr="00652E14">
              <w:rPr>
                <w:rStyle w:val="Hyperlink"/>
                <w:rtl/>
              </w:rPr>
              <w:t>הרב ברוך אבערלאנדער</w:t>
            </w:r>
          </w:hyperlink>
        </w:p>
        <w:p w14:paraId="32597D73" w14:textId="745D14B3" w:rsidR="00304B8E" w:rsidRDefault="00304B8E" w:rsidP="00304B8E">
          <w:pPr>
            <w:pStyle w:val="TOC2"/>
            <w:rPr>
              <w:rFonts w:asciiTheme="minorHAnsi" w:eastAsiaTheme="minorEastAsia" w:hAnsiTheme="minorHAnsi" w:cstheme="minorBidi"/>
            </w:rPr>
          </w:pPr>
          <w:hyperlink w:anchor="_Toc81540415" w:history="1">
            <w:r w:rsidRPr="00652E14">
              <w:rPr>
                <w:rStyle w:val="Hyperlink"/>
                <w:rtl/>
              </w:rPr>
              <w:t>טעה ובירך המוציא במקום על נטילת ידים</w:t>
            </w:r>
            <w:r>
              <w:rPr>
                <w:webHidden/>
              </w:rPr>
              <w:tab/>
            </w:r>
            <w:r>
              <w:rPr>
                <w:webHidden/>
              </w:rPr>
              <w:fldChar w:fldCharType="begin"/>
            </w:r>
            <w:r>
              <w:rPr>
                <w:webHidden/>
              </w:rPr>
              <w:instrText xml:space="preserve"> PAGEREF _Toc81540415 \h </w:instrText>
            </w:r>
            <w:r>
              <w:rPr>
                <w:webHidden/>
              </w:rPr>
            </w:r>
            <w:r>
              <w:rPr>
                <w:webHidden/>
              </w:rPr>
              <w:fldChar w:fldCharType="separate"/>
            </w:r>
            <w:r w:rsidR="00660B71">
              <w:rPr>
                <w:webHidden/>
                <w:rtl/>
              </w:rPr>
              <w:t>42</w:t>
            </w:r>
            <w:r>
              <w:rPr>
                <w:webHidden/>
              </w:rPr>
              <w:fldChar w:fldCharType="end"/>
            </w:r>
          </w:hyperlink>
        </w:p>
        <w:p w14:paraId="2E2E7F4B" w14:textId="3A9E3510"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16" w:history="1">
            <w:r w:rsidRPr="00652E14">
              <w:rPr>
                <w:rStyle w:val="Hyperlink"/>
                <w:rtl/>
              </w:rPr>
              <w:t>הרב גדלי' אבערלאנדער</w:t>
            </w:r>
          </w:hyperlink>
        </w:p>
        <w:p w14:paraId="48D623E8" w14:textId="5F14AE15" w:rsidR="00304B8E" w:rsidRDefault="00304B8E" w:rsidP="00304B8E">
          <w:pPr>
            <w:pStyle w:val="TOC2"/>
            <w:rPr>
              <w:rFonts w:asciiTheme="minorHAnsi" w:eastAsiaTheme="minorEastAsia" w:hAnsiTheme="minorHAnsi" w:cstheme="minorBidi"/>
            </w:rPr>
          </w:pPr>
          <w:hyperlink w:anchor="_Toc81540417" w:history="1">
            <w:r w:rsidRPr="00652E14">
              <w:rPr>
                <w:rStyle w:val="Hyperlink"/>
                <w:rtl/>
              </w:rPr>
              <w:t>נפילת אפים במקום שאין ספר תורה</w:t>
            </w:r>
            <w:r>
              <w:rPr>
                <w:webHidden/>
              </w:rPr>
              <w:tab/>
            </w:r>
            <w:r>
              <w:rPr>
                <w:webHidden/>
              </w:rPr>
              <w:fldChar w:fldCharType="begin"/>
            </w:r>
            <w:r>
              <w:rPr>
                <w:webHidden/>
              </w:rPr>
              <w:instrText xml:space="preserve"> PAGEREF _Toc81540417 \h </w:instrText>
            </w:r>
            <w:r>
              <w:rPr>
                <w:webHidden/>
              </w:rPr>
            </w:r>
            <w:r>
              <w:rPr>
                <w:webHidden/>
              </w:rPr>
              <w:fldChar w:fldCharType="separate"/>
            </w:r>
            <w:r w:rsidR="00660B71">
              <w:rPr>
                <w:webHidden/>
                <w:rtl/>
              </w:rPr>
              <w:t>45</w:t>
            </w:r>
            <w:r>
              <w:rPr>
                <w:webHidden/>
              </w:rPr>
              <w:fldChar w:fldCharType="end"/>
            </w:r>
          </w:hyperlink>
        </w:p>
        <w:p w14:paraId="5A2C55F1" w14:textId="626669DF"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18" w:history="1">
            <w:r w:rsidRPr="00652E14">
              <w:rPr>
                <w:rStyle w:val="Hyperlink"/>
                <w:rtl/>
              </w:rPr>
              <w:t>הרב יעקב הלוי הורוביץ</w:t>
            </w:r>
          </w:hyperlink>
        </w:p>
        <w:p w14:paraId="71E9F682" w14:textId="0D55AFF3" w:rsidR="00304B8E" w:rsidRDefault="00304B8E" w:rsidP="00304B8E">
          <w:pPr>
            <w:pStyle w:val="TOC2"/>
            <w:rPr>
              <w:rFonts w:asciiTheme="minorHAnsi" w:eastAsiaTheme="minorEastAsia" w:hAnsiTheme="minorHAnsi" w:cstheme="minorBidi"/>
            </w:rPr>
          </w:pPr>
          <w:hyperlink w:anchor="_Toc81540419" w:history="1">
            <w:r w:rsidRPr="00652E14">
              <w:rPr>
                <w:rStyle w:val="Hyperlink"/>
                <w:rtl/>
              </w:rPr>
              <w:t>דברים שנוהגים לאכול בראש השנה למנהג חב"ד</w:t>
            </w:r>
            <w:r>
              <w:rPr>
                <w:webHidden/>
              </w:rPr>
              <w:tab/>
            </w:r>
            <w:r>
              <w:rPr>
                <w:webHidden/>
              </w:rPr>
              <w:fldChar w:fldCharType="begin"/>
            </w:r>
            <w:r>
              <w:rPr>
                <w:webHidden/>
              </w:rPr>
              <w:instrText xml:space="preserve"> PAGEREF _Toc81540419 \h </w:instrText>
            </w:r>
            <w:r>
              <w:rPr>
                <w:webHidden/>
              </w:rPr>
            </w:r>
            <w:r>
              <w:rPr>
                <w:webHidden/>
              </w:rPr>
              <w:fldChar w:fldCharType="separate"/>
            </w:r>
            <w:r w:rsidR="00660B71">
              <w:rPr>
                <w:webHidden/>
                <w:rtl/>
              </w:rPr>
              <w:t>52</w:t>
            </w:r>
            <w:r>
              <w:rPr>
                <w:webHidden/>
              </w:rPr>
              <w:fldChar w:fldCharType="end"/>
            </w:r>
          </w:hyperlink>
        </w:p>
        <w:p w14:paraId="37A2D203" w14:textId="0DF87FA9"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20" w:history="1">
            <w:r w:rsidRPr="00652E14">
              <w:rPr>
                <w:rStyle w:val="Hyperlink"/>
                <w:rtl/>
              </w:rPr>
              <w:t>הרב מרדכי מינצברג</w:t>
            </w:r>
          </w:hyperlink>
        </w:p>
        <w:p w14:paraId="7C5F8F6F" w14:textId="13FEF450" w:rsidR="00304B8E" w:rsidRDefault="00304B8E" w:rsidP="00304B8E">
          <w:pPr>
            <w:pStyle w:val="TOC2"/>
            <w:rPr>
              <w:rFonts w:asciiTheme="minorHAnsi" w:eastAsiaTheme="minorEastAsia" w:hAnsiTheme="minorHAnsi" w:cstheme="minorBidi"/>
            </w:rPr>
          </w:pPr>
          <w:hyperlink w:anchor="_Toc81540421" w:history="1">
            <w:r w:rsidRPr="00652E14">
              <w:rPr>
                <w:rStyle w:val="Hyperlink"/>
                <w:rtl/>
              </w:rPr>
              <w:t>אמירת פרקי שיר המעלות בשמחת בית השואבה</w:t>
            </w:r>
            <w:r>
              <w:rPr>
                <w:webHidden/>
              </w:rPr>
              <w:tab/>
            </w:r>
            <w:r>
              <w:rPr>
                <w:webHidden/>
              </w:rPr>
              <w:fldChar w:fldCharType="begin"/>
            </w:r>
            <w:r>
              <w:rPr>
                <w:webHidden/>
              </w:rPr>
              <w:instrText xml:space="preserve"> PAGEREF _Toc81540421 \h </w:instrText>
            </w:r>
            <w:r>
              <w:rPr>
                <w:webHidden/>
              </w:rPr>
            </w:r>
            <w:r>
              <w:rPr>
                <w:webHidden/>
              </w:rPr>
              <w:fldChar w:fldCharType="separate"/>
            </w:r>
            <w:r w:rsidR="00660B71">
              <w:rPr>
                <w:webHidden/>
                <w:rtl/>
              </w:rPr>
              <w:t>54</w:t>
            </w:r>
            <w:r>
              <w:rPr>
                <w:webHidden/>
              </w:rPr>
              <w:fldChar w:fldCharType="end"/>
            </w:r>
          </w:hyperlink>
        </w:p>
        <w:p w14:paraId="790E8710" w14:textId="11461C3D"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22" w:history="1">
            <w:r w:rsidRPr="00652E14">
              <w:rPr>
                <w:rStyle w:val="Hyperlink"/>
                <w:rtl/>
              </w:rPr>
              <w:t>הנ"ל</w:t>
            </w:r>
          </w:hyperlink>
        </w:p>
        <w:p w14:paraId="3D6066D3" w14:textId="158B2F51" w:rsidR="00304B8E" w:rsidRDefault="00304B8E" w:rsidP="00304B8E">
          <w:pPr>
            <w:pStyle w:val="TOC2"/>
            <w:rPr>
              <w:rFonts w:asciiTheme="minorHAnsi" w:eastAsiaTheme="minorEastAsia" w:hAnsiTheme="minorHAnsi" w:cstheme="minorBidi"/>
            </w:rPr>
          </w:pPr>
          <w:hyperlink w:anchor="_Toc81540423" w:history="1">
            <w:r w:rsidRPr="00652E14">
              <w:rPr>
                <w:rStyle w:val="Hyperlink"/>
                <w:rtl/>
              </w:rPr>
              <w:t>יין ופירות שלפני סעודה ומנהג חב"ד בליל ר"ה</w:t>
            </w:r>
            <w:r>
              <w:rPr>
                <w:webHidden/>
              </w:rPr>
              <w:tab/>
            </w:r>
            <w:r>
              <w:rPr>
                <w:webHidden/>
              </w:rPr>
              <w:fldChar w:fldCharType="begin"/>
            </w:r>
            <w:r>
              <w:rPr>
                <w:webHidden/>
              </w:rPr>
              <w:instrText xml:space="preserve"> PAGEREF _Toc81540423 \h </w:instrText>
            </w:r>
            <w:r>
              <w:rPr>
                <w:webHidden/>
              </w:rPr>
            </w:r>
            <w:r>
              <w:rPr>
                <w:webHidden/>
              </w:rPr>
              <w:fldChar w:fldCharType="separate"/>
            </w:r>
            <w:r w:rsidR="00660B71">
              <w:rPr>
                <w:webHidden/>
                <w:rtl/>
              </w:rPr>
              <w:t>55</w:t>
            </w:r>
            <w:r>
              <w:rPr>
                <w:webHidden/>
              </w:rPr>
              <w:fldChar w:fldCharType="end"/>
            </w:r>
          </w:hyperlink>
        </w:p>
        <w:p w14:paraId="365589CA" w14:textId="49B5F938"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24" w:history="1">
            <w:r w:rsidRPr="00652E14">
              <w:rPr>
                <w:rStyle w:val="Hyperlink"/>
                <w:rtl/>
              </w:rPr>
              <w:t>הרב יוחנן מרזוב</w:t>
            </w:r>
          </w:hyperlink>
        </w:p>
        <w:p w14:paraId="0A93DBC2" w14:textId="631BD03F" w:rsidR="00304B8E" w:rsidRDefault="00304B8E" w:rsidP="00304B8E">
          <w:pPr>
            <w:pStyle w:val="TOC2"/>
            <w:rPr>
              <w:rFonts w:asciiTheme="minorHAnsi" w:eastAsiaTheme="minorEastAsia" w:hAnsiTheme="minorHAnsi" w:cstheme="minorBidi"/>
            </w:rPr>
          </w:pPr>
          <w:hyperlink w:anchor="_Toc81540425" w:history="1">
            <w:r w:rsidRPr="00652E14">
              <w:rPr>
                <w:rStyle w:val="Hyperlink"/>
                <w:rtl/>
              </w:rPr>
              <w:t>איסור שבות לענין שופר וגזירה דרבה</w:t>
            </w:r>
            <w:r>
              <w:rPr>
                <w:webHidden/>
              </w:rPr>
              <w:tab/>
            </w:r>
            <w:r>
              <w:rPr>
                <w:webHidden/>
              </w:rPr>
              <w:fldChar w:fldCharType="begin"/>
            </w:r>
            <w:r>
              <w:rPr>
                <w:webHidden/>
              </w:rPr>
              <w:instrText xml:space="preserve"> PAGEREF _Toc81540425 \h </w:instrText>
            </w:r>
            <w:r>
              <w:rPr>
                <w:webHidden/>
              </w:rPr>
            </w:r>
            <w:r>
              <w:rPr>
                <w:webHidden/>
              </w:rPr>
              <w:fldChar w:fldCharType="separate"/>
            </w:r>
            <w:r w:rsidR="00660B71">
              <w:rPr>
                <w:webHidden/>
                <w:rtl/>
              </w:rPr>
              <w:t>71</w:t>
            </w:r>
            <w:r>
              <w:rPr>
                <w:webHidden/>
              </w:rPr>
              <w:fldChar w:fldCharType="end"/>
            </w:r>
          </w:hyperlink>
        </w:p>
        <w:p w14:paraId="65625EFE" w14:textId="6526C7DC"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26" w:history="1">
            <w:r w:rsidRPr="00652E14">
              <w:rPr>
                <w:rStyle w:val="Hyperlink"/>
                <w:rtl/>
              </w:rPr>
              <w:t>הרב אליהו נתן הכהן סילבערבערג</w:t>
            </w:r>
          </w:hyperlink>
        </w:p>
        <w:p w14:paraId="09E314FD" w14:textId="4F414E17" w:rsidR="00304B8E" w:rsidRDefault="00304B8E" w:rsidP="00304B8E">
          <w:pPr>
            <w:pStyle w:val="TOC2"/>
            <w:rPr>
              <w:rFonts w:asciiTheme="minorHAnsi" w:eastAsiaTheme="minorEastAsia" w:hAnsiTheme="minorHAnsi" w:cstheme="minorBidi"/>
            </w:rPr>
          </w:pPr>
          <w:hyperlink w:anchor="_Toc81540427" w:history="1">
            <w:r w:rsidRPr="00652E14">
              <w:rPr>
                <w:rStyle w:val="Hyperlink"/>
                <w:shd w:val="clear" w:color="auto" w:fill="FFFFFF"/>
                <w:rtl/>
              </w:rPr>
              <w:t>דעת רבינו הזקן ע"ד להאכיל נכרי הבא מאליו ביו"ט</w:t>
            </w:r>
            <w:r>
              <w:rPr>
                <w:webHidden/>
              </w:rPr>
              <w:tab/>
            </w:r>
            <w:r>
              <w:rPr>
                <w:webHidden/>
              </w:rPr>
              <w:fldChar w:fldCharType="begin"/>
            </w:r>
            <w:r>
              <w:rPr>
                <w:webHidden/>
              </w:rPr>
              <w:instrText xml:space="preserve"> PAGEREF _Toc81540427 \h </w:instrText>
            </w:r>
            <w:r>
              <w:rPr>
                <w:webHidden/>
              </w:rPr>
            </w:r>
            <w:r>
              <w:rPr>
                <w:webHidden/>
              </w:rPr>
              <w:fldChar w:fldCharType="separate"/>
            </w:r>
            <w:r w:rsidR="00660B71">
              <w:rPr>
                <w:webHidden/>
                <w:rtl/>
              </w:rPr>
              <w:t>75</w:t>
            </w:r>
            <w:r>
              <w:rPr>
                <w:webHidden/>
              </w:rPr>
              <w:fldChar w:fldCharType="end"/>
            </w:r>
          </w:hyperlink>
        </w:p>
        <w:p w14:paraId="67A8D1CC" w14:textId="1BCE400E"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28" w:history="1">
            <w:r w:rsidRPr="00652E14">
              <w:rPr>
                <w:rStyle w:val="Hyperlink"/>
                <w:shd w:val="clear" w:color="auto" w:fill="FFFFFF"/>
                <w:rtl/>
              </w:rPr>
              <w:t>אלימלך יוסף הכהן סילבערבערג</w:t>
            </w:r>
          </w:hyperlink>
        </w:p>
        <w:p w14:paraId="52857F89" w14:textId="7D359491" w:rsidR="00304B8E" w:rsidRDefault="00304B8E" w:rsidP="00304B8E">
          <w:pPr>
            <w:pStyle w:val="TOC2"/>
            <w:rPr>
              <w:rFonts w:asciiTheme="minorHAnsi" w:eastAsiaTheme="minorEastAsia" w:hAnsiTheme="minorHAnsi" w:cstheme="minorBidi"/>
            </w:rPr>
          </w:pPr>
          <w:hyperlink w:anchor="_Toc81540429" w:history="1">
            <w:r w:rsidRPr="00652E14">
              <w:rPr>
                <w:rStyle w:val="Hyperlink"/>
                <w:rtl/>
              </w:rPr>
              <w:t>ערבה שכמשה בזמנינו</w:t>
            </w:r>
            <w:r>
              <w:rPr>
                <w:webHidden/>
              </w:rPr>
              <w:tab/>
            </w:r>
            <w:r>
              <w:rPr>
                <w:webHidden/>
              </w:rPr>
              <w:fldChar w:fldCharType="begin"/>
            </w:r>
            <w:r>
              <w:rPr>
                <w:webHidden/>
              </w:rPr>
              <w:instrText xml:space="preserve"> PAGEREF _Toc81540429 \h </w:instrText>
            </w:r>
            <w:r>
              <w:rPr>
                <w:webHidden/>
              </w:rPr>
            </w:r>
            <w:r>
              <w:rPr>
                <w:webHidden/>
              </w:rPr>
              <w:fldChar w:fldCharType="separate"/>
            </w:r>
            <w:r w:rsidR="00660B71">
              <w:rPr>
                <w:webHidden/>
                <w:rtl/>
              </w:rPr>
              <w:t>77</w:t>
            </w:r>
            <w:r>
              <w:rPr>
                <w:webHidden/>
              </w:rPr>
              <w:fldChar w:fldCharType="end"/>
            </w:r>
          </w:hyperlink>
        </w:p>
        <w:p w14:paraId="667A9158" w14:textId="527C1999"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30" w:history="1">
            <w:r w:rsidRPr="00652E14">
              <w:rPr>
                <w:rStyle w:val="Hyperlink"/>
                <w:rtl/>
              </w:rPr>
              <w:t>הרב שלום צירקינד</w:t>
            </w:r>
          </w:hyperlink>
        </w:p>
        <w:p w14:paraId="0726D05D" w14:textId="673075E5" w:rsidR="00304B8E" w:rsidRDefault="00304B8E" w:rsidP="00304B8E">
          <w:pPr>
            <w:pStyle w:val="TOC2"/>
            <w:rPr>
              <w:rFonts w:asciiTheme="minorHAnsi" w:eastAsiaTheme="minorEastAsia" w:hAnsiTheme="minorHAnsi" w:cstheme="minorBidi"/>
            </w:rPr>
          </w:pPr>
          <w:hyperlink w:anchor="_Toc81540431" w:history="1">
            <w:r w:rsidRPr="00652E14">
              <w:rPr>
                <w:rStyle w:val="Hyperlink"/>
                <w:rFonts w:eastAsia="Calibri"/>
                <w:rtl/>
              </w:rPr>
              <w:t>תיקון עירובי עיירות בהלכה ובמשנת הרבי (גליון)</w:t>
            </w:r>
            <w:r>
              <w:rPr>
                <w:webHidden/>
              </w:rPr>
              <w:tab/>
            </w:r>
            <w:r>
              <w:rPr>
                <w:webHidden/>
              </w:rPr>
              <w:fldChar w:fldCharType="begin"/>
            </w:r>
            <w:r>
              <w:rPr>
                <w:webHidden/>
              </w:rPr>
              <w:instrText xml:space="preserve"> PAGEREF _Toc81540431 \h </w:instrText>
            </w:r>
            <w:r>
              <w:rPr>
                <w:webHidden/>
              </w:rPr>
            </w:r>
            <w:r>
              <w:rPr>
                <w:webHidden/>
              </w:rPr>
              <w:fldChar w:fldCharType="separate"/>
            </w:r>
            <w:r w:rsidR="00660B71">
              <w:rPr>
                <w:webHidden/>
                <w:rtl/>
              </w:rPr>
              <w:t>78</w:t>
            </w:r>
            <w:r>
              <w:rPr>
                <w:webHidden/>
              </w:rPr>
              <w:fldChar w:fldCharType="end"/>
            </w:r>
          </w:hyperlink>
        </w:p>
        <w:p w14:paraId="771428C5" w14:textId="7DEEEB7A"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32" w:history="1">
            <w:r w:rsidRPr="00652E14">
              <w:rPr>
                <w:rStyle w:val="Hyperlink"/>
                <w:rtl/>
              </w:rPr>
              <w:t>הרב מנחם מענדל רייצס</w:t>
            </w:r>
          </w:hyperlink>
        </w:p>
        <w:p w14:paraId="5B6CF51E" w14:textId="1588F7D8" w:rsidR="00304B8E" w:rsidRDefault="00304B8E" w:rsidP="00304B8E">
          <w:pPr>
            <w:pStyle w:val="TOC2"/>
            <w:rPr>
              <w:rFonts w:asciiTheme="minorHAnsi" w:eastAsiaTheme="minorEastAsia" w:hAnsiTheme="minorHAnsi" w:cstheme="minorBidi"/>
            </w:rPr>
          </w:pPr>
          <w:hyperlink w:anchor="_Toc81540433" w:history="1">
            <w:r w:rsidRPr="00652E14">
              <w:rPr>
                <w:rStyle w:val="Hyperlink"/>
                <w:rtl/>
              </w:rPr>
              <w:t>ביאור בדברי אדה"ז סי' רמה ס"ח-ס"ט</w:t>
            </w:r>
            <w:r>
              <w:rPr>
                <w:webHidden/>
              </w:rPr>
              <w:tab/>
            </w:r>
            <w:r>
              <w:rPr>
                <w:webHidden/>
              </w:rPr>
              <w:fldChar w:fldCharType="begin"/>
            </w:r>
            <w:r>
              <w:rPr>
                <w:webHidden/>
              </w:rPr>
              <w:instrText xml:space="preserve"> PAGEREF _Toc81540433 \h </w:instrText>
            </w:r>
            <w:r>
              <w:rPr>
                <w:webHidden/>
              </w:rPr>
            </w:r>
            <w:r>
              <w:rPr>
                <w:webHidden/>
              </w:rPr>
              <w:fldChar w:fldCharType="separate"/>
            </w:r>
            <w:r w:rsidR="00660B71">
              <w:rPr>
                <w:webHidden/>
                <w:rtl/>
              </w:rPr>
              <w:t>81</w:t>
            </w:r>
            <w:r>
              <w:rPr>
                <w:webHidden/>
              </w:rPr>
              <w:fldChar w:fldCharType="end"/>
            </w:r>
          </w:hyperlink>
        </w:p>
        <w:p w14:paraId="7E045AEF" w14:textId="34F87DC5"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34" w:history="1">
            <w:r w:rsidRPr="00652E14">
              <w:rPr>
                <w:rStyle w:val="Hyperlink"/>
                <w:rtl/>
              </w:rPr>
              <w:t>הרב דוב יהודה שטיינמעץ</w:t>
            </w:r>
            <w:r>
              <w:rPr>
                <w:rStyle w:val="Hyperlink"/>
                <w:rFonts w:hint="cs"/>
                <w:rtl/>
              </w:rPr>
              <w:t>|</w:t>
            </w:r>
          </w:hyperlink>
        </w:p>
        <w:p w14:paraId="08217744" w14:textId="26584DAA" w:rsidR="00304B8E" w:rsidRDefault="00304B8E" w:rsidP="00304B8E">
          <w:pPr>
            <w:pStyle w:val="TOC1"/>
            <w:rPr>
              <w:rFonts w:asciiTheme="minorHAnsi" w:eastAsiaTheme="minorEastAsia" w:hAnsiTheme="minorHAnsi" w:cstheme="minorBidi"/>
              <w:sz w:val="22"/>
              <w:szCs w:val="22"/>
            </w:rPr>
          </w:pPr>
          <w:hyperlink w:anchor="_Toc81540435" w:history="1">
            <w:r w:rsidRPr="00652E14">
              <w:rPr>
                <w:rStyle w:val="Hyperlink"/>
                <w:rtl/>
              </w:rPr>
              <w:t>פשוטו של מקרא</w:t>
            </w:r>
          </w:hyperlink>
        </w:p>
        <w:p w14:paraId="06E929AC" w14:textId="7BD887A0" w:rsidR="00304B8E" w:rsidRDefault="00304B8E" w:rsidP="00304B8E">
          <w:pPr>
            <w:pStyle w:val="TOC2"/>
            <w:rPr>
              <w:rFonts w:asciiTheme="minorHAnsi" w:eastAsiaTheme="minorEastAsia" w:hAnsiTheme="minorHAnsi" w:cstheme="minorBidi"/>
            </w:rPr>
          </w:pPr>
          <w:hyperlink w:anchor="_Toc81540436" w:history="1">
            <w:r w:rsidRPr="00652E14">
              <w:rPr>
                <w:rStyle w:val="Hyperlink"/>
                <w:rtl/>
              </w:rPr>
              <w:t>לבלתי עברי . . ולבלתי בא</w:t>
            </w:r>
            <w:r>
              <w:rPr>
                <w:webHidden/>
              </w:rPr>
              <w:tab/>
            </w:r>
            <w:r>
              <w:rPr>
                <w:webHidden/>
              </w:rPr>
              <w:fldChar w:fldCharType="begin"/>
            </w:r>
            <w:r>
              <w:rPr>
                <w:webHidden/>
              </w:rPr>
              <w:instrText xml:space="preserve"> PAGEREF _Toc81540436 \h </w:instrText>
            </w:r>
            <w:r>
              <w:rPr>
                <w:webHidden/>
              </w:rPr>
            </w:r>
            <w:r>
              <w:rPr>
                <w:webHidden/>
              </w:rPr>
              <w:fldChar w:fldCharType="separate"/>
            </w:r>
            <w:r w:rsidR="00660B71">
              <w:rPr>
                <w:webHidden/>
                <w:rtl/>
              </w:rPr>
              <w:t>89</w:t>
            </w:r>
            <w:r>
              <w:rPr>
                <w:webHidden/>
              </w:rPr>
              <w:fldChar w:fldCharType="end"/>
            </w:r>
          </w:hyperlink>
        </w:p>
        <w:p w14:paraId="39F06747" w14:textId="24A849D4"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37" w:history="1">
            <w:r w:rsidRPr="00652E14">
              <w:rPr>
                <w:rStyle w:val="Hyperlink"/>
                <w:rtl/>
              </w:rPr>
              <w:t>הרב וו. ראזענבלום</w:t>
            </w:r>
          </w:hyperlink>
        </w:p>
        <w:p w14:paraId="56B6E6AF" w14:textId="67250009" w:rsidR="00304B8E" w:rsidRDefault="00304B8E" w:rsidP="00304B8E">
          <w:pPr>
            <w:pStyle w:val="TOC1"/>
            <w:rPr>
              <w:rFonts w:asciiTheme="minorHAnsi" w:eastAsiaTheme="minorEastAsia" w:hAnsiTheme="minorHAnsi" w:cstheme="minorBidi"/>
              <w:sz w:val="22"/>
              <w:szCs w:val="22"/>
            </w:rPr>
          </w:pPr>
          <w:hyperlink w:anchor="_Toc81540438" w:history="1">
            <w:r w:rsidRPr="00652E14">
              <w:rPr>
                <w:rStyle w:val="Hyperlink"/>
                <w:rtl/>
              </w:rPr>
              <w:t>שונות</w:t>
            </w:r>
          </w:hyperlink>
        </w:p>
        <w:p w14:paraId="41BCA3E3" w14:textId="44B06C17" w:rsidR="00304B8E" w:rsidRDefault="00304B8E" w:rsidP="00304B8E">
          <w:pPr>
            <w:pStyle w:val="TOC2"/>
            <w:rPr>
              <w:rFonts w:asciiTheme="minorHAnsi" w:eastAsiaTheme="minorEastAsia" w:hAnsiTheme="minorHAnsi" w:cstheme="minorBidi"/>
            </w:rPr>
          </w:pPr>
          <w:hyperlink w:anchor="_Toc81540439" w:history="1">
            <w:r w:rsidRPr="00652E14">
              <w:rPr>
                <w:rStyle w:val="Hyperlink"/>
                <w:rtl/>
              </w:rPr>
              <w:t>בתורת ה' חפצו ובתורתו יהגה יומם ולילה</w:t>
            </w:r>
            <w:r>
              <w:rPr>
                <w:webHidden/>
              </w:rPr>
              <w:tab/>
            </w:r>
            <w:r>
              <w:rPr>
                <w:webHidden/>
              </w:rPr>
              <w:fldChar w:fldCharType="begin"/>
            </w:r>
            <w:r>
              <w:rPr>
                <w:webHidden/>
              </w:rPr>
              <w:instrText xml:space="preserve"> PAGEREF _Toc81540439 \h </w:instrText>
            </w:r>
            <w:r>
              <w:rPr>
                <w:webHidden/>
              </w:rPr>
            </w:r>
            <w:r>
              <w:rPr>
                <w:webHidden/>
              </w:rPr>
              <w:fldChar w:fldCharType="separate"/>
            </w:r>
            <w:r w:rsidR="00660B71">
              <w:rPr>
                <w:webHidden/>
                <w:rtl/>
              </w:rPr>
              <w:t>90</w:t>
            </w:r>
            <w:r>
              <w:rPr>
                <w:webHidden/>
              </w:rPr>
              <w:fldChar w:fldCharType="end"/>
            </w:r>
          </w:hyperlink>
        </w:p>
        <w:p w14:paraId="7CE80CE9" w14:textId="117F580D"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40" w:history="1">
            <w:r w:rsidRPr="00652E14">
              <w:rPr>
                <w:rStyle w:val="Hyperlink"/>
                <w:rtl/>
              </w:rPr>
              <w:t>הרב ישכר דוד קלויזנר</w:t>
            </w:r>
          </w:hyperlink>
        </w:p>
        <w:p w14:paraId="6D44317D" w14:textId="1D1E5CA0" w:rsidR="00304B8E" w:rsidRDefault="00304B8E" w:rsidP="00304B8E">
          <w:pPr>
            <w:pStyle w:val="TOC2"/>
            <w:rPr>
              <w:rFonts w:asciiTheme="minorHAnsi" w:eastAsiaTheme="minorEastAsia" w:hAnsiTheme="minorHAnsi" w:cstheme="minorBidi"/>
            </w:rPr>
          </w:pPr>
          <w:hyperlink w:anchor="_Toc81540441" w:history="1">
            <w:r w:rsidRPr="00652E14">
              <w:rPr>
                <w:rStyle w:val="Hyperlink"/>
                <w:rtl/>
              </w:rPr>
              <w:t>להתפלל על דברים שהם נגד הטבע</w:t>
            </w:r>
            <w:r>
              <w:rPr>
                <w:webHidden/>
              </w:rPr>
              <w:tab/>
            </w:r>
            <w:r>
              <w:rPr>
                <w:webHidden/>
              </w:rPr>
              <w:fldChar w:fldCharType="begin"/>
            </w:r>
            <w:r>
              <w:rPr>
                <w:webHidden/>
              </w:rPr>
              <w:instrText xml:space="preserve"> PAGEREF _Toc81540441 \h </w:instrText>
            </w:r>
            <w:r>
              <w:rPr>
                <w:webHidden/>
              </w:rPr>
            </w:r>
            <w:r>
              <w:rPr>
                <w:webHidden/>
              </w:rPr>
              <w:fldChar w:fldCharType="separate"/>
            </w:r>
            <w:r w:rsidR="00660B71">
              <w:rPr>
                <w:webHidden/>
                <w:rtl/>
              </w:rPr>
              <w:t>95</w:t>
            </w:r>
            <w:r>
              <w:rPr>
                <w:webHidden/>
              </w:rPr>
              <w:fldChar w:fldCharType="end"/>
            </w:r>
          </w:hyperlink>
        </w:p>
        <w:p w14:paraId="6C2B8982" w14:textId="5D61AB16" w:rsidR="00304B8E" w:rsidRDefault="00304B8E" w:rsidP="00304B8E">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1540442" w:history="1">
            <w:r w:rsidRPr="00652E14">
              <w:rPr>
                <w:rStyle w:val="Hyperlink"/>
                <w:rtl/>
              </w:rPr>
              <w:t>הרה"ג גמליאל הכהן רבינוביץ שליט"א</w:t>
            </w:r>
          </w:hyperlink>
        </w:p>
        <w:p w14:paraId="2F6DED5D" w14:textId="5D473F3B" w:rsidR="006D006C" w:rsidRPr="006D006C" w:rsidRDefault="006D006C" w:rsidP="00304B8E">
          <w:pPr>
            <w:tabs>
              <w:tab w:val="right" w:leader="dot" w:pos="6182"/>
            </w:tabs>
            <w:bidi/>
            <w:spacing w:after="100"/>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p w14:paraId="4134C778" w14:textId="2BEABB52" w:rsidR="00532428" w:rsidRPr="00BE42E8" w:rsidRDefault="00532428" w:rsidP="00341C90">
      <w:pPr>
        <w:bidi/>
        <w:rPr>
          <w:rFonts w:ascii="FbSfaradi Medium" w:eastAsia="Times New Roman" w:hAnsi="FbSfaradi Medium" w:cs="FbSfaradi Medium"/>
          <w:sz w:val="70"/>
          <w:szCs w:val="70"/>
          <w:rtl/>
          <w:lang w:val="en-GB"/>
        </w:rPr>
        <w:sectPr w:rsidR="00532428" w:rsidRPr="00BE42E8" w:rsidSect="00541E5D">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bookmarkStart w:id="89" w:name="_Toc504475482"/>
      <w:bookmarkStart w:id="90" w:name="_Toc403698996"/>
      <w:bookmarkStart w:id="91" w:name="_Toc405513659"/>
      <w:bookmarkStart w:id="92" w:name="_Toc408433553"/>
    </w:p>
    <w:p w14:paraId="2E2D7D9E" w14:textId="04BEF3A2" w:rsidR="005330C9" w:rsidRPr="005330C9" w:rsidRDefault="005330C9" w:rsidP="005330C9">
      <w:pPr>
        <w:rPr>
          <w:rtl/>
          <w:lang w:val="en-GB"/>
        </w:rPr>
        <w:sectPr w:rsidR="005330C9" w:rsidRPr="005330C9" w:rsidSect="00541E5D">
          <w:footnotePr>
            <w:numRestart w:val="eachSect"/>
          </w:footnotePr>
          <w:type w:val="continuous"/>
          <w:pgSz w:w="7920" w:h="12240"/>
          <w:pgMar w:top="-810" w:right="864" w:bottom="720" w:left="864" w:header="270" w:footer="0" w:gutter="0"/>
          <w:cols w:space="720"/>
          <w:docGrid w:linePitch="360"/>
        </w:sectPr>
      </w:pPr>
    </w:p>
    <w:p w14:paraId="3FBA96AD" w14:textId="77777777" w:rsidR="007D73B5" w:rsidRDefault="007D73B5" w:rsidP="00122C83">
      <w:pPr>
        <w:pStyle w:val="12"/>
        <w:rPr>
          <w:rtl/>
        </w:rPr>
      </w:pPr>
      <w:r>
        <w:rPr>
          <w:rtl/>
        </w:rPr>
        <w:br w:type="page"/>
      </w:r>
    </w:p>
    <w:p w14:paraId="34B53B5E" w14:textId="7A69965E" w:rsidR="00122C83" w:rsidRDefault="00122C83" w:rsidP="00122C83">
      <w:pPr>
        <w:pStyle w:val="12"/>
        <w:rPr>
          <w:rtl/>
        </w:rPr>
      </w:pPr>
      <w:bookmarkStart w:id="93" w:name="_Toc81540384"/>
      <w:r>
        <w:rPr>
          <w:rFonts w:hint="cs"/>
          <w:rtl/>
        </w:rPr>
        <w:lastRenderedPageBreak/>
        <w:t>עניני משיח וגאולה</w:t>
      </w:r>
      <w:bookmarkEnd w:id="93"/>
    </w:p>
    <w:p w14:paraId="14A7E598" w14:textId="14DE7182" w:rsidR="00122C83" w:rsidRDefault="00122C83" w:rsidP="00122C83">
      <w:pPr>
        <w:pStyle w:val="a0"/>
        <w:rPr>
          <w:rtl/>
        </w:rPr>
      </w:pPr>
      <w:bookmarkStart w:id="94" w:name="_Toc81540385"/>
      <w:r>
        <w:rPr>
          <w:rFonts w:hint="cs"/>
          <w:rtl/>
        </w:rPr>
        <w:t>ביטויי הציפי' לגאולה</w:t>
      </w:r>
      <w:bookmarkEnd w:id="94"/>
    </w:p>
    <w:p w14:paraId="081FA5EE" w14:textId="0FA99AF8" w:rsidR="00122C83" w:rsidRDefault="007D73B5" w:rsidP="0046124A">
      <w:pPr>
        <w:pStyle w:val="a"/>
        <w:rPr>
          <w:rtl/>
        </w:rPr>
      </w:pPr>
      <w:bookmarkStart w:id="95" w:name="_Toc81540386"/>
      <w:r>
        <w:rPr>
          <w:rFonts w:hint="cs"/>
          <w:rtl/>
        </w:rPr>
        <w:t xml:space="preserve">הרב </w:t>
      </w:r>
      <w:r w:rsidR="00122C83">
        <w:rPr>
          <w:rFonts w:hint="cs"/>
          <w:rtl/>
        </w:rPr>
        <w:t>שלום צירקינד</w:t>
      </w:r>
      <w:bookmarkEnd w:id="95"/>
    </w:p>
    <w:p w14:paraId="412D474B" w14:textId="77777777" w:rsidR="00122C83" w:rsidRDefault="00122C83" w:rsidP="00122C83">
      <w:pPr>
        <w:pStyle w:val="a1"/>
        <w:bidi/>
        <w:jc w:val="right"/>
        <w:rPr>
          <w:rtl/>
        </w:rPr>
      </w:pPr>
      <w:r>
        <w:t>Moshiachlinks.com</w:t>
      </w:r>
    </w:p>
    <w:p w14:paraId="0114EC0E" w14:textId="77777777" w:rsidR="00122C83" w:rsidRDefault="00122C83" w:rsidP="00122C83">
      <w:pPr>
        <w:pStyle w:val="a3"/>
        <w:rPr>
          <w:rtl/>
        </w:rPr>
      </w:pPr>
      <w:r>
        <w:rPr>
          <w:rFonts w:hint="cs"/>
          <w:rtl/>
        </w:rPr>
        <w:t>א' החיובים המרכזיים בקשר עם ביאת המשיח, הוא החיוב לצפות לביאת המשיח (כלשון הגמרא</w:t>
      </w:r>
      <w:r>
        <w:rPr>
          <w:rStyle w:val="FootnoteReference"/>
          <w:rtl/>
        </w:rPr>
        <w:footnoteReference w:id="1"/>
      </w:r>
      <w:r>
        <w:rPr>
          <w:rFonts w:hint="cs"/>
          <w:rtl/>
        </w:rPr>
        <w:t xml:space="preserve"> "ציפית לישועה", ועד"ז בלשון הרמב"ם</w:t>
      </w:r>
      <w:r>
        <w:rPr>
          <w:rStyle w:val="FootnoteReference"/>
          <w:rtl/>
        </w:rPr>
        <w:footnoteReference w:id="2"/>
      </w:r>
      <w:r>
        <w:rPr>
          <w:rFonts w:hint="cs"/>
          <w:rtl/>
        </w:rPr>
        <w:t xml:space="preserve"> "מחכה לביאתו").</w:t>
      </w:r>
    </w:p>
    <w:p w14:paraId="1AB08677" w14:textId="77777777" w:rsidR="00122C83" w:rsidRDefault="00122C83" w:rsidP="00122C83">
      <w:pPr>
        <w:pStyle w:val="a3"/>
        <w:rPr>
          <w:rtl/>
        </w:rPr>
      </w:pPr>
      <w:r>
        <w:rPr>
          <w:rFonts w:hint="cs"/>
          <w:rtl/>
        </w:rPr>
        <w:t>והנה הביטוי של הציפי' לישועה, הוא לכל לראש בהרגש האדם, כמובן ופשוט. ובהבא לקמן, אשתדל ללקט (בקיצור, ואסמוך על המעיין) מה שמצאתי לע"ע</w:t>
      </w:r>
      <w:r>
        <w:rPr>
          <w:rStyle w:val="FootnoteReference"/>
          <w:rtl/>
        </w:rPr>
        <w:footnoteReference w:id="3"/>
      </w:r>
      <w:r>
        <w:rPr>
          <w:rFonts w:hint="cs"/>
          <w:rtl/>
        </w:rPr>
        <w:t xml:space="preserve"> אודות הביטויים שמצינו בזה בהלכה ובמעשה.</w:t>
      </w:r>
    </w:p>
    <w:p w14:paraId="0123519C" w14:textId="77777777" w:rsidR="00122C83" w:rsidRDefault="00122C83" w:rsidP="00122C83">
      <w:pPr>
        <w:pStyle w:val="a3"/>
        <w:rPr>
          <w:rtl/>
        </w:rPr>
      </w:pPr>
      <w:r w:rsidRPr="00814431">
        <w:rPr>
          <w:rFonts w:hint="cs"/>
          <w:bCs/>
          <w:rtl/>
        </w:rPr>
        <w:t>תפילה</w:t>
      </w:r>
      <w:r>
        <w:rPr>
          <w:rFonts w:hint="cs"/>
          <w:rtl/>
        </w:rPr>
        <w:t xml:space="preserve">: עיקר הביטוי של הציפי' הוא בהתפילה, שמתפלל ומבקש להקב"ה על ביאת המשיח. וכל התפילות והבקשות והתחינות מלאים בדבר זה. ויסוד הדבר הוא מפני שהאדם מרגיש שמשיח "חסר" לו וא"כ הוא מתפלל על זה, כחלק מבקשת צרכיו. ובזה גופא </w:t>
      </w:r>
      <w:r>
        <w:rPr>
          <w:rtl/>
        </w:rPr>
        <w:t>–</w:t>
      </w:r>
      <w:r>
        <w:rPr>
          <w:rFonts w:hint="cs"/>
          <w:rtl/>
        </w:rPr>
        <w:t xml:space="preserve"> הציפי' (וההרגש שמשיח "חסר" לו) צ"ל עד כדי כך, שגם הזכרה של משיח בדרך אגב, צריך לעורר האדם מיד הציפי' לביאתו, שמתבטא בזה שהוא מתפלל להקב"ה שישלח משיח במהרה</w:t>
      </w:r>
      <w:r>
        <w:rPr>
          <w:rStyle w:val="FootnoteReference"/>
          <w:rtl/>
        </w:rPr>
        <w:footnoteReference w:id="4"/>
      </w:r>
      <w:r>
        <w:rPr>
          <w:rFonts w:hint="cs"/>
          <w:rtl/>
        </w:rPr>
        <w:t>.</w:t>
      </w:r>
    </w:p>
    <w:p w14:paraId="42FE8C80" w14:textId="77777777" w:rsidR="00122C83" w:rsidRPr="007D73B5" w:rsidRDefault="00122C83" w:rsidP="00122C83">
      <w:pPr>
        <w:pStyle w:val="a3"/>
        <w:rPr>
          <w:rtl/>
        </w:rPr>
      </w:pPr>
      <w:r w:rsidRPr="00814431">
        <w:rPr>
          <w:rFonts w:hint="cs"/>
          <w:bCs/>
          <w:rtl/>
        </w:rPr>
        <w:t>קניית בתים</w:t>
      </w:r>
      <w:r>
        <w:rPr>
          <w:rFonts w:hint="cs"/>
          <w:rtl/>
        </w:rPr>
        <w:t xml:space="preserve">: </w:t>
      </w:r>
      <w:r w:rsidRPr="007D73B5">
        <w:rPr>
          <w:rtl/>
        </w:rPr>
        <w:t>א' מהביטויים הכי חזקים אודות הציפי' לגאולה, הוא הדיון שמצינו בכמה ספרים אודות בניית וקניית בתים בזמן הגלות בחו"ל (יותר על הנצרך), מפני שמראה שאינו מצפה שבמהרה יבוא משיח. ומיוסד הדבר על הגמרא (ע"ז ט, ב)  "אמר רבי חנינא אחר ארבע מאות לחורבן הבית אם יאמר לך אדם קח שדה שוה אלף דינרים בדינר אחד לא תקח", וכמו שלוקט ונתבאר בארוכה בגליון א'קנב</w:t>
      </w:r>
      <w:r w:rsidRPr="007D73B5">
        <w:rPr>
          <w:rStyle w:val="FootnoteReference"/>
          <w:rtl/>
        </w:rPr>
        <w:footnoteReference w:id="5"/>
      </w:r>
      <w:r w:rsidRPr="007D73B5">
        <w:rPr>
          <w:rtl/>
        </w:rPr>
        <w:t>. ע"ש.</w:t>
      </w:r>
    </w:p>
    <w:p w14:paraId="3A60DCE3" w14:textId="77777777" w:rsidR="00122C83" w:rsidRPr="00122C83" w:rsidRDefault="00122C83" w:rsidP="00122C83">
      <w:pPr>
        <w:pStyle w:val="a3"/>
        <w:rPr>
          <w:rtl/>
        </w:rPr>
      </w:pPr>
      <w:r w:rsidRPr="007D73B5">
        <w:rPr>
          <w:bCs/>
          <w:rtl/>
        </w:rPr>
        <w:t>מהרה יבנה המקדש</w:t>
      </w:r>
      <w:r w:rsidRPr="007D73B5">
        <w:rPr>
          <w:rtl/>
        </w:rPr>
        <w:t>: כמה דברים מצינו גזרה משום "מהרה יבנה המקדש" (שיהא יום הנף כולו אסור; ביצה</w:t>
      </w:r>
      <w:r>
        <w:rPr>
          <w:rFonts w:hint="cs"/>
          <w:rtl/>
        </w:rPr>
        <w:t xml:space="preserve"> שנולדה ביום א' דר"ה אסורה ביום ב'; שלא יטילו מום בבהמות; ו</w:t>
      </w:r>
      <w:r w:rsidRPr="00586BF0">
        <w:rPr>
          <w:rFonts w:hint="cs"/>
          <w:bCs/>
          <w:rtl/>
        </w:rPr>
        <w:t>עוד</w:t>
      </w:r>
      <w:r>
        <w:rPr>
          <w:rFonts w:hint="cs"/>
          <w:rtl/>
        </w:rPr>
        <w:t xml:space="preserve">). ראה הנסמן בס' ימות המשיח בהלכה ח"ב ס"א. אנציקלופדי' </w:t>
      </w:r>
      <w:r>
        <w:rPr>
          <w:rFonts w:hint="cs"/>
          <w:rtl/>
        </w:rPr>
        <w:lastRenderedPageBreak/>
        <w:t>תלמודית ערך בית המקדש בסופו, וערך ימות המשיח (כרך כד ע' תקפו). וראה שם ערך יו"ט שני של גליות, כרך כג ע' יא, שלכמה דיעות זהו הטעם למה אנו עושים עכשיו יו"ט שני של גליות. ע"ש הביאור בזה.</w:t>
      </w:r>
    </w:p>
    <w:p w14:paraId="3106B7A6" w14:textId="77777777" w:rsidR="00122C83" w:rsidRPr="00122C83" w:rsidRDefault="00122C83" w:rsidP="00122C83">
      <w:pPr>
        <w:pStyle w:val="a3"/>
        <w:rPr>
          <w:rtl/>
        </w:rPr>
      </w:pPr>
      <w:r w:rsidRPr="00122C83">
        <w:rPr>
          <w:rtl/>
        </w:rPr>
        <w:t>בענין זה, האריך בארוכה בקובץ מעלין בקודש גליון כז ע' 41 ואילך, והאריך שם בעוד דברים שדנו בהם בקשר לחשש שמהרה יבנה המקדש (כמו שתיית יין לכהנים בזמן הזה; האומר הריני נזיר ביום שבן דוד בא בו; ועוד). וע"ש בעוד דברים שמצינו שעשו מפני שהיו מצפים להגאולה הקרובה, כמו שהחברים שבגליל שהיו מכינים יין ושמן בטהרה מפני שהיו מצפים שיבנה ביהמ"ק וישתמשו בהם למנחות ונסכים</w:t>
      </w:r>
      <w:r w:rsidRPr="00122C83">
        <w:rPr>
          <w:rStyle w:val="FootnoteReference"/>
          <w:rtl/>
        </w:rPr>
        <w:footnoteReference w:id="6"/>
      </w:r>
      <w:r w:rsidRPr="00122C83">
        <w:rPr>
          <w:rtl/>
        </w:rPr>
        <w:t>. ור' ישמעאל שרשם על פנקסו שכשיבנה ביהמ"ק יביא חטאת שמינה</w:t>
      </w:r>
      <w:r w:rsidRPr="00122C83">
        <w:rPr>
          <w:rStyle w:val="FootnoteReference"/>
          <w:rtl/>
        </w:rPr>
        <w:footnoteReference w:id="7"/>
      </w:r>
      <w:r w:rsidRPr="00122C83">
        <w:rPr>
          <w:rtl/>
        </w:rPr>
        <w:t>. וע"ש בעוד דברים כיו"ב).</w:t>
      </w:r>
    </w:p>
    <w:p w14:paraId="69C02435" w14:textId="77777777" w:rsidR="00122C83" w:rsidRPr="00122C83" w:rsidRDefault="00122C83" w:rsidP="00122C83">
      <w:pPr>
        <w:pStyle w:val="a3"/>
        <w:rPr>
          <w:rtl/>
        </w:rPr>
      </w:pPr>
      <w:r w:rsidRPr="00122C83">
        <w:rPr>
          <w:rtl/>
        </w:rPr>
        <w:t>ובס' ערכי תנאים ואמוראים (לר' יהודה בן קלונימוס משפירא, רבו של הרוקח) ח"ב ע' תקלא ואילך, מסביר עפ"ז את סיפור הגמרא</w:t>
      </w:r>
      <w:r w:rsidRPr="00122C83">
        <w:rPr>
          <w:rStyle w:val="FootnoteReference"/>
          <w:rtl/>
        </w:rPr>
        <w:footnoteReference w:id="8"/>
      </w:r>
      <w:r w:rsidRPr="00122C83">
        <w:rPr>
          <w:rtl/>
        </w:rPr>
        <w:t xml:space="preserve"> שעשו סעד לעיבור השנה – לאחר חורבן הבית – מפני שהיו הכבשים והגוזלות עדיין צריכים זמן שיהיו מוכנים להקרבה, שזו מפני צפייתם לבנין הבית</w:t>
      </w:r>
      <w:r w:rsidRPr="00122C83">
        <w:rPr>
          <w:rStyle w:val="FootnoteReference"/>
          <w:rtl/>
        </w:rPr>
        <w:footnoteReference w:id="9"/>
      </w:r>
      <w:r w:rsidRPr="00122C83">
        <w:rPr>
          <w:rtl/>
        </w:rPr>
        <w:t>. וע"ש עוד שמסביר עפ"ז מה שציוה ר' ישמעאל את ר' מאיר שהי' כמה שנים אחר החורבן, שלא להטיל קנקנתום לתוך הדיו</w:t>
      </w:r>
      <w:r w:rsidRPr="00122C83">
        <w:rPr>
          <w:rStyle w:val="FootnoteReference"/>
          <w:rtl/>
        </w:rPr>
        <w:footnoteReference w:id="10"/>
      </w:r>
      <w:r w:rsidRPr="00122C83">
        <w:rPr>
          <w:rtl/>
        </w:rPr>
        <w:t>, בכדי שיהיו יכולים לכתוב פרשת סוטה שצריך להימחק, שזהו מפני צפייתם לבניית ביהמ"ק במהרה.</w:t>
      </w:r>
    </w:p>
    <w:p w14:paraId="0B39FB58" w14:textId="77777777" w:rsidR="00122C83" w:rsidRPr="00122C83" w:rsidRDefault="00122C83" w:rsidP="00122C83">
      <w:pPr>
        <w:pStyle w:val="a3"/>
        <w:rPr>
          <w:rtl/>
        </w:rPr>
      </w:pPr>
      <w:r w:rsidRPr="00122C83">
        <w:rPr>
          <w:rtl/>
        </w:rPr>
        <w:t>וזהו גם טעם תקנת נטילת ידים לסעודה, כמבואר בשו"ע אדמוה"ז ריש סי' קנח.</w:t>
      </w:r>
    </w:p>
    <w:p w14:paraId="4A6C1CA2" w14:textId="77777777" w:rsidR="00122C83" w:rsidRPr="00122C83" w:rsidRDefault="00122C83" w:rsidP="00122C83">
      <w:pPr>
        <w:pStyle w:val="a3"/>
        <w:rPr>
          <w:rtl/>
        </w:rPr>
      </w:pPr>
      <w:r w:rsidRPr="00122C83">
        <w:rPr>
          <w:bCs/>
          <w:rtl/>
        </w:rPr>
        <w:t>הזכרת אליהו הנביא</w:t>
      </w:r>
      <w:r w:rsidRPr="00122C83">
        <w:rPr>
          <w:rtl/>
        </w:rPr>
        <w:t>: כתב אדמוה"ז בסו"ס רצה "נהגו לומר ולהזכיר אליהו הנביא במוצאי שבתי אחר הבדלה להתפלל שיבא ויבשרנו הגאולה, שאין אליהו בא בערב שבת .. וגם בשבת אינו בא .., ועל כן אנו מתפללים כיון שעבר השבת ויכול לבא, שיבא ויבשרנו", ומזה נראה גם עומק הציפי' לישועה, שמיד שיש אפשרות שאליהו הנביא יבוא – מיד מתפללים לבואו.</w:t>
      </w:r>
    </w:p>
    <w:p w14:paraId="30935F80" w14:textId="77777777" w:rsidR="00122C83" w:rsidRPr="00122C83" w:rsidRDefault="00122C83" w:rsidP="00122C83">
      <w:pPr>
        <w:pStyle w:val="a3"/>
        <w:rPr>
          <w:rtl/>
        </w:rPr>
      </w:pPr>
      <w:r w:rsidRPr="00122C83">
        <w:rPr>
          <w:bCs/>
          <w:rtl/>
        </w:rPr>
        <w:t>הכנת הבית ביום תשעה באב</w:t>
      </w:r>
      <w:r w:rsidRPr="00122C83">
        <w:rPr>
          <w:rtl/>
        </w:rPr>
        <w:t>: ידוע המנהג שנהגו נשים ביום תשעה באב אחר חצות להכין הבית לקראת ביאת המשיח, והניחו להם החכמים כדי להשריש האמונה בביאת המשיח. (כמבואר בברכי יוסף סי' תקנט אות ז'. וע"ע בית יוסף סו"ס תקנ"ד).</w:t>
      </w:r>
    </w:p>
    <w:p w14:paraId="20C37384" w14:textId="77777777" w:rsidR="00122C83" w:rsidRPr="00122C83" w:rsidRDefault="00122C83" w:rsidP="00122C83">
      <w:pPr>
        <w:pStyle w:val="a3"/>
        <w:rPr>
          <w:rtl/>
        </w:rPr>
      </w:pPr>
      <w:r w:rsidRPr="00122C83">
        <w:rPr>
          <w:bCs/>
          <w:rtl/>
        </w:rPr>
        <w:t>השארת הדלתות פתוחות בליל פסח</w:t>
      </w:r>
      <w:r w:rsidRPr="00122C83">
        <w:rPr>
          <w:rtl/>
        </w:rPr>
        <w:t xml:space="preserve">: כתב האור זרוע ח"ב סי' רלד "כתב רב נסים </w:t>
      </w:r>
      <w:r w:rsidRPr="00122C83">
        <w:rPr>
          <w:rtl/>
        </w:rPr>
        <w:lastRenderedPageBreak/>
        <w:t>גאון זצ"ל בשם אלוף אביו שלא לנעול דלתות הבתים בלילי פסחים כי זאת היא האמנה בדברו של הקב"ה ובהבטחתו ובשכר האמנה אנו זוכין לגאולה, ואמרינן בירושלמי דכתובות פרק הנושא (הלכה ג), ר' ירמיה מפקיד אלבשוני חוורין חפותין אלבשוני דנרסיי והבון מסנאי ברגלי וחוטרא בידי ויהבוני על סיטרא אין אתו משיחא ואנא מעתד..". ע"ש עוד איך שבזכות האמונה בביאת המשיח נגאל. ותוכן הענין הובא בשו"ע אדמוה"ז סו"ס ת"פ.</w:t>
      </w:r>
    </w:p>
    <w:p w14:paraId="05334368" w14:textId="77777777" w:rsidR="00122C83" w:rsidRPr="00122C83" w:rsidRDefault="00122C83" w:rsidP="00122C83">
      <w:pPr>
        <w:pStyle w:val="a3"/>
        <w:rPr>
          <w:rtl/>
        </w:rPr>
      </w:pPr>
      <w:r w:rsidRPr="00122C83">
        <w:rPr>
          <w:rtl/>
        </w:rPr>
        <w:t>ויה"ר שנזכה לקבל פני משיח צדקינו תומ"י ממש ובחסד וברחמים.</w:t>
      </w:r>
    </w:p>
    <w:p w14:paraId="1AADA5F4" w14:textId="23E279CC" w:rsidR="00122C83" w:rsidRPr="00122C83" w:rsidRDefault="00122C83" w:rsidP="007D73B5">
      <w:pPr>
        <w:pStyle w:val="M"/>
        <w:rPr>
          <w:rtl/>
        </w:rPr>
      </w:pPr>
      <w:r w:rsidRPr="00122C83">
        <w:rPr>
          <w:rtl/>
        </w:rPr>
        <w:t xml:space="preserve">  </w:t>
      </w:r>
      <w:r w:rsidR="007D73B5">
        <w:rPr>
          <w:noProof/>
        </w:rPr>
        <w:drawing>
          <wp:inline distT="0" distB="0" distL="0" distR="0" wp14:anchorId="42675350" wp14:editId="10F3F37D">
            <wp:extent cx="875763" cy="234040"/>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9984087" w14:textId="77777777" w:rsidR="007D73B5" w:rsidRDefault="007D73B5" w:rsidP="00657259">
      <w:pPr>
        <w:pStyle w:val="12"/>
        <w:rPr>
          <w:rtl/>
        </w:rPr>
        <w:sectPr w:rsidR="007D73B5" w:rsidSect="00320B41">
          <w:footnotePr>
            <w:numRestart w:val="eachSect"/>
          </w:footnotePr>
          <w:type w:val="continuous"/>
          <w:pgSz w:w="7920" w:h="12240"/>
          <w:pgMar w:top="-810" w:right="864" w:bottom="720" w:left="864" w:header="270" w:footer="0" w:gutter="0"/>
          <w:cols w:space="720"/>
          <w:docGrid w:linePitch="360"/>
        </w:sectPr>
      </w:pPr>
    </w:p>
    <w:p w14:paraId="5DDE0006" w14:textId="5BB42910" w:rsidR="006D006C" w:rsidRDefault="006D006C" w:rsidP="00657259">
      <w:pPr>
        <w:pStyle w:val="12"/>
        <w:rPr>
          <w:rtl/>
        </w:rPr>
      </w:pPr>
      <w:bookmarkStart w:id="96" w:name="_Toc81540387"/>
      <w:r w:rsidRPr="006D006C">
        <w:rPr>
          <w:rFonts w:hint="cs"/>
          <w:rtl/>
        </w:rPr>
        <w:t>תורת רבינו</w:t>
      </w:r>
      <w:bookmarkEnd w:id="96"/>
    </w:p>
    <w:p w14:paraId="4DD07C89" w14:textId="77777777" w:rsidR="00631F2A" w:rsidRDefault="00631F2A" w:rsidP="00657259">
      <w:pPr>
        <w:pStyle w:val="a0"/>
        <w:rPr>
          <w:rtl/>
        </w:rPr>
        <w:sectPr w:rsidR="00631F2A" w:rsidSect="00320B41">
          <w:footnotePr>
            <w:numRestart w:val="eachSect"/>
          </w:footnotePr>
          <w:type w:val="continuous"/>
          <w:pgSz w:w="7920" w:h="12240"/>
          <w:pgMar w:top="-810" w:right="864" w:bottom="720" w:left="864" w:header="270" w:footer="0" w:gutter="0"/>
          <w:cols w:space="720"/>
          <w:docGrid w:linePitch="360"/>
        </w:sectPr>
      </w:pPr>
    </w:p>
    <w:p w14:paraId="7556EAD0" w14:textId="54153CF6" w:rsidR="00657259" w:rsidRDefault="00657259" w:rsidP="00657259">
      <w:pPr>
        <w:pStyle w:val="a0"/>
      </w:pPr>
      <w:bookmarkStart w:id="97" w:name="_Toc81540388"/>
      <w:r>
        <w:rPr>
          <w:rFonts w:hint="cs"/>
          <w:rtl/>
        </w:rPr>
        <w:t>בל תוסיף בברכת כהנים</w:t>
      </w:r>
      <w:bookmarkEnd w:id="97"/>
    </w:p>
    <w:p w14:paraId="227B1976" w14:textId="77777777" w:rsidR="00657259" w:rsidRDefault="00657259" w:rsidP="0046124A">
      <w:pPr>
        <w:pStyle w:val="a"/>
        <w:rPr>
          <w:rtl/>
        </w:rPr>
      </w:pPr>
      <w:bookmarkStart w:id="98" w:name="_Toc81540389"/>
      <w:r>
        <w:rPr>
          <w:rFonts w:hint="cs"/>
          <w:rtl/>
        </w:rPr>
        <w:t>הרב אברהם יצחק ברוך גערליצקי</w:t>
      </w:r>
      <w:bookmarkEnd w:id="98"/>
    </w:p>
    <w:p w14:paraId="16071766" w14:textId="2716890E" w:rsidR="00657259" w:rsidRDefault="00657259" w:rsidP="00657259">
      <w:pPr>
        <w:pStyle w:val="a1"/>
        <w:bidi/>
        <w:jc w:val="right"/>
        <w:rPr>
          <w:rtl/>
        </w:rPr>
      </w:pPr>
      <w:r>
        <w:rPr>
          <w:rFonts w:hint="cs"/>
          <w:rtl/>
        </w:rPr>
        <w:t>ר"מ בישיבה</w:t>
      </w:r>
    </w:p>
    <w:p w14:paraId="2919597B" w14:textId="77777777" w:rsidR="00657259" w:rsidRPr="00726E52" w:rsidRDefault="00657259" w:rsidP="00E60D97">
      <w:pPr>
        <w:pStyle w:val="11"/>
        <w:rPr>
          <w:rtl/>
        </w:rPr>
      </w:pPr>
      <w:r w:rsidRPr="00726E52">
        <w:rPr>
          <w:rFonts w:hint="cs"/>
          <w:rtl/>
        </w:rPr>
        <w:t>חידוש הרבי שזהו רק אם הוסיף בשם המיוחד</w:t>
      </w:r>
    </w:p>
    <w:p w14:paraId="4C8A8AB7" w14:textId="77777777" w:rsidR="00657259" w:rsidRDefault="00657259" w:rsidP="00E60D97">
      <w:pPr>
        <w:pStyle w:val="a3"/>
        <w:rPr>
          <w:rtl/>
        </w:rPr>
      </w:pPr>
      <w:r>
        <w:rPr>
          <w:rFonts w:hint="cs"/>
          <w:rtl/>
        </w:rPr>
        <w:t xml:space="preserve">ברשימות חוברת נח כתב וז"ל: (עם הפיענוחים) </w:t>
      </w:r>
      <w:r w:rsidRPr="00E52BA8">
        <w:rPr>
          <w:rtl/>
        </w:rPr>
        <w:t xml:space="preserve">הערת כת"ר בר"ה </w:t>
      </w:r>
      <w:r>
        <w:rPr>
          <w:rFonts w:hint="cs"/>
          <w:rtl/>
        </w:rPr>
        <w:t>(</w:t>
      </w:r>
      <w:r w:rsidRPr="00E52BA8">
        <w:rPr>
          <w:rtl/>
        </w:rPr>
        <w:t>כ</w:t>
      </w:r>
      <w:r>
        <w:rPr>
          <w:rFonts w:hint="cs"/>
          <w:rtl/>
        </w:rPr>
        <w:t>ח,</w:t>
      </w:r>
      <w:r w:rsidRPr="00E52BA8">
        <w:rPr>
          <w:rtl/>
        </w:rPr>
        <w:t xml:space="preserve"> ב</w:t>
      </w:r>
      <w:r>
        <w:rPr>
          <w:rFonts w:hint="cs"/>
          <w:rtl/>
        </w:rPr>
        <w:t>) "</w:t>
      </w:r>
      <w:r w:rsidRPr="00E52BA8">
        <w:rPr>
          <w:rtl/>
        </w:rPr>
        <w:t>מנין לכהן שעולה לדוכן שלא יאמר וכו' אוסיף ברכה אחת משלי כגון ד' אלקי אבותיכם יוסף וגו</w:t>
      </w:r>
      <w:r>
        <w:rPr>
          <w:rFonts w:hint="cs"/>
          <w:rtl/>
        </w:rPr>
        <w:t>'</w:t>
      </w:r>
      <w:r w:rsidRPr="00E52BA8">
        <w:rPr>
          <w:rtl/>
        </w:rPr>
        <w:t xml:space="preserve"> ת"ל לא תוסיפו על הדבר</w:t>
      </w:r>
      <w:r>
        <w:rPr>
          <w:rFonts w:hint="cs"/>
          <w:rtl/>
        </w:rPr>
        <w:t>"</w:t>
      </w:r>
      <w:r w:rsidRPr="00E52BA8">
        <w:rPr>
          <w:rtl/>
        </w:rPr>
        <w:t xml:space="preserve"> שדייק </w:t>
      </w:r>
      <w:r>
        <w:rPr>
          <w:rFonts w:hint="cs"/>
          <w:rtl/>
        </w:rPr>
        <w:t>ב</w:t>
      </w:r>
      <w:r w:rsidRPr="00E52BA8">
        <w:rPr>
          <w:rtl/>
        </w:rPr>
        <w:t>' דיוקים בזה</w:t>
      </w:r>
      <w:r>
        <w:rPr>
          <w:rFonts w:hint="cs"/>
          <w:rtl/>
        </w:rPr>
        <w:t>:</w:t>
      </w:r>
      <w:r>
        <w:rPr>
          <w:rtl/>
        </w:rPr>
        <w:t xml:space="preserve"> </w:t>
      </w:r>
      <w:r w:rsidRPr="00120760">
        <w:rPr>
          <w:bCs/>
          <w:rtl/>
        </w:rPr>
        <w:t>א</w:t>
      </w:r>
      <w:r>
        <w:rPr>
          <w:rFonts w:hint="cs"/>
          <w:bCs/>
          <w:rtl/>
        </w:rPr>
        <w:t>.</w:t>
      </w:r>
      <w:r>
        <w:rPr>
          <w:rtl/>
        </w:rPr>
        <w:t xml:space="preserve"> ל</w:t>
      </w:r>
      <w:r>
        <w:rPr>
          <w:rFonts w:hint="cs"/>
          <w:rtl/>
        </w:rPr>
        <w:t>מ</w:t>
      </w:r>
      <w:r w:rsidRPr="00E52BA8">
        <w:rPr>
          <w:rtl/>
        </w:rPr>
        <w:t xml:space="preserve">ה לי </w:t>
      </w:r>
      <w:r>
        <w:rPr>
          <w:rFonts w:hint="cs"/>
          <w:rtl/>
        </w:rPr>
        <w:t>"</w:t>
      </w:r>
      <w:r w:rsidRPr="00E52BA8">
        <w:rPr>
          <w:rtl/>
        </w:rPr>
        <w:t>כגון</w:t>
      </w:r>
      <w:r>
        <w:rPr>
          <w:rFonts w:hint="cs"/>
          <w:rtl/>
        </w:rPr>
        <w:t>"</w:t>
      </w:r>
      <w:r w:rsidRPr="00E52BA8">
        <w:rPr>
          <w:rtl/>
        </w:rPr>
        <w:t xml:space="preserve"> כלל</w:t>
      </w:r>
      <w:r>
        <w:rPr>
          <w:rFonts w:hint="cs"/>
          <w:rtl/>
        </w:rPr>
        <w:t xml:space="preserve">. </w:t>
      </w:r>
      <w:r w:rsidRPr="00120760">
        <w:rPr>
          <w:bCs/>
          <w:rtl/>
        </w:rPr>
        <w:t>ב</w:t>
      </w:r>
      <w:r>
        <w:rPr>
          <w:rFonts w:hint="cs"/>
          <w:rtl/>
        </w:rPr>
        <w:t>.</w:t>
      </w:r>
      <w:r w:rsidRPr="00E52BA8">
        <w:rPr>
          <w:rtl/>
        </w:rPr>
        <w:t xml:space="preserve"> מפני מה תפס פסוק זה דוקא</w:t>
      </w:r>
      <w:r>
        <w:rPr>
          <w:rFonts w:hint="cs"/>
          <w:rtl/>
        </w:rPr>
        <w:t>?</w:t>
      </w:r>
      <w:r w:rsidRPr="00E52BA8">
        <w:rPr>
          <w:rtl/>
        </w:rPr>
        <w:t xml:space="preserve"> </w:t>
      </w:r>
    </w:p>
    <w:p w14:paraId="79F86FCF" w14:textId="77777777" w:rsidR="00657259" w:rsidRDefault="00657259" w:rsidP="00E60D97">
      <w:pPr>
        <w:pStyle w:val="a3"/>
        <w:rPr>
          <w:rtl/>
        </w:rPr>
      </w:pPr>
      <w:r w:rsidRPr="00E52BA8">
        <w:rPr>
          <w:rtl/>
        </w:rPr>
        <w:t>ישובם לפענ"ד</w:t>
      </w:r>
      <w:r>
        <w:rPr>
          <w:rFonts w:hint="cs"/>
          <w:rtl/>
        </w:rPr>
        <w:t>:</w:t>
      </w:r>
      <w:r w:rsidRPr="00E52BA8">
        <w:rPr>
          <w:rtl/>
        </w:rPr>
        <w:t xml:space="preserve"> כדי שיע</w:t>
      </w:r>
      <w:r>
        <w:rPr>
          <w:rFonts w:hint="cs"/>
          <w:rtl/>
        </w:rPr>
        <w:t>ב</w:t>
      </w:r>
      <w:r w:rsidRPr="00E52BA8">
        <w:rPr>
          <w:rtl/>
        </w:rPr>
        <w:t>ור הכהן ב</w:t>
      </w:r>
      <w:r>
        <w:rPr>
          <w:rFonts w:hint="cs"/>
          <w:rtl/>
        </w:rPr>
        <w:t>"</w:t>
      </w:r>
      <w:r w:rsidRPr="00E52BA8">
        <w:rPr>
          <w:rtl/>
        </w:rPr>
        <w:t>לא תוסיפו</w:t>
      </w:r>
      <w:r>
        <w:rPr>
          <w:rFonts w:hint="cs"/>
          <w:rtl/>
        </w:rPr>
        <w:t>"</w:t>
      </w:r>
      <w:r w:rsidRPr="00E52BA8">
        <w:rPr>
          <w:rtl/>
        </w:rPr>
        <w:t xml:space="preserve"> </w:t>
      </w:r>
      <w:r>
        <w:rPr>
          <w:rFonts w:hint="cs"/>
          <w:rtl/>
        </w:rPr>
        <w:t xml:space="preserve">- </w:t>
      </w:r>
      <w:r w:rsidRPr="00E52BA8">
        <w:rPr>
          <w:rtl/>
        </w:rPr>
        <w:t>צריך שיוסיף פסוקים אחרים</w:t>
      </w:r>
      <w:r>
        <w:rPr>
          <w:rFonts w:hint="cs"/>
          <w:rtl/>
        </w:rPr>
        <w:t>,</w:t>
      </w:r>
      <w:r w:rsidRPr="00E52BA8">
        <w:rPr>
          <w:rtl/>
        </w:rPr>
        <w:t xml:space="preserve"> ולא הכפלת ברכת כהנים גופא</w:t>
      </w:r>
      <w:r>
        <w:rPr>
          <w:rFonts w:hint="cs"/>
          <w:rtl/>
        </w:rPr>
        <w:t>,</w:t>
      </w:r>
      <w:r w:rsidRPr="00E52BA8">
        <w:rPr>
          <w:rtl/>
        </w:rPr>
        <w:t xml:space="preserve"> </w:t>
      </w:r>
      <w:r>
        <w:rPr>
          <w:rFonts w:hint="cs"/>
          <w:rtl/>
        </w:rPr>
        <w:t>"</w:t>
      </w:r>
      <w:r w:rsidRPr="00E52BA8">
        <w:rPr>
          <w:rtl/>
        </w:rPr>
        <w:t>דלא שייך בל תוסיף בעשיית המצוה שתי פעמים</w:t>
      </w:r>
      <w:r>
        <w:rPr>
          <w:rFonts w:hint="cs"/>
          <w:rtl/>
        </w:rPr>
        <w:t xml:space="preserve">.. </w:t>
      </w:r>
      <w:r w:rsidRPr="00E52BA8">
        <w:rPr>
          <w:rtl/>
        </w:rPr>
        <w:t>אפי' מברכין כמה פעמים לצבור אחד אין זה בל תוסיף</w:t>
      </w:r>
      <w:r>
        <w:rPr>
          <w:rFonts w:hint="cs"/>
          <w:rtl/>
        </w:rPr>
        <w:t>,</w:t>
      </w:r>
      <w:r w:rsidRPr="00E52BA8">
        <w:rPr>
          <w:rtl/>
        </w:rPr>
        <w:t xml:space="preserve"> אלא אם כן מוסיף ברכה אחת כגון יוסף עליכם ככם</w:t>
      </w:r>
      <w:r>
        <w:rPr>
          <w:rFonts w:hint="cs"/>
          <w:rtl/>
        </w:rPr>
        <w:t>"</w:t>
      </w:r>
      <w:r w:rsidRPr="00E52BA8">
        <w:rPr>
          <w:rtl/>
        </w:rPr>
        <w:t xml:space="preserve"> </w:t>
      </w:r>
      <w:r>
        <w:rPr>
          <w:rFonts w:hint="cs"/>
          <w:rtl/>
        </w:rPr>
        <w:t>(</w:t>
      </w:r>
      <w:r w:rsidRPr="00E52BA8">
        <w:rPr>
          <w:rtl/>
        </w:rPr>
        <w:t>תוד"ה ומנא במקומו</w:t>
      </w:r>
      <w:r>
        <w:rPr>
          <w:rFonts w:hint="cs"/>
          <w:rtl/>
        </w:rPr>
        <w:t xml:space="preserve">). </w:t>
      </w:r>
      <w:r w:rsidRPr="00E52BA8">
        <w:rPr>
          <w:rtl/>
        </w:rPr>
        <w:t>כ</w:t>
      </w:r>
      <w:r>
        <w:rPr>
          <w:rFonts w:hint="cs"/>
          <w:rtl/>
        </w:rPr>
        <w:t>ן</w:t>
      </w:r>
      <w:r w:rsidRPr="00E52BA8">
        <w:rPr>
          <w:rtl/>
        </w:rPr>
        <w:t xml:space="preserve"> אפ"ל דכדי שיעבור ב</w:t>
      </w:r>
      <w:r>
        <w:rPr>
          <w:rFonts w:hint="cs"/>
          <w:rtl/>
        </w:rPr>
        <w:t>"</w:t>
      </w:r>
      <w:r w:rsidRPr="00E52BA8">
        <w:rPr>
          <w:rtl/>
        </w:rPr>
        <w:t>לא תוסיפו</w:t>
      </w:r>
      <w:r>
        <w:rPr>
          <w:rFonts w:hint="cs"/>
          <w:rtl/>
        </w:rPr>
        <w:t>"</w:t>
      </w:r>
      <w:r w:rsidRPr="00E52BA8">
        <w:rPr>
          <w:rtl/>
        </w:rPr>
        <w:t xml:space="preserve"> צריך שתהי</w:t>
      </w:r>
      <w:r>
        <w:rPr>
          <w:rFonts w:hint="cs"/>
          <w:rtl/>
        </w:rPr>
        <w:t>'</w:t>
      </w:r>
      <w:r w:rsidRPr="00E52BA8">
        <w:rPr>
          <w:rtl/>
        </w:rPr>
        <w:t xml:space="preserve"> הברכה הנוספת </w:t>
      </w:r>
      <w:r w:rsidRPr="004258AD">
        <w:rPr>
          <w:bCs/>
          <w:rtl/>
        </w:rPr>
        <w:t>בשם המיוחד</w:t>
      </w:r>
      <w:r w:rsidRPr="00E52BA8">
        <w:rPr>
          <w:rtl/>
        </w:rPr>
        <w:t xml:space="preserve"> כיון שזהו </w:t>
      </w:r>
      <w:r>
        <w:rPr>
          <w:rFonts w:hint="cs"/>
          <w:rtl/>
        </w:rPr>
        <w:t>(</w:t>
      </w:r>
      <w:r w:rsidRPr="00E52BA8">
        <w:rPr>
          <w:rtl/>
        </w:rPr>
        <w:t>שם המיוחד</w:t>
      </w:r>
      <w:r>
        <w:rPr>
          <w:rFonts w:hint="cs"/>
          <w:rtl/>
        </w:rPr>
        <w:t>)</w:t>
      </w:r>
      <w:r w:rsidRPr="00E52BA8">
        <w:rPr>
          <w:rtl/>
        </w:rPr>
        <w:t xml:space="preserve"> בדוקא בברכת כהנים </w:t>
      </w:r>
      <w:r>
        <w:rPr>
          <w:rFonts w:hint="cs"/>
          <w:rtl/>
        </w:rPr>
        <w:t>(</w:t>
      </w:r>
      <w:r w:rsidRPr="00E52BA8">
        <w:rPr>
          <w:rtl/>
        </w:rPr>
        <w:t>סוטה לח</w:t>
      </w:r>
      <w:r>
        <w:rPr>
          <w:rFonts w:hint="cs"/>
          <w:rtl/>
        </w:rPr>
        <w:t>,</w:t>
      </w:r>
      <w:r w:rsidRPr="00E52BA8">
        <w:rPr>
          <w:rtl/>
        </w:rPr>
        <w:t xml:space="preserve"> א וש</w:t>
      </w:r>
      <w:r>
        <w:rPr>
          <w:rFonts w:hint="cs"/>
          <w:rtl/>
        </w:rPr>
        <w:t>ם),</w:t>
      </w:r>
      <w:r w:rsidRPr="00E52BA8">
        <w:rPr>
          <w:rtl/>
        </w:rPr>
        <w:t xml:space="preserve"> ולכן אינו עובר על </w:t>
      </w:r>
      <w:r>
        <w:rPr>
          <w:rFonts w:hint="cs"/>
          <w:rtl/>
        </w:rPr>
        <w:t>"</w:t>
      </w:r>
      <w:r w:rsidRPr="00E52BA8">
        <w:rPr>
          <w:rtl/>
        </w:rPr>
        <w:t>לא תוסיפו</w:t>
      </w:r>
      <w:r>
        <w:rPr>
          <w:rFonts w:hint="cs"/>
          <w:rtl/>
        </w:rPr>
        <w:t>"</w:t>
      </w:r>
      <w:r w:rsidRPr="00E52BA8">
        <w:rPr>
          <w:rtl/>
        </w:rPr>
        <w:t xml:space="preserve"> אא"כ מוסיף ברכה בשם המיוחד</w:t>
      </w:r>
      <w:r>
        <w:rPr>
          <w:rFonts w:hint="cs"/>
          <w:rtl/>
        </w:rPr>
        <w:t>,</w:t>
      </w:r>
      <w:r w:rsidRPr="00E52BA8">
        <w:rPr>
          <w:rtl/>
        </w:rPr>
        <w:t xml:space="preserve"> כברכת כהנים</w:t>
      </w:r>
      <w:r>
        <w:rPr>
          <w:rFonts w:hint="cs"/>
          <w:rtl/>
        </w:rPr>
        <w:t>.</w:t>
      </w:r>
      <w:r w:rsidRPr="00E52BA8">
        <w:rPr>
          <w:rtl/>
        </w:rPr>
        <w:t xml:space="preserve"> וע"ד סברת תוד"ה הואיל בסוכה לא</w:t>
      </w:r>
      <w:r>
        <w:rPr>
          <w:rFonts w:hint="cs"/>
          <w:rtl/>
        </w:rPr>
        <w:t>,</w:t>
      </w:r>
      <w:r w:rsidRPr="00E52BA8">
        <w:rPr>
          <w:rtl/>
        </w:rPr>
        <w:t xml:space="preserve"> ב</w:t>
      </w:r>
      <w:r>
        <w:rPr>
          <w:rFonts w:hint="cs"/>
          <w:rtl/>
        </w:rPr>
        <w:t>,</w:t>
      </w:r>
      <w:r w:rsidRPr="00E52BA8">
        <w:rPr>
          <w:rtl/>
        </w:rPr>
        <w:t xml:space="preserve"> לענין </w:t>
      </w:r>
      <w:r>
        <w:rPr>
          <w:rFonts w:hint="cs"/>
          <w:rtl/>
        </w:rPr>
        <w:t>"</w:t>
      </w:r>
      <w:r w:rsidRPr="00E52BA8">
        <w:rPr>
          <w:rtl/>
        </w:rPr>
        <w:t>בל תוסיף</w:t>
      </w:r>
      <w:r>
        <w:rPr>
          <w:rFonts w:hint="cs"/>
          <w:rtl/>
        </w:rPr>
        <w:t>"</w:t>
      </w:r>
      <w:r w:rsidRPr="00E52BA8">
        <w:rPr>
          <w:rtl/>
        </w:rPr>
        <w:t xml:space="preserve"> דד' מינים</w:t>
      </w:r>
      <w:r>
        <w:rPr>
          <w:rFonts w:hint="cs"/>
          <w:rtl/>
        </w:rPr>
        <w:t>,</w:t>
      </w:r>
      <w:r w:rsidRPr="00E52BA8">
        <w:rPr>
          <w:rtl/>
        </w:rPr>
        <w:t xml:space="preserve"> דעובר על זה אם לקחן דרך גדילתן דוקא כמצותן</w:t>
      </w:r>
      <w:r>
        <w:rPr>
          <w:rFonts w:hint="cs"/>
          <w:rtl/>
        </w:rPr>
        <w:t>.</w:t>
      </w:r>
      <w:r w:rsidRPr="00E52BA8">
        <w:rPr>
          <w:rtl/>
        </w:rPr>
        <w:t xml:space="preserve"> ועפ"ז מיושב למה נקט </w:t>
      </w:r>
      <w:r>
        <w:rPr>
          <w:rFonts w:hint="cs"/>
          <w:rtl/>
        </w:rPr>
        <w:t>"</w:t>
      </w:r>
      <w:r w:rsidRPr="00E52BA8">
        <w:rPr>
          <w:rtl/>
        </w:rPr>
        <w:t>כגון ה' אלקי אבותיכם יוסף עליכם</w:t>
      </w:r>
      <w:r>
        <w:rPr>
          <w:rFonts w:hint="cs"/>
          <w:rtl/>
        </w:rPr>
        <w:t>" -</w:t>
      </w:r>
      <w:r w:rsidRPr="00E52BA8">
        <w:rPr>
          <w:rtl/>
        </w:rPr>
        <w:t xml:space="preserve"> כי אם הי' אומר שלא יוסיף ברכה סתם ללא </w:t>
      </w:r>
      <w:r>
        <w:rPr>
          <w:rFonts w:hint="cs"/>
          <w:rtl/>
        </w:rPr>
        <w:t>"</w:t>
      </w:r>
      <w:r w:rsidRPr="00E52BA8">
        <w:rPr>
          <w:rtl/>
        </w:rPr>
        <w:t>כגון כו</w:t>
      </w:r>
      <w:r>
        <w:rPr>
          <w:rFonts w:hint="cs"/>
          <w:rtl/>
        </w:rPr>
        <w:t>'</w:t>
      </w:r>
      <w:r w:rsidRPr="00E52BA8">
        <w:rPr>
          <w:rtl/>
        </w:rPr>
        <w:t xml:space="preserve">" </w:t>
      </w:r>
      <w:r>
        <w:rPr>
          <w:rFonts w:hint="cs"/>
          <w:rtl/>
        </w:rPr>
        <w:t>(</w:t>
      </w:r>
      <w:r w:rsidRPr="00E52BA8">
        <w:rPr>
          <w:rtl/>
        </w:rPr>
        <w:t xml:space="preserve">היינו ללא דוגמא מהוספת פסוק </w:t>
      </w:r>
      <w:r w:rsidRPr="00753EFE">
        <w:rPr>
          <w:bCs/>
          <w:rtl/>
        </w:rPr>
        <w:t>אחר</w:t>
      </w:r>
      <w:r w:rsidRPr="00E52BA8">
        <w:rPr>
          <w:rtl/>
        </w:rPr>
        <w:t xml:space="preserve"> ופסוק שנזכר בו </w:t>
      </w:r>
      <w:r w:rsidRPr="00753EFE">
        <w:rPr>
          <w:bCs/>
          <w:rtl/>
        </w:rPr>
        <w:t>שם המיוחד</w:t>
      </w:r>
      <w:r>
        <w:rPr>
          <w:rtl/>
        </w:rPr>
        <w:t xml:space="preserve"> דוק</w:t>
      </w:r>
      <w:r>
        <w:rPr>
          <w:rFonts w:hint="cs"/>
          <w:rtl/>
        </w:rPr>
        <w:t>א)</w:t>
      </w:r>
      <w:r>
        <w:rPr>
          <w:rtl/>
        </w:rPr>
        <w:t xml:space="preserve"> הייתי טועה בזה שבכל ה</w:t>
      </w:r>
      <w:r>
        <w:rPr>
          <w:rFonts w:hint="cs"/>
          <w:rtl/>
        </w:rPr>
        <w:t>ו</w:t>
      </w:r>
      <w:r w:rsidRPr="00E52BA8">
        <w:rPr>
          <w:rtl/>
        </w:rPr>
        <w:t>ספה איזה שהיא עובר בבל תוסיף</w:t>
      </w:r>
      <w:r>
        <w:rPr>
          <w:rFonts w:hint="cs"/>
          <w:rtl/>
        </w:rPr>
        <w:t xml:space="preserve">. </w:t>
      </w:r>
    </w:p>
    <w:p w14:paraId="3747CC5A" w14:textId="1F3BC0CF" w:rsidR="00BE42E8" w:rsidRDefault="00657259" w:rsidP="007D73B5">
      <w:pPr>
        <w:pStyle w:val="a3"/>
        <w:rPr>
          <w:rtl/>
        </w:rPr>
      </w:pPr>
      <w:r w:rsidRPr="00E52BA8">
        <w:rPr>
          <w:rtl/>
        </w:rPr>
        <w:t xml:space="preserve">ולכן גם בי"ד הל' תפלה </w:t>
      </w:r>
      <w:r>
        <w:rPr>
          <w:rFonts w:hint="cs"/>
          <w:rtl/>
        </w:rPr>
        <w:t>(</w:t>
      </w:r>
      <w:r w:rsidRPr="00E52BA8">
        <w:rPr>
          <w:rtl/>
        </w:rPr>
        <w:t>בהל' נשיאת כפים פי"ד הי"ב</w:t>
      </w:r>
      <w:r>
        <w:rPr>
          <w:rFonts w:hint="cs"/>
          <w:rtl/>
        </w:rPr>
        <w:t>)</w:t>
      </w:r>
      <w:r w:rsidRPr="00E52BA8">
        <w:rPr>
          <w:rtl/>
        </w:rPr>
        <w:t xml:space="preserve"> הובא גם ה</w:t>
      </w:r>
      <w:r>
        <w:rPr>
          <w:rFonts w:hint="cs"/>
          <w:rtl/>
        </w:rPr>
        <w:t>"</w:t>
      </w:r>
      <w:r w:rsidRPr="00E52BA8">
        <w:rPr>
          <w:rtl/>
        </w:rPr>
        <w:t>כגון</w:t>
      </w:r>
      <w:r>
        <w:rPr>
          <w:rFonts w:hint="cs"/>
          <w:rtl/>
        </w:rPr>
        <w:t xml:space="preserve">" - </w:t>
      </w:r>
      <w:r w:rsidRPr="00E52BA8">
        <w:rPr>
          <w:rtl/>
        </w:rPr>
        <w:t xml:space="preserve">דגם </w:t>
      </w:r>
      <w:r w:rsidRPr="00E52BA8">
        <w:rPr>
          <w:rtl/>
        </w:rPr>
        <w:lastRenderedPageBreak/>
        <w:t>זה נוגע לדינא</w:t>
      </w:r>
      <w:r>
        <w:rPr>
          <w:rFonts w:hint="cs"/>
          <w:rtl/>
        </w:rPr>
        <w:t>,</w:t>
      </w:r>
      <w:r w:rsidRPr="00E52BA8">
        <w:rPr>
          <w:rtl/>
        </w:rPr>
        <w:t xml:space="preserve"> שאינו עובר בבל תוסיף אלא בהוספה כזו דוקא</w:t>
      </w:r>
      <w:r>
        <w:rPr>
          <w:rFonts w:hint="cs"/>
          <w:rtl/>
        </w:rPr>
        <w:t>..</w:t>
      </w:r>
      <w:r w:rsidRPr="00E52BA8">
        <w:rPr>
          <w:rtl/>
        </w:rPr>
        <w:t xml:space="preserve"> ולכן ת</w:t>
      </w:r>
      <w:r>
        <w:rPr>
          <w:rtl/>
        </w:rPr>
        <w:t>פס דוקא הפסוק ה' אלקי אבותיכם י</w:t>
      </w:r>
      <w:r>
        <w:rPr>
          <w:rFonts w:hint="cs"/>
          <w:rtl/>
        </w:rPr>
        <w:t>ו</w:t>
      </w:r>
      <w:r w:rsidRPr="00E52BA8">
        <w:rPr>
          <w:rtl/>
        </w:rPr>
        <w:t>סף וג</w:t>
      </w:r>
      <w:r>
        <w:rPr>
          <w:rFonts w:hint="cs"/>
          <w:rtl/>
        </w:rPr>
        <w:t>ו'</w:t>
      </w:r>
      <w:r>
        <w:rPr>
          <w:rtl/>
        </w:rPr>
        <w:t xml:space="preserve"> כ</w:t>
      </w:r>
      <w:r>
        <w:rPr>
          <w:rFonts w:hint="cs"/>
          <w:rtl/>
        </w:rPr>
        <w:t>י</w:t>
      </w:r>
      <w:r w:rsidRPr="00E52BA8">
        <w:rPr>
          <w:rtl/>
        </w:rPr>
        <w:t xml:space="preserve"> פסוקי ברכה בתורה מוקדמן לפסוק זה</w:t>
      </w:r>
      <w:r>
        <w:rPr>
          <w:rFonts w:hint="cs"/>
          <w:rtl/>
        </w:rPr>
        <w:t>,</w:t>
      </w:r>
      <w:r w:rsidRPr="00E52BA8">
        <w:rPr>
          <w:rtl/>
        </w:rPr>
        <w:t xml:space="preserve"> מצאתי רק כאלה </w:t>
      </w:r>
      <w:r>
        <w:rPr>
          <w:rFonts w:hint="cs"/>
          <w:rtl/>
        </w:rPr>
        <w:t xml:space="preserve">שלא נזכר בהם שם המיוחד </w:t>
      </w:r>
      <w:r w:rsidRPr="00E52BA8">
        <w:rPr>
          <w:rtl/>
        </w:rPr>
        <w:t xml:space="preserve">ולדוגמא </w:t>
      </w:r>
      <w:r>
        <w:rPr>
          <w:rFonts w:hint="cs"/>
          <w:rtl/>
        </w:rPr>
        <w:t>ויתן לך וגו' מא-ל אביך ויעזרך וגו' וברכות בלעם עכ"ל.</w:t>
      </w:r>
    </w:p>
    <w:p w14:paraId="4A5FB46F" w14:textId="5499E28F" w:rsidR="00BE42E8" w:rsidRPr="00726E52" w:rsidRDefault="00657259" w:rsidP="00E60D97">
      <w:pPr>
        <w:pStyle w:val="11"/>
        <w:rPr>
          <w:rtl/>
        </w:rPr>
      </w:pPr>
      <w:r w:rsidRPr="00726E52">
        <w:rPr>
          <w:rFonts w:hint="cs"/>
          <w:rtl/>
        </w:rPr>
        <w:t>בל</w:t>
      </w:r>
      <w:r w:rsidRPr="00726E52">
        <w:rPr>
          <w:rtl/>
        </w:rPr>
        <w:t xml:space="preserve"> </w:t>
      </w:r>
      <w:r w:rsidRPr="00726E52">
        <w:rPr>
          <w:rFonts w:hint="cs"/>
          <w:rtl/>
        </w:rPr>
        <w:t>תוסיף</w:t>
      </w:r>
      <w:r w:rsidRPr="00726E52">
        <w:rPr>
          <w:rtl/>
        </w:rPr>
        <w:t xml:space="preserve"> </w:t>
      </w:r>
      <w:r w:rsidRPr="00726E52">
        <w:rPr>
          <w:rFonts w:hint="cs"/>
          <w:rtl/>
        </w:rPr>
        <w:t>בברכת</w:t>
      </w:r>
      <w:r w:rsidRPr="00726E52">
        <w:rPr>
          <w:rtl/>
        </w:rPr>
        <w:t xml:space="preserve"> </w:t>
      </w:r>
      <w:r w:rsidRPr="00726E52">
        <w:rPr>
          <w:rFonts w:hint="cs"/>
          <w:rtl/>
        </w:rPr>
        <w:t>כהנים</w:t>
      </w:r>
      <w:r w:rsidRPr="00726E52">
        <w:rPr>
          <w:rtl/>
        </w:rPr>
        <w:t xml:space="preserve"> </w:t>
      </w:r>
      <w:r w:rsidRPr="00726E52">
        <w:rPr>
          <w:rFonts w:hint="cs"/>
          <w:rtl/>
        </w:rPr>
        <w:t>רק</w:t>
      </w:r>
      <w:r w:rsidRPr="00726E52">
        <w:rPr>
          <w:rtl/>
        </w:rPr>
        <w:t xml:space="preserve"> </w:t>
      </w:r>
      <w:r w:rsidRPr="00726E52">
        <w:rPr>
          <w:rFonts w:hint="cs"/>
          <w:rtl/>
        </w:rPr>
        <w:t>כשאפשר</w:t>
      </w:r>
      <w:r w:rsidRPr="00726E52">
        <w:rPr>
          <w:rtl/>
        </w:rPr>
        <w:t xml:space="preserve"> </w:t>
      </w:r>
      <w:r w:rsidRPr="00726E52">
        <w:rPr>
          <w:rFonts w:hint="cs"/>
          <w:rtl/>
        </w:rPr>
        <w:t>לקיים</w:t>
      </w:r>
      <w:r w:rsidRPr="00726E52">
        <w:rPr>
          <w:rtl/>
        </w:rPr>
        <w:t xml:space="preserve"> </w:t>
      </w:r>
      <w:r w:rsidRPr="00726E52">
        <w:rPr>
          <w:rFonts w:hint="cs"/>
          <w:rtl/>
        </w:rPr>
        <w:t>בזה</w:t>
      </w:r>
      <w:r w:rsidRPr="00726E52">
        <w:rPr>
          <w:rtl/>
        </w:rPr>
        <w:t xml:space="preserve"> </w:t>
      </w:r>
      <w:r w:rsidRPr="00726E52">
        <w:rPr>
          <w:rFonts w:hint="cs"/>
          <w:rtl/>
        </w:rPr>
        <w:t>ההמצוה</w:t>
      </w:r>
    </w:p>
    <w:p w14:paraId="66F26938" w14:textId="77777777" w:rsidR="00657259" w:rsidRDefault="00657259" w:rsidP="00E60D97">
      <w:pPr>
        <w:pStyle w:val="a3"/>
        <w:rPr>
          <w:rtl/>
        </w:rPr>
      </w:pPr>
      <w:r>
        <w:rPr>
          <w:rFonts w:hint="eastAsia"/>
          <w:rtl/>
        </w:rPr>
        <w:t>ויש</w:t>
      </w:r>
      <w:r>
        <w:rPr>
          <w:rtl/>
        </w:rPr>
        <w:t xml:space="preserve"> </w:t>
      </w:r>
      <w:r>
        <w:rPr>
          <w:rFonts w:hint="eastAsia"/>
          <w:rtl/>
        </w:rPr>
        <w:t>להעיר</w:t>
      </w:r>
      <w:r>
        <w:rPr>
          <w:rtl/>
        </w:rPr>
        <w:t xml:space="preserve"> </w:t>
      </w:r>
      <w:r>
        <w:rPr>
          <w:rFonts w:hint="eastAsia"/>
          <w:rtl/>
        </w:rPr>
        <w:t>גם</w:t>
      </w:r>
      <w:r>
        <w:rPr>
          <w:rtl/>
        </w:rPr>
        <w:t xml:space="preserve"> </w:t>
      </w:r>
      <w:r>
        <w:rPr>
          <w:rFonts w:hint="eastAsia"/>
          <w:rtl/>
        </w:rPr>
        <w:t>במ</w:t>
      </w:r>
      <w:r>
        <w:rPr>
          <w:rtl/>
        </w:rPr>
        <w:t>"</w:t>
      </w:r>
      <w:r>
        <w:rPr>
          <w:rFonts w:hint="eastAsia"/>
          <w:rtl/>
        </w:rPr>
        <w:t>ש</w:t>
      </w:r>
      <w:r>
        <w:rPr>
          <w:rtl/>
        </w:rPr>
        <w:t xml:space="preserve"> </w:t>
      </w:r>
      <w:r>
        <w:rPr>
          <w:rFonts w:hint="eastAsia"/>
          <w:rtl/>
        </w:rPr>
        <w:t>בחי</w:t>
      </w:r>
      <w:r>
        <w:rPr>
          <w:rtl/>
        </w:rPr>
        <w:t xml:space="preserve">' </w:t>
      </w:r>
      <w:r>
        <w:rPr>
          <w:rFonts w:hint="eastAsia"/>
          <w:rtl/>
        </w:rPr>
        <w:t>הריטב</w:t>
      </w:r>
      <w:r>
        <w:rPr>
          <w:rtl/>
        </w:rPr>
        <w:t>"</w:t>
      </w:r>
      <w:r>
        <w:rPr>
          <w:rFonts w:hint="eastAsia"/>
          <w:rtl/>
        </w:rPr>
        <w:t>א</w:t>
      </w:r>
      <w:r>
        <w:rPr>
          <w:rtl/>
        </w:rPr>
        <w:t xml:space="preserve"> </w:t>
      </w:r>
      <w:r>
        <w:rPr>
          <w:rFonts w:hint="eastAsia"/>
          <w:rtl/>
        </w:rPr>
        <w:t>ר</w:t>
      </w:r>
      <w:r>
        <w:rPr>
          <w:rtl/>
        </w:rPr>
        <w:t>"</w:t>
      </w:r>
      <w:r>
        <w:rPr>
          <w:rFonts w:hint="eastAsia"/>
          <w:rtl/>
        </w:rPr>
        <w:t>ה</w:t>
      </w:r>
      <w:r>
        <w:rPr>
          <w:rtl/>
        </w:rPr>
        <w:t xml:space="preserve"> </w:t>
      </w:r>
      <w:r>
        <w:rPr>
          <w:rFonts w:hint="eastAsia"/>
          <w:rtl/>
        </w:rPr>
        <w:t>כח</w:t>
      </w:r>
      <w:r>
        <w:rPr>
          <w:rtl/>
        </w:rPr>
        <w:t>,</w:t>
      </w:r>
      <w:r>
        <w:rPr>
          <w:rFonts w:hint="eastAsia"/>
          <w:rtl/>
        </w:rPr>
        <w:t>ב</w:t>
      </w:r>
      <w:r>
        <w:rPr>
          <w:rtl/>
        </w:rPr>
        <w:t xml:space="preserve">, </w:t>
      </w:r>
      <w:r>
        <w:rPr>
          <w:rFonts w:hint="eastAsia"/>
          <w:rtl/>
        </w:rPr>
        <w:t>ד</w:t>
      </w:r>
      <w:r>
        <w:rPr>
          <w:rtl/>
        </w:rPr>
        <w:t>"</w:t>
      </w:r>
      <w:r>
        <w:rPr>
          <w:rFonts w:hint="eastAsia"/>
          <w:rtl/>
        </w:rPr>
        <w:t>ה</w:t>
      </w:r>
      <w:r>
        <w:rPr>
          <w:rtl/>
        </w:rPr>
        <w:t xml:space="preserve"> </w:t>
      </w:r>
      <w:r>
        <w:rPr>
          <w:rFonts w:hint="eastAsia"/>
          <w:rtl/>
        </w:rPr>
        <w:t>ת</w:t>
      </w:r>
      <w:r>
        <w:rPr>
          <w:rtl/>
        </w:rPr>
        <w:t>"</w:t>
      </w:r>
      <w:r>
        <w:rPr>
          <w:rFonts w:hint="eastAsia"/>
          <w:rtl/>
        </w:rPr>
        <w:t>ל</w:t>
      </w:r>
      <w:r>
        <w:rPr>
          <w:rtl/>
        </w:rPr>
        <w:t xml:space="preserve"> </w:t>
      </w:r>
      <w:r>
        <w:rPr>
          <w:rFonts w:hint="eastAsia"/>
          <w:rtl/>
        </w:rPr>
        <w:t>ובסוכה</w:t>
      </w:r>
      <w:r>
        <w:rPr>
          <w:rtl/>
        </w:rPr>
        <w:t xml:space="preserve"> </w:t>
      </w:r>
      <w:r>
        <w:rPr>
          <w:rFonts w:hint="eastAsia"/>
          <w:rtl/>
        </w:rPr>
        <w:t>לא</w:t>
      </w:r>
      <w:r>
        <w:rPr>
          <w:rtl/>
        </w:rPr>
        <w:t>,</w:t>
      </w:r>
      <w:r>
        <w:rPr>
          <w:rFonts w:hint="eastAsia"/>
          <w:rtl/>
        </w:rPr>
        <w:t>ב</w:t>
      </w:r>
      <w:r>
        <w:rPr>
          <w:rtl/>
        </w:rPr>
        <w:t xml:space="preserve">, </w:t>
      </w:r>
      <w:r>
        <w:rPr>
          <w:rFonts w:hint="eastAsia"/>
          <w:rtl/>
        </w:rPr>
        <w:t>ד</w:t>
      </w:r>
      <w:r>
        <w:rPr>
          <w:rtl/>
        </w:rPr>
        <w:t>"</w:t>
      </w:r>
      <w:r>
        <w:rPr>
          <w:rFonts w:hint="eastAsia"/>
          <w:rtl/>
        </w:rPr>
        <w:t>ה</w:t>
      </w:r>
      <w:r>
        <w:rPr>
          <w:rtl/>
        </w:rPr>
        <w:t xml:space="preserve"> </w:t>
      </w:r>
      <w:r>
        <w:rPr>
          <w:rFonts w:hint="eastAsia"/>
          <w:rtl/>
        </w:rPr>
        <w:t>והאי</w:t>
      </w:r>
      <w:r>
        <w:rPr>
          <w:rtl/>
        </w:rPr>
        <w:t xml:space="preserve"> </w:t>
      </w:r>
      <w:r>
        <w:rPr>
          <w:rFonts w:hint="eastAsia"/>
          <w:rtl/>
        </w:rPr>
        <w:t>שאין</w:t>
      </w:r>
      <w:r>
        <w:rPr>
          <w:rtl/>
        </w:rPr>
        <w:t xml:space="preserve"> </w:t>
      </w:r>
      <w:r>
        <w:rPr>
          <w:rFonts w:hint="eastAsia"/>
          <w:rtl/>
        </w:rPr>
        <w:t>הכהן</w:t>
      </w:r>
      <w:r>
        <w:rPr>
          <w:rtl/>
        </w:rPr>
        <w:t xml:space="preserve"> </w:t>
      </w:r>
      <w:r>
        <w:rPr>
          <w:rFonts w:hint="eastAsia"/>
          <w:rtl/>
        </w:rPr>
        <w:t>עובר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אלא</w:t>
      </w:r>
      <w:r>
        <w:rPr>
          <w:rtl/>
        </w:rPr>
        <w:t xml:space="preserve"> </w:t>
      </w:r>
      <w:r>
        <w:rPr>
          <w:rFonts w:hint="eastAsia"/>
          <w:rtl/>
        </w:rPr>
        <w:t>א</w:t>
      </w:r>
      <w:r>
        <w:rPr>
          <w:rtl/>
        </w:rPr>
        <w:t>"</w:t>
      </w:r>
      <w:r>
        <w:rPr>
          <w:rFonts w:hint="eastAsia"/>
          <w:rtl/>
        </w:rPr>
        <w:t>כ</w:t>
      </w:r>
      <w:r>
        <w:rPr>
          <w:rtl/>
        </w:rPr>
        <w:t xml:space="preserve"> </w:t>
      </w:r>
      <w:r>
        <w:rPr>
          <w:rFonts w:hint="eastAsia"/>
          <w:rtl/>
        </w:rPr>
        <w:t>בירך</w:t>
      </w:r>
      <w:r>
        <w:rPr>
          <w:rtl/>
        </w:rPr>
        <w:t xml:space="preserve"> </w:t>
      </w:r>
      <w:r>
        <w:rPr>
          <w:rFonts w:hint="eastAsia"/>
          <w:bCs/>
          <w:rtl/>
        </w:rPr>
        <w:t>בנשיאות</w:t>
      </w:r>
      <w:r>
        <w:rPr>
          <w:bCs/>
          <w:rtl/>
        </w:rPr>
        <w:t xml:space="preserve"> </w:t>
      </w:r>
      <w:r>
        <w:rPr>
          <w:rFonts w:hint="eastAsia"/>
          <w:bCs/>
          <w:rtl/>
        </w:rPr>
        <w:t>כפים</w:t>
      </w:r>
      <w:r>
        <w:rPr>
          <w:rtl/>
        </w:rPr>
        <w:t xml:space="preserve"> </w:t>
      </w:r>
      <w:r>
        <w:rPr>
          <w:rFonts w:hint="eastAsia"/>
          <w:rtl/>
        </w:rPr>
        <w:t>עיי</w:t>
      </w:r>
      <w:r>
        <w:rPr>
          <w:rtl/>
        </w:rPr>
        <w:t>"</w:t>
      </w:r>
      <w:r>
        <w:rPr>
          <w:rFonts w:hint="eastAsia"/>
          <w:rtl/>
        </w:rPr>
        <w:t>ש</w:t>
      </w:r>
      <w:r>
        <w:rPr>
          <w:rtl/>
        </w:rPr>
        <w:t xml:space="preserve">, </w:t>
      </w:r>
      <w:r>
        <w:rPr>
          <w:rFonts w:hint="eastAsia"/>
          <w:rtl/>
        </w:rPr>
        <w:t>וזהו</w:t>
      </w:r>
      <w:r>
        <w:rPr>
          <w:rtl/>
        </w:rPr>
        <w:t xml:space="preserve"> </w:t>
      </w:r>
      <w:r>
        <w:rPr>
          <w:rFonts w:hint="eastAsia"/>
          <w:rtl/>
        </w:rPr>
        <w:t>כנ</w:t>
      </w:r>
      <w:r>
        <w:rPr>
          <w:rtl/>
        </w:rPr>
        <w:t>"</w:t>
      </w:r>
      <w:r>
        <w:rPr>
          <w:rFonts w:hint="eastAsia"/>
          <w:rtl/>
        </w:rPr>
        <w:t>ל</w:t>
      </w:r>
      <w:r>
        <w:rPr>
          <w:rtl/>
        </w:rPr>
        <w:t xml:space="preserve"> </w:t>
      </w:r>
      <w:r>
        <w:rPr>
          <w:rFonts w:hint="eastAsia"/>
          <w:rtl/>
        </w:rPr>
        <w:t>דבכדי</w:t>
      </w:r>
      <w:r>
        <w:rPr>
          <w:rtl/>
        </w:rPr>
        <w:t xml:space="preserve"> </w:t>
      </w:r>
      <w:r>
        <w:rPr>
          <w:rFonts w:hint="eastAsia"/>
          <w:rtl/>
        </w:rPr>
        <w:t>שיעבור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צריך</w:t>
      </w:r>
      <w:r>
        <w:rPr>
          <w:rtl/>
        </w:rPr>
        <w:t xml:space="preserve"> </w:t>
      </w:r>
      <w:r>
        <w:rPr>
          <w:rFonts w:hint="eastAsia"/>
          <w:rtl/>
        </w:rPr>
        <w:t>לברך</w:t>
      </w:r>
      <w:r>
        <w:rPr>
          <w:rtl/>
        </w:rPr>
        <w:t xml:space="preserve"> </w:t>
      </w:r>
      <w:r>
        <w:rPr>
          <w:rFonts w:hint="eastAsia"/>
          <w:rtl/>
        </w:rPr>
        <w:t>דוקא</w:t>
      </w:r>
      <w:r>
        <w:rPr>
          <w:rtl/>
        </w:rPr>
        <w:t xml:space="preserve"> </w:t>
      </w:r>
      <w:r>
        <w:rPr>
          <w:rFonts w:hint="eastAsia"/>
          <w:rtl/>
        </w:rPr>
        <w:t>באופן</w:t>
      </w:r>
      <w:r>
        <w:rPr>
          <w:rtl/>
        </w:rPr>
        <w:t xml:space="preserve"> </w:t>
      </w:r>
      <w:r>
        <w:rPr>
          <w:rFonts w:hint="eastAsia"/>
          <w:rtl/>
        </w:rPr>
        <w:t>שאפשר</w:t>
      </w:r>
      <w:r>
        <w:rPr>
          <w:rtl/>
        </w:rPr>
        <w:t xml:space="preserve"> </w:t>
      </w:r>
      <w:r>
        <w:rPr>
          <w:rFonts w:hint="eastAsia"/>
          <w:rtl/>
        </w:rPr>
        <w:t>לקיים</w:t>
      </w:r>
      <w:r>
        <w:rPr>
          <w:rtl/>
        </w:rPr>
        <w:t xml:space="preserve"> </w:t>
      </w:r>
      <w:r>
        <w:rPr>
          <w:rFonts w:hint="eastAsia"/>
          <w:rtl/>
        </w:rPr>
        <w:t>בו</w:t>
      </w:r>
      <w:r>
        <w:rPr>
          <w:rtl/>
        </w:rPr>
        <w:t xml:space="preserve"> </w:t>
      </w:r>
      <w:r>
        <w:rPr>
          <w:rFonts w:hint="eastAsia"/>
          <w:rtl/>
        </w:rPr>
        <w:t>המצוה</w:t>
      </w:r>
      <w:r>
        <w:rPr>
          <w:rtl/>
        </w:rPr>
        <w:t>.</w:t>
      </w:r>
    </w:p>
    <w:p w14:paraId="7CBB6C52" w14:textId="77777777" w:rsidR="00657259" w:rsidRDefault="00657259" w:rsidP="00E60D97">
      <w:pPr>
        <w:pStyle w:val="a3"/>
        <w:rPr>
          <w:rtl/>
        </w:rPr>
      </w:pPr>
      <w:r>
        <w:rPr>
          <w:rFonts w:hint="eastAsia"/>
          <w:rtl/>
        </w:rPr>
        <w:t>אלא</w:t>
      </w:r>
      <w:r>
        <w:rPr>
          <w:rtl/>
        </w:rPr>
        <w:t xml:space="preserve"> </w:t>
      </w:r>
      <w:r>
        <w:rPr>
          <w:rFonts w:hint="eastAsia"/>
          <w:rtl/>
        </w:rPr>
        <w:t>שיש</w:t>
      </w:r>
      <w:r>
        <w:rPr>
          <w:rtl/>
        </w:rPr>
        <w:t xml:space="preserve"> </w:t>
      </w:r>
      <w:r>
        <w:rPr>
          <w:rFonts w:hint="eastAsia"/>
          <w:rtl/>
        </w:rPr>
        <w:t>להקשות</w:t>
      </w:r>
      <w:r>
        <w:rPr>
          <w:rtl/>
        </w:rPr>
        <w:t xml:space="preserve"> </w:t>
      </w:r>
      <w:r>
        <w:rPr>
          <w:rFonts w:hint="eastAsia"/>
          <w:rtl/>
        </w:rPr>
        <w:t>ע</w:t>
      </w:r>
      <w:r>
        <w:rPr>
          <w:rtl/>
        </w:rPr>
        <w:t>"</w:t>
      </w:r>
      <w:r>
        <w:rPr>
          <w:rFonts w:hint="eastAsia"/>
          <w:rtl/>
        </w:rPr>
        <w:t>ז</w:t>
      </w:r>
      <w:r>
        <w:rPr>
          <w:rtl/>
        </w:rPr>
        <w:t xml:space="preserve"> </w:t>
      </w:r>
      <w:r>
        <w:rPr>
          <w:rFonts w:hint="eastAsia"/>
          <w:rtl/>
        </w:rPr>
        <w:t>ממ</w:t>
      </w:r>
      <w:r>
        <w:rPr>
          <w:rtl/>
        </w:rPr>
        <w:t>"</w:t>
      </w:r>
      <w:r>
        <w:rPr>
          <w:rFonts w:hint="eastAsia"/>
          <w:rtl/>
        </w:rPr>
        <w:t>ש</w:t>
      </w:r>
      <w:r>
        <w:rPr>
          <w:rtl/>
        </w:rPr>
        <w:t xml:space="preserve"> </w:t>
      </w:r>
      <w:r>
        <w:rPr>
          <w:rFonts w:hint="eastAsia"/>
          <w:rtl/>
        </w:rPr>
        <w:t>הרמב</w:t>
      </w:r>
      <w:r>
        <w:rPr>
          <w:rtl/>
        </w:rPr>
        <w:t>"</w:t>
      </w:r>
      <w:r>
        <w:rPr>
          <w:rFonts w:hint="eastAsia"/>
          <w:rtl/>
        </w:rPr>
        <w:t>ם</w:t>
      </w:r>
      <w:r>
        <w:rPr>
          <w:rtl/>
        </w:rPr>
        <w:t xml:space="preserve"> </w:t>
      </w:r>
      <w:r>
        <w:rPr>
          <w:rFonts w:hint="eastAsia"/>
          <w:rtl/>
        </w:rPr>
        <w:t>שם</w:t>
      </w:r>
      <w:r>
        <w:rPr>
          <w:rtl/>
        </w:rPr>
        <w:t xml:space="preserve"> </w:t>
      </w:r>
      <w:r>
        <w:rPr>
          <w:rFonts w:hint="eastAsia"/>
          <w:rtl/>
        </w:rPr>
        <w:t>וז</w:t>
      </w:r>
      <w:r>
        <w:rPr>
          <w:rtl/>
        </w:rPr>
        <w:t>"</w:t>
      </w:r>
      <w:r>
        <w:rPr>
          <w:rFonts w:hint="eastAsia"/>
          <w:rtl/>
        </w:rPr>
        <w:t>ל</w:t>
      </w:r>
      <w:r>
        <w:rPr>
          <w:rtl/>
        </w:rPr>
        <w:t xml:space="preserve">: </w:t>
      </w:r>
      <w:r>
        <w:rPr>
          <w:rFonts w:hint="eastAsia"/>
          <w:rtl/>
        </w:rPr>
        <w:t>אין</w:t>
      </w:r>
      <w:r>
        <w:rPr>
          <w:rtl/>
        </w:rPr>
        <w:t xml:space="preserve"> </w:t>
      </w:r>
      <w:r>
        <w:rPr>
          <w:rFonts w:hint="eastAsia"/>
          <w:rtl/>
        </w:rPr>
        <w:t>הכהנים</w:t>
      </w:r>
      <w:r>
        <w:rPr>
          <w:rtl/>
        </w:rPr>
        <w:t xml:space="preserve"> </w:t>
      </w:r>
      <w:r>
        <w:rPr>
          <w:rFonts w:hint="eastAsia"/>
          <w:rtl/>
        </w:rPr>
        <w:t>רשאין</w:t>
      </w:r>
      <w:r>
        <w:rPr>
          <w:rtl/>
        </w:rPr>
        <w:t xml:space="preserve"> </w:t>
      </w:r>
      <w:r>
        <w:rPr>
          <w:rFonts w:hint="eastAsia"/>
          <w:rtl/>
        </w:rPr>
        <w:t>בכל</w:t>
      </w:r>
      <w:r>
        <w:rPr>
          <w:rtl/>
        </w:rPr>
        <w:t xml:space="preserve"> </w:t>
      </w:r>
      <w:r>
        <w:rPr>
          <w:rFonts w:hint="eastAsia"/>
          <w:rtl/>
        </w:rPr>
        <w:t>מקום</w:t>
      </w:r>
      <w:r>
        <w:rPr>
          <w:rtl/>
        </w:rPr>
        <w:t xml:space="preserve"> </w:t>
      </w:r>
      <w:r>
        <w:rPr>
          <w:rFonts w:hint="eastAsia"/>
          <w:rtl/>
        </w:rPr>
        <w:t>להוסיף</w:t>
      </w:r>
      <w:r>
        <w:rPr>
          <w:rtl/>
        </w:rPr>
        <w:t xml:space="preserve"> </w:t>
      </w:r>
      <w:r>
        <w:rPr>
          <w:rFonts w:hint="eastAsia"/>
          <w:rtl/>
        </w:rPr>
        <w:t>ברכה</w:t>
      </w:r>
      <w:r>
        <w:rPr>
          <w:rtl/>
        </w:rPr>
        <w:t xml:space="preserve"> </w:t>
      </w:r>
      <w:r>
        <w:rPr>
          <w:rFonts w:hint="eastAsia"/>
          <w:rtl/>
        </w:rPr>
        <w:t>על</w:t>
      </w:r>
      <w:r>
        <w:rPr>
          <w:rtl/>
        </w:rPr>
        <w:t xml:space="preserve"> </w:t>
      </w:r>
      <w:r>
        <w:rPr>
          <w:rFonts w:hint="eastAsia"/>
          <w:rtl/>
        </w:rPr>
        <w:t>שלשת</w:t>
      </w:r>
      <w:r>
        <w:rPr>
          <w:rtl/>
        </w:rPr>
        <w:t xml:space="preserve"> </w:t>
      </w:r>
      <w:r>
        <w:rPr>
          <w:rFonts w:hint="eastAsia"/>
          <w:rtl/>
        </w:rPr>
        <w:t>הפסוקים</w:t>
      </w:r>
      <w:r>
        <w:rPr>
          <w:rtl/>
        </w:rPr>
        <w:t xml:space="preserve"> </w:t>
      </w:r>
      <w:r>
        <w:rPr>
          <w:rFonts w:hint="eastAsia"/>
          <w:rtl/>
        </w:rPr>
        <w:t>כו</w:t>
      </w:r>
      <w:r>
        <w:rPr>
          <w:rtl/>
        </w:rPr>
        <w:t xml:space="preserve">' </w:t>
      </w:r>
      <w:r>
        <w:rPr>
          <w:rFonts w:hint="eastAsia"/>
          <w:rtl/>
        </w:rPr>
        <w:t>לא</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ולא</w:t>
      </w:r>
      <w:r>
        <w:rPr>
          <w:rtl/>
        </w:rPr>
        <w:t xml:space="preserve"> </w:t>
      </w:r>
      <w:r>
        <w:rPr>
          <w:rFonts w:hint="eastAsia"/>
          <w:bCs/>
          <w:rtl/>
        </w:rPr>
        <w:t>בלחש</w:t>
      </w:r>
      <w:r>
        <w:rPr>
          <w:rtl/>
        </w:rPr>
        <w:t xml:space="preserve"> </w:t>
      </w:r>
      <w:r>
        <w:rPr>
          <w:rFonts w:hint="eastAsia"/>
          <w:rtl/>
        </w:rPr>
        <w:t>כו</w:t>
      </w:r>
      <w:r>
        <w:rPr>
          <w:rtl/>
        </w:rPr>
        <w:t xml:space="preserve">' </w:t>
      </w:r>
      <w:r>
        <w:rPr>
          <w:rFonts w:hint="eastAsia"/>
          <w:rtl/>
        </w:rPr>
        <w:t>עכ</w:t>
      </w:r>
      <w:r>
        <w:rPr>
          <w:rtl/>
        </w:rPr>
        <w:t>"</w:t>
      </w:r>
      <w:r>
        <w:rPr>
          <w:rFonts w:hint="eastAsia"/>
          <w:rtl/>
        </w:rPr>
        <w:t>ל</w:t>
      </w:r>
      <w:r>
        <w:rPr>
          <w:rtl/>
        </w:rPr>
        <w:t xml:space="preserve">. </w:t>
      </w:r>
      <w:r>
        <w:rPr>
          <w:rFonts w:hint="eastAsia"/>
          <w:rtl/>
        </w:rPr>
        <w:t>והרי</w:t>
      </w:r>
      <w:r>
        <w:rPr>
          <w:rtl/>
        </w:rPr>
        <w:t xml:space="preserve"> </w:t>
      </w:r>
      <w:r>
        <w:rPr>
          <w:rFonts w:hint="eastAsia"/>
          <w:rtl/>
        </w:rPr>
        <w:t>קול</w:t>
      </w:r>
      <w:r>
        <w:rPr>
          <w:rtl/>
        </w:rPr>
        <w:t xml:space="preserve"> </w:t>
      </w:r>
      <w:r>
        <w:rPr>
          <w:rFonts w:hint="eastAsia"/>
          <w:rtl/>
        </w:rPr>
        <w:t>רם</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מעכב</w:t>
      </w:r>
      <w:r>
        <w:rPr>
          <w:rtl/>
        </w:rPr>
        <w:t xml:space="preserve"> </w:t>
      </w:r>
      <w:r>
        <w:rPr>
          <w:rFonts w:hint="eastAsia"/>
          <w:rtl/>
        </w:rPr>
        <w:t>כמ</w:t>
      </w:r>
      <w:r>
        <w:rPr>
          <w:rtl/>
        </w:rPr>
        <w:t>"</w:t>
      </w:r>
      <w:r>
        <w:rPr>
          <w:rFonts w:hint="eastAsia"/>
          <w:rtl/>
        </w:rPr>
        <w:t>ש</w:t>
      </w:r>
      <w:r>
        <w:rPr>
          <w:rtl/>
        </w:rPr>
        <w:t xml:space="preserve"> </w:t>
      </w:r>
      <w:r>
        <w:rPr>
          <w:rFonts w:hint="eastAsia"/>
          <w:rtl/>
        </w:rPr>
        <w:t>אדה</w:t>
      </w:r>
      <w:r>
        <w:rPr>
          <w:rtl/>
        </w:rPr>
        <w:t>"</w:t>
      </w:r>
      <w:r>
        <w:rPr>
          <w:rFonts w:hint="eastAsia"/>
          <w:rtl/>
        </w:rPr>
        <w:t>ז</w:t>
      </w:r>
      <w:r>
        <w:rPr>
          <w:rtl/>
        </w:rPr>
        <w:t xml:space="preserve"> </w:t>
      </w:r>
      <w:r>
        <w:rPr>
          <w:rFonts w:hint="eastAsia"/>
          <w:rtl/>
        </w:rPr>
        <w:t>בהדיא</w:t>
      </w:r>
      <w:r>
        <w:rPr>
          <w:rtl/>
        </w:rPr>
        <w:t xml:space="preserve"> </w:t>
      </w:r>
      <w:r>
        <w:rPr>
          <w:rFonts w:hint="eastAsia"/>
          <w:rtl/>
        </w:rPr>
        <w:t>בסי</w:t>
      </w:r>
      <w:r>
        <w:rPr>
          <w:rtl/>
        </w:rPr>
        <w:t xml:space="preserve">' </w:t>
      </w:r>
      <w:r>
        <w:rPr>
          <w:rFonts w:hint="eastAsia"/>
          <w:rtl/>
        </w:rPr>
        <w:t>קכ</w:t>
      </w:r>
      <w:r>
        <w:rPr>
          <w:rtl/>
        </w:rPr>
        <w:t>"</w:t>
      </w:r>
      <w:r>
        <w:rPr>
          <w:rFonts w:hint="eastAsia"/>
          <w:rtl/>
        </w:rPr>
        <w:t>ח</w:t>
      </w:r>
      <w:r>
        <w:rPr>
          <w:rtl/>
        </w:rPr>
        <w:t xml:space="preserve"> </w:t>
      </w:r>
      <w:r>
        <w:rPr>
          <w:rFonts w:hint="eastAsia"/>
          <w:rtl/>
        </w:rPr>
        <w:t>סעי</w:t>
      </w:r>
      <w:r>
        <w:rPr>
          <w:rtl/>
        </w:rPr>
        <w:t xml:space="preserve">' </w:t>
      </w:r>
      <w:r>
        <w:rPr>
          <w:rFonts w:hint="eastAsia"/>
          <w:rtl/>
        </w:rPr>
        <w:t>כ</w:t>
      </w:r>
      <w:r>
        <w:rPr>
          <w:rtl/>
        </w:rPr>
        <w:t>"</w:t>
      </w:r>
      <w:r>
        <w:rPr>
          <w:rFonts w:hint="eastAsia"/>
          <w:rtl/>
        </w:rPr>
        <w:t>ג</w:t>
      </w:r>
      <w:r>
        <w:rPr>
          <w:rtl/>
        </w:rPr>
        <w:t>, (</w:t>
      </w:r>
      <w:r>
        <w:rPr>
          <w:rFonts w:hint="eastAsia"/>
          <w:rtl/>
        </w:rPr>
        <w:t>ועי</w:t>
      </w:r>
      <w:r>
        <w:rPr>
          <w:rtl/>
        </w:rPr>
        <w:t xml:space="preserve">' </w:t>
      </w:r>
      <w:r>
        <w:rPr>
          <w:rFonts w:hint="eastAsia"/>
          <w:rtl/>
        </w:rPr>
        <w:t>גם</w:t>
      </w:r>
      <w:r>
        <w:rPr>
          <w:rtl/>
        </w:rPr>
        <w:t xml:space="preserve"> </w:t>
      </w:r>
      <w:r>
        <w:rPr>
          <w:rFonts w:hint="eastAsia"/>
          <w:rtl/>
        </w:rPr>
        <w:t>בשו</w:t>
      </w:r>
      <w:r>
        <w:rPr>
          <w:rtl/>
        </w:rPr>
        <w:t>"</w:t>
      </w:r>
      <w:r>
        <w:rPr>
          <w:rFonts w:hint="eastAsia"/>
          <w:rtl/>
        </w:rPr>
        <w:t>ת</w:t>
      </w:r>
      <w:r>
        <w:rPr>
          <w:rtl/>
        </w:rPr>
        <w:t xml:space="preserve"> </w:t>
      </w:r>
      <w:r>
        <w:rPr>
          <w:rFonts w:hint="eastAsia"/>
          <w:rtl/>
        </w:rPr>
        <w:t>נוב</w:t>
      </w:r>
      <w:r>
        <w:rPr>
          <w:rtl/>
        </w:rPr>
        <w:t>"</w:t>
      </w:r>
      <w:r>
        <w:rPr>
          <w:rFonts w:hint="eastAsia"/>
          <w:rtl/>
        </w:rPr>
        <w:t>י</w:t>
      </w:r>
      <w:r>
        <w:rPr>
          <w:rtl/>
        </w:rPr>
        <w:t xml:space="preserve"> </w:t>
      </w:r>
      <w:r>
        <w:rPr>
          <w:rFonts w:hint="eastAsia"/>
          <w:rtl/>
        </w:rPr>
        <w:t>מהדו</w:t>
      </w:r>
      <w:r>
        <w:rPr>
          <w:rtl/>
        </w:rPr>
        <w:t>"</w:t>
      </w:r>
      <w:r>
        <w:rPr>
          <w:rFonts w:hint="eastAsia"/>
          <w:rtl/>
        </w:rPr>
        <w:t>ק</w:t>
      </w:r>
      <w:r>
        <w:rPr>
          <w:rtl/>
        </w:rPr>
        <w:t xml:space="preserve"> </w:t>
      </w:r>
      <w:r>
        <w:rPr>
          <w:rFonts w:hint="eastAsia"/>
          <w:rtl/>
        </w:rPr>
        <w:t>סי</w:t>
      </w:r>
      <w:r>
        <w:rPr>
          <w:rtl/>
        </w:rPr>
        <w:t xml:space="preserve">' </w:t>
      </w:r>
      <w:r>
        <w:rPr>
          <w:rFonts w:hint="eastAsia"/>
          <w:rtl/>
        </w:rPr>
        <w:t>ה</w:t>
      </w:r>
      <w:r>
        <w:rPr>
          <w:rtl/>
        </w:rPr>
        <w:t xml:space="preserve">' </w:t>
      </w:r>
      <w:r>
        <w:rPr>
          <w:rFonts w:hint="eastAsia"/>
          <w:rtl/>
        </w:rPr>
        <w:t>שהביא</w:t>
      </w:r>
      <w:r>
        <w:rPr>
          <w:rtl/>
        </w:rPr>
        <w:t xml:space="preserve"> </w:t>
      </w:r>
      <w:r>
        <w:rPr>
          <w:rFonts w:hint="eastAsia"/>
          <w:rtl/>
        </w:rPr>
        <w:t>מ</w:t>
      </w:r>
      <w:r>
        <w:rPr>
          <w:rtl/>
        </w:rPr>
        <w:t>"</w:t>
      </w:r>
      <w:r>
        <w:rPr>
          <w:rFonts w:hint="eastAsia"/>
          <w:rtl/>
        </w:rPr>
        <w:t>ש</w:t>
      </w:r>
      <w:r>
        <w:rPr>
          <w:rtl/>
        </w:rPr>
        <w:t xml:space="preserve"> </w:t>
      </w:r>
      <w:r>
        <w:rPr>
          <w:rFonts w:hint="eastAsia"/>
          <w:rtl/>
        </w:rPr>
        <w:t>הרמב</w:t>
      </w:r>
      <w:r>
        <w:rPr>
          <w:rtl/>
        </w:rPr>
        <w:t>"</w:t>
      </w:r>
      <w:r>
        <w:rPr>
          <w:rFonts w:hint="eastAsia"/>
          <w:rtl/>
        </w:rPr>
        <w:t>ם</w:t>
      </w:r>
      <w:r>
        <w:rPr>
          <w:rtl/>
        </w:rPr>
        <w:t xml:space="preserve"> </w:t>
      </w:r>
      <w:r>
        <w:rPr>
          <w:rFonts w:hint="eastAsia"/>
          <w:rtl/>
        </w:rPr>
        <w:t>שם</w:t>
      </w:r>
      <w:r>
        <w:rPr>
          <w:rtl/>
        </w:rPr>
        <w:t xml:space="preserve"> </w:t>
      </w:r>
      <w:r>
        <w:rPr>
          <w:rFonts w:hint="eastAsia"/>
          <w:rtl/>
        </w:rPr>
        <w:t>בהי</w:t>
      </w:r>
      <w:r>
        <w:rPr>
          <w:rtl/>
        </w:rPr>
        <w:t>"</w:t>
      </w:r>
      <w:r>
        <w:rPr>
          <w:rFonts w:hint="eastAsia"/>
          <w:rtl/>
        </w:rPr>
        <w:t>א</w:t>
      </w:r>
      <w:r>
        <w:rPr>
          <w:rtl/>
        </w:rPr>
        <w:t>: "</w:t>
      </w:r>
      <w:r>
        <w:rPr>
          <w:rFonts w:hint="eastAsia"/>
          <w:rtl/>
        </w:rPr>
        <w:t>כך</w:t>
      </w:r>
      <w:r>
        <w:rPr>
          <w:rtl/>
        </w:rPr>
        <w:t xml:space="preserve"> </w:t>
      </w:r>
      <w:r>
        <w:rPr>
          <w:rFonts w:hint="eastAsia"/>
          <w:rtl/>
        </w:rPr>
        <w:t>למדו</w:t>
      </w:r>
      <w:r>
        <w:rPr>
          <w:rtl/>
        </w:rPr>
        <w:t xml:space="preserve"> </w:t>
      </w:r>
      <w:r>
        <w:rPr>
          <w:rFonts w:hint="eastAsia"/>
          <w:rtl/>
        </w:rPr>
        <w:t>מפי</w:t>
      </w:r>
      <w:r>
        <w:rPr>
          <w:rtl/>
        </w:rPr>
        <w:t xml:space="preserve"> </w:t>
      </w:r>
      <w:r>
        <w:rPr>
          <w:rFonts w:hint="eastAsia"/>
          <w:rtl/>
        </w:rPr>
        <w:t>השמועה</w:t>
      </w:r>
      <w:r>
        <w:rPr>
          <w:rtl/>
        </w:rPr>
        <w:t xml:space="preserve"> </w:t>
      </w:r>
      <w:r>
        <w:rPr>
          <w:rFonts w:hint="eastAsia"/>
          <w:rtl/>
        </w:rPr>
        <w:t>ממשה</w:t>
      </w:r>
      <w:r>
        <w:rPr>
          <w:rtl/>
        </w:rPr>
        <w:t xml:space="preserve"> </w:t>
      </w:r>
      <w:r>
        <w:rPr>
          <w:rFonts w:hint="eastAsia"/>
          <w:rtl/>
        </w:rPr>
        <w:t>רבינו</w:t>
      </w:r>
      <w:r>
        <w:rPr>
          <w:rtl/>
        </w:rPr>
        <w:t xml:space="preserve"> </w:t>
      </w:r>
      <w:r>
        <w:rPr>
          <w:rFonts w:hint="eastAsia"/>
          <w:rtl/>
        </w:rPr>
        <w:t>ע</w:t>
      </w:r>
      <w:r>
        <w:rPr>
          <w:rtl/>
        </w:rPr>
        <w:t>"</w:t>
      </w:r>
      <w:r>
        <w:rPr>
          <w:rFonts w:hint="eastAsia"/>
          <w:rtl/>
        </w:rPr>
        <w:t>ה</w:t>
      </w:r>
      <w:r>
        <w:rPr>
          <w:rtl/>
        </w:rPr>
        <w:t xml:space="preserve"> </w:t>
      </w:r>
      <w:r>
        <w:rPr>
          <w:rFonts w:hint="eastAsia"/>
          <w:rtl/>
        </w:rPr>
        <w:t>כה</w:t>
      </w:r>
      <w:r>
        <w:rPr>
          <w:rtl/>
        </w:rPr>
        <w:t xml:space="preserve"> </w:t>
      </w:r>
      <w:r>
        <w:rPr>
          <w:rFonts w:hint="eastAsia"/>
          <w:rtl/>
        </w:rPr>
        <w:t>תברכו</w:t>
      </w:r>
      <w:r>
        <w:rPr>
          <w:rtl/>
        </w:rPr>
        <w:t xml:space="preserve"> </w:t>
      </w:r>
      <w:r>
        <w:rPr>
          <w:rFonts w:hint="eastAsia"/>
          <w:rtl/>
        </w:rPr>
        <w:t>בעמידה</w:t>
      </w:r>
      <w:r>
        <w:rPr>
          <w:rtl/>
        </w:rPr>
        <w:t xml:space="preserve">, </w:t>
      </w:r>
      <w:r>
        <w:rPr>
          <w:rFonts w:hint="eastAsia"/>
          <w:rtl/>
        </w:rPr>
        <w:t>כה</w:t>
      </w:r>
      <w:r>
        <w:rPr>
          <w:rtl/>
        </w:rPr>
        <w:t xml:space="preserve"> </w:t>
      </w:r>
      <w:r>
        <w:rPr>
          <w:rFonts w:hint="eastAsia"/>
          <w:rtl/>
        </w:rPr>
        <w:t>תברכו</w:t>
      </w:r>
      <w:r>
        <w:rPr>
          <w:rtl/>
        </w:rPr>
        <w:t xml:space="preserve"> </w:t>
      </w:r>
      <w:r>
        <w:rPr>
          <w:rFonts w:hint="eastAsia"/>
          <w:rtl/>
        </w:rPr>
        <w:t>בנשיאות</w:t>
      </w:r>
      <w:r>
        <w:rPr>
          <w:rtl/>
        </w:rPr>
        <w:t xml:space="preserve"> </w:t>
      </w:r>
      <w:r>
        <w:rPr>
          <w:rFonts w:hint="eastAsia"/>
          <w:rtl/>
        </w:rPr>
        <w:t>כפים</w:t>
      </w:r>
      <w:r>
        <w:rPr>
          <w:rtl/>
        </w:rPr>
        <w:t xml:space="preserve">, </w:t>
      </w:r>
      <w:r>
        <w:rPr>
          <w:rFonts w:hint="eastAsia"/>
          <w:rtl/>
        </w:rPr>
        <w:t>כה</w:t>
      </w:r>
      <w:r>
        <w:rPr>
          <w:rtl/>
        </w:rPr>
        <w:t xml:space="preserve"> </w:t>
      </w:r>
      <w:r>
        <w:rPr>
          <w:rFonts w:hint="eastAsia"/>
          <w:rtl/>
        </w:rPr>
        <w:t>תברכו</w:t>
      </w:r>
      <w:r>
        <w:rPr>
          <w:rtl/>
        </w:rPr>
        <w:t xml:space="preserve"> </w:t>
      </w:r>
      <w:r>
        <w:rPr>
          <w:rFonts w:hint="eastAsia"/>
          <w:rtl/>
        </w:rPr>
        <w:t>בלשון</w:t>
      </w:r>
      <w:r>
        <w:rPr>
          <w:rtl/>
        </w:rPr>
        <w:t xml:space="preserve"> </w:t>
      </w:r>
      <w:r>
        <w:rPr>
          <w:rFonts w:hint="eastAsia"/>
          <w:rtl/>
        </w:rPr>
        <w:t>הקודש</w:t>
      </w:r>
      <w:r>
        <w:rPr>
          <w:rtl/>
        </w:rPr>
        <w:t xml:space="preserve">, </w:t>
      </w:r>
      <w:r>
        <w:rPr>
          <w:rFonts w:hint="eastAsia"/>
          <w:rtl/>
        </w:rPr>
        <w:t>כה</w:t>
      </w:r>
      <w:r>
        <w:rPr>
          <w:rtl/>
        </w:rPr>
        <w:t xml:space="preserve"> </w:t>
      </w:r>
      <w:r>
        <w:rPr>
          <w:rFonts w:hint="eastAsia"/>
          <w:rtl/>
        </w:rPr>
        <w:t>תברכו</w:t>
      </w:r>
      <w:r>
        <w:rPr>
          <w:rtl/>
        </w:rPr>
        <w:t xml:space="preserve"> </w:t>
      </w:r>
      <w:r>
        <w:rPr>
          <w:rFonts w:hint="eastAsia"/>
          <w:rtl/>
        </w:rPr>
        <w:t>פנים</w:t>
      </w:r>
      <w:r>
        <w:rPr>
          <w:rtl/>
        </w:rPr>
        <w:t xml:space="preserve"> </w:t>
      </w:r>
      <w:r>
        <w:rPr>
          <w:rFonts w:hint="eastAsia"/>
          <w:rtl/>
        </w:rPr>
        <w:t>כנגד</w:t>
      </w:r>
      <w:r>
        <w:rPr>
          <w:rtl/>
        </w:rPr>
        <w:t xml:space="preserve"> </w:t>
      </w:r>
      <w:r>
        <w:rPr>
          <w:rFonts w:hint="eastAsia"/>
          <w:rtl/>
        </w:rPr>
        <w:t>פנים</w:t>
      </w:r>
      <w:r>
        <w:rPr>
          <w:rtl/>
        </w:rPr>
        <w:t xml:space="preserve">, </w:t>
      </w:r>
      <w:r>
        <w:rPr>
          <w:rFonts w:hint="eastAsia"/>
          <w:rtl/>
        </w:rPr>
        <w:t>כה</w:t>
      </w:r>
      <w:r>
        <w:rPr>
          <w:rtl/>
        </w:rPr>
        <w:t xml:space="preserve"> </w:t>
      </w:r>
      <w:r>
        <w:rPr>
          <w:rFonts w:hint="eastAsia"/>
          <w:rtl/>
        </w:rPr>
        <w:t>תברכו</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והוכיח</w:t>
      </w:r>
      <w:r>
        <w:rPr>
          <w:rtl/>
        </w:rPr>
        <w:t xml:space="preserve"> </w:t>
      </w:r>
      <w:r>
        <w:rPr>
          <w:rFonts w:hint="eastAsia"/>
          <w:rtl/>
        </w:rPr>
        <w:t>הנוב</w:t>
      </w:r>
      <w:r>
        <w:rPr>
          <w:rtl/>
        </w:rPr>
        <w:t>"</w:t>
      </w:r>
      <w:r>
        <w:rPr>
          <w:rFonts w:hint="eastAsia"/>
          <w:rtl/>
        </w:rPr>
        <w:t>י</w:t>
      </w:r>
      <w:r>
        <w:rPr>
          <w:rtl/>
        </w:rPr>
        <w:t xml:space="preserve"> </w:t>
      </w:r>
      <w:r>
        <w:rPr>
          <w:rFonts w:hint="eastAsia"/>
          <w:rtl/>
        </w:rPr>
        <w:t>שכשם</w:t>
      </w:r>
      <w:r>
        <w:rPr>
          <w:rtl/>
        </w:rPr>
        <w:t xml:space="preserve"> </w:t>
      </w:r>
      <w:r>
        <w:rPr>
          <w:rFonts w:hint="eastAsia"/>
          <w:rtl/>
        </w:rPr>
        <w:t>שלענין</w:t>
      </w:r>
      <w:r>
        <w:rPr>
          <w:rtl/>
        </w:rPr>
        <w:t xml:space="preserve"> </w:t>
      </w:r>
      <w:r>
        <w:rPr>
          <w:rFonts w:hint="eastAsia"/>
          <w:rtl/>
        </w:rPr>
        <w:t>עמידה</w:t>
      </w:r>
      <w:r>
        <w:rPr>
          <w:rtl/>
        </w:rPr>
        <w:t xml:space="preserve"> </w:t>
      </w:r>
      <w:r>
        <w:rPr>
          <w:rFonts w:hint="eastAsia"/>
          <w:rtl/>
        </w:rPr>
        <w:t>ה</w:t>
      </w:r>
      <w:r>
        <w:rPr>
          <w:rtl/>
        </w:rPr>
        <w:t>"</w:t>
      </w:r>
      <w:r>
        <w:rPr>
          <w:rFonts w:hint="eastAsia"/>
          <w:rtl/>
        </w:rPr>
        <w:t>ז</w:t>
      </w:r>
      <w:r>
        <w:rPr>
          <w:rtl/>
        </w:rPr>
        <w:t xml:space="preserve"> </w:t>
      </w:r>
      <w:r>
        <w:rPr>
          <w:rFonts w:hint="eastAsia"/>
          <w:rtl/>
        </w:rPr>
        <w:t>מעכב</w:t>
      </w:r>
      <w:r>
        <w:rPr>
          <w:rtl/>
        </w:rPr>
        <w:t xml:space="preserve"> </w:t>
      </w:r>
      <w:r>
        <w:rPr>
          <w:rFonts w:hint="eastAsia"/>
          <w:rtl/>
        </w:rPr>
        <w:t>כן</w:t>
      </w:r>
      <w:r>
        <w:rPr>
          <w:rtl/>
        </w:rPr>
        <w:t xml:space="preserve"> </w:t>
      </w:r>
      <w:r>
        <w:rPr>
          <w:rFonts w:hint="eastAsia"/>
          <w:rtl/>
        </w:rPr>
        <w:t>הוא</w:t>
      </w:r>
      <w:r>
        <w:rPr>
          <w:rtl/>
        </w:rPr>
        <w:t xml:space="preserve"> </w:t>
      </w:r>
      <w:r>
        <w:rPr>
          <w:rFonts w:hint="eastAsia"/>
          <w:rtl/>
        </w:rPr>
        <w:t>לגבי</w:t>
      </w:r>
      <w:r>
        <w:rPr>
          <w:rtl/>
        </w:rPr>
        <w:t xml:space="preserve"> </w:t>
      </w:r>
      <w:r>
        <w:rPr>
          <w:rFonts w:hint="eastAsia"/>
          <w:rtl/>
        </w:rPr>
        <w:t>נשיאת</w:t>
      </w:r>
      <w:r>
        <w:rPr>
          <w:rtl/>
        </w:rPr>
        <w:t xml:space="preserve"> </w:t>
      </w:r>
      <w:r>
        <w:rPr>
          <w:rFonts w:hint="eastAsia"/>
          <w:rtl/>
        </w:rPr>
        <w:t>כפים</w:t>
      </w:r>
      <w:r>
        <w:rPr>
          <w:rtl/>
        </w:rPr>
        <w:t xml:space="preserve"> </w:t>
      </w:r>
      <w:r>
        <w:rPr>
          <w:rFonts w:hint="eastAsia"/>
          <w:rtl/>
        </w:rPr>
        <w:t>שהוא</w:t>
      </w:r>
      <w:r>
        <w:rPr>
          <w:rtl/>
        </w:rPr>
        <w:t xml:space="preserve"> </w:t>
      </w:r>
      <w:r>
        <w:rPr>
          <w:rFonts w:hint="eastAsia"/>
          <w:rtl/>
        </w:rPr>
        <w:t>מעכב</w:t>
      </w:r>
      <w:r>
        <w:rPr>
          <w:rtl/>
        </w:rPr>
        <w:t xml:space="preserve"> </w:t>
      </w:r>
      <w:r>
        <w:rPr>
          <w:rFonts w:hint="eastAsia"/>
          <w:rtl/>
        </w:rPr>
        <w:t>שהרי</w:t>
      </w:r>
      <w:r>
        <w:rPr>
          <w:rtl/>
        </w:rPr>
        <w:t xml:space="preserve"> </w:t>
      </w:r>
      <w:r>
        <w:rPr>
          <w:rFonts w:hint="eastAsia"/>
          <w:rtl/>
        </w:rPr>
        <w:t>כחדא</w:t>
      </w:r>
      <w:r>
        <w:rPr>
          <w:rtl/>
        </w:rPr>
        <w:t xml:space="preserve"> </w:t>
      </w:r>
      <w:r>
        <w:rPr>
          <w:rFonts w:hint="eastAsia"/>
          <w:rtl/>
        </w:rPr>
        <w:t>כללינהו</w:t>
      </w:r>
      <w:r>
        <w:rPr>
          <w:rtl/>
        </w:rPr>
        <w:t xml:space="preserve"> </w:t>
      </w:r>
      <w:r>
        <w:rPr>
          <w:rFonts w:hint="eastAsia"/>
          <w:rtl/>
        </w:rPr>
        <w:t>הרמב</w:t>
      </w:r>
      <w:r>
        <w:rPr>
          <w:rtl/>
        </w:rPr>
        <w:t>"</w:t>
      </w:r>
      <w:r>
        <w:rPr>
          <w:rFonts w:hint="eastAsia"/>
          <w:rtl/>
        </w:rPr>
        <w:t>ם</w:t>
      </w:r>
      <w:r>
        <w:rPr>
          <w:rtl/>
        </w:rPr>
        <w:t xml:space="preserve"> </w:t>
      </w:r>
      <w:r>
        <w:rPr>
          <w:rFonts w:hint="eastAsia"/>
          <w:rtl/>
        </w:rPr>
        <w:t>עיי</w:t>
      </w:r>
      <w:r>
        <w:rPr>
          <w:rtl/>
        </w:rPr>
        <w:t>"</w:t>
      </w:r>
      <w:r>
        <w:rPr>
          <w:rFonts w:hint="eastAsia"/>
          <w:rtl/>
        </w:rPr>
        <w:t>ש</w:t>
      </w:r>
      <w:r>
        <w:rPr>
          <w:rtl/>
        </w:rPr>
        <w:t xml:space="preserve">, </w:t>
      </w:r>
      <w:r>
        <w:rPr>
          <w:rFonts w:hint="eastAsia"/>
          <w:rtl/>
        </w:rPr>
        <w:t>אבל</w:t>
      </w:r>
      <w:r>
        <w:rPr>
          <w:rtl/>
        </w:rPr>
        <w:t xml:space="preserve"> </w:t>
      </w:r>
      <w:r>
        <w:rPr>
          <w:rFonts w:hint="eastAsia"/>
          <w:rtl/>
        </w:rPr>
        <w:t>מזה</w:t>
      </w:r>
      <w:r>
        <w:rPr>
          <w:rtl/>
        </w:rPr>
        <w:t xml:space="preserve"> </w:t>
      </w:r>
      <w:r>
        <w:rPr>
          <w:rFonts w:hint="eastAsia"/>
          <w:rtl/>
        </w:rPr>
        <w:t>שאדה</w:t>
      </w:r>
      <w:r>
        <w:rPr>
          <w:rtl/>
        </w:rPr>
        <w:t>"</w:t>
      </w:r>
      <w:r>
        <w:rPr>
          <w:rFonts w:hint="eastAsia"/>
          <w:rtl/>
        </w:rPr>
        <w:t>ז</w:t>
      </w:r>
      <w:r>
        <w:rPr>
          <w:rtl/>
        </w:rPr>
        <w:t xml:space="preserve"> </w:t>
      </w:r>
      <w:r>
        <w:rPr>
          <w:rFonts w:hint="eastAsia"/>
          <w:rtl/>
        </w:rPr>
        <w:t>קאמר</w:t>
      </w:r>
      <w:r>
        <w:rPr>
          <w:rtl/>
        </w:rPr>
        <w:t xml:space="preserve"> </w:t>
      </w:r>
      <w:r>
        <w:rPr>
          <w:rFonts w:hint="eastAsia"/>
          <w:rtl/>
        </w:rPr>
        <w:t>במוקף</w:t>
      </w:r>
      <w:r>
        <w:rPr>
          <w:rtl/>
        </w:rPr>
        <w:t xml:space="preserve"> </w:t>
      </w:r>
      <w:r>
        <w:rPr>
          <w:rFonts w:hint="eastAsia"/>
          <w:rtl/>
        </w:rPr>
        <w:t>דפנים</w:t>
      </w:r>
      <w:r>
        <w:rPr>
          <w:rtl/>
        </w:rPr>
        <w:t xml:space="preserve"> </w:t>
      </w:r>
      <w:r>
        <w:rPr>
          <w:rFonts w:hint="eastAsia"/>
          <w:rtl/>
        </w:rPr>
        <w:t>כנגד</w:t>
      </w:r>
      <w:r>
        <w:rPr>
          <w:rtl/>
        </w:rPr>
        <w:t xml:space="preserve"> </w:t>
      </w:r>
      <w:r>
        <w:rPr>
          <w:rFonts w:hint="eastAsia"/>
          <w:rtl/>
        </w:rPr>
        <w:t>פנים</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כמבואר</w:t>
      </w:r>
      <w:r>
        <w:rPr>
          <w:rtl/>
        </w:rPr>
        <w:t xml:space="preserve"> </w:t>
      </w:r>
      <w:r>
        <w:rPr>
          <w:rFonts w:hint="eastAsia"/>
          <w:rtl/>
        </w:rPr>
        <w:t>בהרשימה</w:t>
      </w:r>
      <w:r>
        <w:rPr>
          <w:rtl/>
        </w:rPr>
        <w:t xml:space="preserve">, </w:t>
      </w:r>
      <w:r>
        <w:rPr>
          <w:rFonts w:hint="eastAsia"/>
          <w:rtl/>
        </w:rPr>
        <w:t>משמע</w:t>
      </w:r>
      <w:r>
        <w:rPr>
          <w:rtl/>
        </w:rPr>
        <w:t xml:space="preserve"> </w:t>
      </w:r>
      <w:r>
        <w:rPr>
          <w:rFonts w:hint="eastAsia"/>
          <w:rtl/>
        </w:rPr>
        <w:t>שלא</w:t>
      </w:r>
      <w:r>
        <w:rPr>
          <w:rtl/>
        </w:rPr>
        <w:t xml:space="preserve"> </w:t>
      </w:r>
      <w:r>
        <w:rPr>
          <w:rFonts w:hint="eastAsia"/>
          <w:rtl/>
        </w:rPr>
        <w:t>כהנוב</w:t>
      </w:r>
      <w:r>
        <w:rPr>
          <w:rtl/>
        </w:rPr>
        <w:t>"</w:t>
      </w:r>
      <w:r>
        <w:rPr>
          <w:rFonts w:hint="eastAsia"/>
          <w:rtl/>
        </w:rPr>
        <w:t>י</w:t>
      </w:r>
      <w:r>
        <w:rPr>
          <w:rtl/>
        </w:rPr>
        <w:t xml:space="preserve">, </w:t>
      </w:r>
      <w:r>
        <w:rPr>
          <w:rFonts w:hint="eastAsia"/>
          <w:rtl/>
        </w:rPr>
        <w:t>ששייך</w:t>
      </w:r>
      <w:r>
        <w:rPr>
          <w:rtl/>
        </w:rPr>
        <w:t xml:space="preserve"> </w:t>
      </w:r>
      <w:r>
        <w:rPr>
          <w:rFonts w:hint="eastAsia"/>
          <w:rtl/>
        </w:rPr>
        <w:t>לחלק</w:t>
      </w:r>
      <w:r>
        <w:rPr>
          <w:rtl/>
        </w:rPr>
        <w:t xml:space="preserve"> </w:t>
      </w:r>
      <w:r>
        <w:rPr>
          <w:rFonts w:hint="eastAsia"/>
          <w:rtl/>
        </w:rPr>
        <w:t>ביניהם</w:t>
      </w:r>
      <w:r>
        <w:rPr>
          <w:rtl/>
        </w:rPr>
        <w:t xml:space="preserve"> </w:t>
      </w:r>
      <w:r>
        <w:rPr>
          <w:rFonts w:hint="eastAsia"/>
          <w:rtl/>
        </w:rPr>
        <w:t>שיש</w:t>
      </w:r>
      <w:r>
        <w:rPr>
          <w:rtl/>
        </w:rPr>
        <w:t xml:space="preserve"> </w:t>
      </w:r>
      <w:r>
        <w:rPr>
          <w:rFonts w:hint="eastAsia"/>
          <w:rtl/>
        </w:rPr>
        <w:t>שאינו</w:t>
      </w:r>
      <w:r>
        <w:rPr>
          <w:rtl/>
        </w:rPr>
        <w:t xml:space="preserve"> </w:t>
      </w:r>
      <w:r>
        <w:rPr>
          <w:rFonts w:hint="eastAsia"/>
          <w:rtl/>
        </w:rPr>
        <w:t>מעכב</w:t>
      </w:r>
      <w:r>
        <w:rPr>
          <w:rtl/>
        </w:rPr>
        <w:t xml:space="preserve">, </w:t>
      </w:r>
      <w:r>
        <w:rPr>
          <w:rFonts w:hint="eastAsia"/>
          <w:rtl/>
        </w:rPr>
        <w:t>אבל</w:t>
      </w:r>
      <w:r>
        <w:rPr>
          <w:rtl/>
        </w:rPr>
        <w:t xml:space="preserve"> </w:t>
      </w:r>
      <w:r>
        <w:rPr>
          <w:rFonts w:hint="eastAsia"/>
          <w:rtl/>
        </w:rPr>
        <w:t>משם</w:t>
      </w:r>
      <w:r>
        <w:rPr>
          <w:rtl/>
        </w:rPr>
        <w:t xml:space="preserve"> </w:t>
      </w:r>
      <w:r>
        <w:rPr>
          <w:rFonts w:hint="eastAsia"/>
          <w:rtl/>
        </w:rPr>
        <w:t>גופא</w:t>
      </w:r>
      <w:r>
        <w:rPr>
          <w:rtl/>
        </w:rPr>
        <w:t xml:space="preserve"> </w:t>
      </w:r>
      <w:r>
        <w:rPr>
          <w:rFonts w:hint="eastAsia"/>
          <w:rtl/>
        </w:rPr>
        <w:t>מוכח</w:t>
      </w:r>
      <w:r>
        <w:rPr>
          <w:rtl/>
        </w:rPr>
        <w:t xml:space="preserve"> </w:t>
      </w:r>
      <w:r>
        <w:rPr>
          <w:rFonts w:hint="eastAsia"/>
          <w:rtl/>
        </w:rPr>
        <w:t>שקול</w:t>
      </w:r>
      <w:r>
        <w:rPr>
          <w:rtl/>
        </w:rPr>
        <w:t xml:space="preserve"> </w:t>
      </w:r>
      <w:r>
        <w:rPr>
          <w:rFonts w:hint="eastAsia"/>
          <w:rtl/>
        </w:rPr>
        <w:t>רם</w:t>
      </w:r>
      <w:r>
        <w:rPr>
          <w:rtl/>
        </w:rPr>
        <w:t xml:space="preserve"> </w:t>
      </w:r>
      <w:r>
        <w:rPr>
          <w:rFonts w:hint="eastAsia"/>
          <w:rtl/>
        </w:rPr>
        <w:t>מעכב</w:t>
      </w:r>
      <w:r>
        <w:rPr>
          <w:rtl/>
        </w:rPr>
        <w:t xml:space="preserve">, </w:t>
      </w:r>
      <w:r>
        <w:rPr>
          <w:rFonts w:hint="eastAsia"/>
          <w:rtl/>
        </w:rPr>
        <w:t>כיון</w:t>
      </w:r>
      <w:r>
        <w:rPr>
          <w:rtl/>
        </w:rPr>
        <w:t xml:space="preserve"> </w:t>
      </w:r>
      <w:r>
        <w:rPr>
          <w:rFonts w:hint="eastAsia"/>
          <w:rtl/>
        </w:rPr>
        <w:t>דאדה</w:t>
      </w:r>
      <w:r>
        <w:rPr>
          <w:rtl/>
        </w:rPr>
        <w:t>"</w:t>
      </w:r>
      <w:r>
        <w:rPr>
          <w:rFonts w:hint="eastAsia"/>
          <w:rtl/>
        </w:rPr>
        <w:t>ז</w:t>
      </w:r>
      <w:r>
        <w:rPr>
          <w:rtl/>
        </w:rPr>
        <w:t xml:space="preserve"> </w:t>
      </w:r>
      <w:r>
        <w:rPr>
          <w:rFonts w:hint="eastAsia"/>
          <w:rtl/>
        </w:rPr>
        <w:t>הזכיר</w:t>
      </w:r>
      <w:r>
        <w:rPr>
          <w:rtl/>
        </w:rPr>
        <w:t xml:space="preserve"> </w:t>
      </w:r>
      <w:r>
        <w:rPr>
          <w:rFonts w:hint="eastAsia"/>
          <w:rtl/>
        </w:rPr>
        <w:t>במוקף</w:t>
      </w:r>
      <w:r>
        <w:rPr>
          <w:rtl/>
        </w:rPr>
        <w:t xml:space="preserve"> </w:t>
      </w:r>
      <w:r>
        <w:rPr>
          <w:rFonts w:hint="eastAsia"/>
          <w:rtl/>
        </w:rPr>
        <w:t>רק</w:t>
      </w:r>
      <w:r>
        <w:rPr>
          <w:rtl/>
        </w:rPr>
        <w:t xml:space="preserve"> </w:t>
      </w:r>
      <w:r>
        <w:rPr>
          <w:rFonts w:hint="eastAsia"/>
          <w:rtl/>
        </w:rPr>
        <w:t>בנוגע</w:t>
      </w:r>
      <w:r>
        <w:rPr>
          <w:rtl/>
        </w:rPr>
        <w:t xml:space="preserve"> </w:t>
      </w:r>
      <w:r>
        <w:rPr>
          <w:rFonts w:hint="eastAsia"/>
          <w:rtl/>
        </w:rPr>
        <w:t>לפנים</w:t>
      </w:r>
      <w:r>
        <w:rPr>
          <w:rtl/>
        </w:rPr>
        <w:t xml:space="preserve"> </w:t>
      </w:r>
      <w:r>
        <w:rPr>
          <w:rFonts w:hint="eastAsia"/>
          <w:rtl/>
        </w:rPr>
        <w:t>אל</w:t>
      </w:r>
      <w:r>
        <w:rPr>
          <w:rtl/>
        </w:rPr>
        <w:t xml:space="preserve"> </w:t>
      </w:r>
      <w:r>
        <w:rPr>
          <w:rFonts w:hint="eastAsia"/>
          <w:rtl/>
        </w:rPr>
        <w:t>פנים</w:t>
      </w:r>
      <w:r>
        <w:rPr>
          <w:rtl/>
        </w:rPr>
        <w:t xml:space="preserve">). </w:t>
      </w:r>
    </w:p>
    <w:p w14:paraId="3D378F6F" w14:textId="77777777" w:rsidR="00657259" w:rsidRDefault="00657259" w:rsidP="00E60D97">
      <w:pPr>
        <w:pStyle w:val="a3"/>
        <w:rPr>
          <w:rtl/>
        </w:rPr>
      </w:pPr>
      <w:r>
        <w:rPr>
          <w:rFonts w:hint="eastAsia"/>
          <w:rtl/>
        </w:rPr>
        <w:t>וראה</w:t>
      </w:r>
      <w:r>
        <w:rPr>
          <w:rtl/>
        </w:rPr>
        <w:t xml:space="preserve"> </w:t>
      </w:r>
      <w:r>
        <w:rPr>
          <w:rFonts w:hint="eastAsia"/>
          <w:rtl/>
        </w:rPr>
        <w:t>ביאור</w:t>
      </w:r>
      <w:r>
        <w:rPr>
          <w:rtl/>
        </w:rPr>
        <w:t xml:space="preserve"> </w:t>
      </w:r>
      <w:r>
        <w:rPr>
          <w:rFonts w:hint="eastAsia"/>
          <w:rtl/>
        </w:rPr>
        <w:t>הלכה</w:t>
      </w:r>
      <w:r>
        <w:rPr>
          <w:rtl/>
        </w:rPr>
        <w:t xml:space="preserve"> </w:t>
      </w:r>
      <w:r>
        <w:rPr>
          <w:rFonts w:hint="eastAsia"/>
          <w:rtl/>
        </w:rPr>
        <w:t>סי</w:t>
      </w:r>
      <w:r>
        <w:rPr>
          <w:rtl/>
        </w:rPr>
        <w:t xml:space="preserve">' </w:t>
      </w:r>
      <w:r>
        <w:rPr>
          <w:rFonts w:hint="eastAsia"/>
          <w:rtl/>
        </w:rPr>
        <w:t>קכ</w:t>
      </w:r>
      <w:r>
        <w:rPr>
          <w:rtl/>
        </w:rPr>
        <w:t>"</w:t>
      </w:r>
      <w:r>
        <w:rPr>
          <w:rFonts w:hint="eastAsia"/>
          <w:rtl/>
        </w:rPr>
        <w:t>ח</w:t>
      </w:r>
      <w:r>
        <w:rPr>
          <w:rtl/>
        </w:rPr>
        <w:t xml:space="preserve"> </w:t>
      </w:r>
      <w:r>
        <w:rPr>
          <w:rFonts w:hint="eastAsia"/>
          <w:rtl/>
        </w:rPr>
        <w:t>סכ</w:t>
      </w:r>
      <w:r>
        <w:rPr>
          <w:rtl/>
        </w:rPr>
        <w:t>"</w:t>
      </w:r>
      <w:r>
        <w:rPr>
          <w:rFonts w:hint="eastAsia"/>
          <w:rtl/>
        </w:rPr>
        <w:t>ז</w:t>
      </w:r>
      <w:r>
        <w:rPr>
          <w:rtl/>
        </w:rPr>
        <w:t xml:space="preserve"> </w:t>
      </w:r>
      <w:r>
        <w:rPr>
          <w:rFonts w:hint="eastAsia"/>
          <w:rtl/>
        </w:rPr>
        <w:t>ד</w:t>
      </w:r>
      <w:r>
        <w:rPr>
          <w:rtl/>
        </w:rPr>
        <w:t>"</w:t>
      </w:r>
      <w:r>
        <w:rPr>
          <w:rFonts w:hint="eastAsia"/>
          <w:rtl/>
        </w:rPr>
        <w:t>ה</w:t>
      </w:r>
      <w:r>
        <w:rPr>
          <w:rtl/>
        </w:rPr>
        <w:t xml:space="preserve"> </w:t>
      </w:r>
      <w:r>
        <w:rPr>
          <w:rFonts w:hint="eastAsia"/>
          <w:rtl/>
        </w:rPr>
        <w:t>ואם</w:t>
      </w:r>
      <w:r>
        <w:rPr>
          <w:rtl/>
        </w:rPr>
        <w:t xml:space="preserve"> </w:t>
      </w:r>
      <w:r>
        <w:rPr>
          <w:rFonts w:hint="eastAsia"/>
          <w:rtl/>
        </w:rPr>
        <w:t>הוסיף</w:t>
      </w:r>
      <w:r>
        <w:rPr>
          <w:rtl/>
        </w:rPr>
        <w:t xml:space="preserve"> </w:t>
      </w:r>
      <w:r>
        <w:rPr>
          <w:rFonts w:hint="cs"/>
          <w:rtl/>
        </w:rPr>
        <w:t xml:space="preserve">וז"ל: </w:t>
      </w:r>
      <w:r>
        <w:rPr>
          <w:rtl/>
        </w:rPr>
        <w:t xml:space="preserve">- לכאורה נראה דדוקא אם גם זה היה בפריסת כפים וכה"ג כל הדברים המעכבין בנ"כ </w:t>
      </w:r>
      <w:r>
        <w:rPr>
          <w:rFonts w:hint="cs"/>
          <w:rtl/>
        </w:rPr>
        <w:t>..</w:t>
      </w:r>
      <w:r>
        <w:rPr>
          <w:rtl/>
        </w:rPr>
        <w:t xml:space="preserve"> זה מקרי הוספה על המצוה משא"כ בשבירך שלא בנ"כ או שלא בהחזרת פנים וכה"ג זה אין מקרי הוספה כ"א ברכה בעלמא</w:t>
      </w:r>
      <w:r>
        <w:rPr>
          <w:rFonts w:hint="cs"/>
          <w:rtl/>
        </w:rPr>
        <w:t>,</w:t>
      </w:r>
      <w:r>
        <w:rPr>
          <w:rtl/>
        </w:rPr>
        <w:t xml:space="preserve"> וכן כתב בשו"ע הגר"ז עי"ש</w:t>
      </w:r>
      <w:r>
        <w:rPr>
          <w:rFonts w:hint="cs"/>
          <w:rtl/>
        </w:rPr>
        <w:t>,</w:t>
      </w:r>
      <w:r>
        <w:rPr>
          <w:rtl/>
        </w:rPr>
        <w:t xml:space="preserve"> וכן מוכח בחידושי רשב"א סוכה ל"א דדוקא בפריסת כפים ע"ש ומסתמא ה"ה שארי דברים המעכבין בנ"כ דמאי שנא</w:t>
      </w:r>
      <w:r>
        <w:rPr>
          <w:rFonts w:hint="cs"/>
          <w:rtl/>
        </w:rPr>
        <w:t>,</w:t>
      </w:r>
      <w:r>
        <w:rPr>
          <w:rtl/>
        </w:rPr>
        <w:t xml:space="preserve"> אמנם מדברי הרמב"ם משמע שלא כדבריהם שהרי כתב בפי"ד מה"ת דין י"ב וז"ל</w:t>
      </w:r>
      <w:r>
        <w:rPr>
          <w:rFonts w:hint="cs"/>
          <w:rtl/>
        </w:rPr>
        <w:t>:</w:t>
      </w:r>
      <w:r>
        <w:rPr>
          <w:rtl/>
        </w:rPr>
        <w:t xml:space="preserve"> אין הכהנים רשאין בכל מקום להוסיף ברכה על שלשת הפסוקים כגון ה' אלהי אבותיכם יוסף עליכם וגו' וכיוצא בה לא בקול רם </w:t>
      </w:r>
      <w:r w:rsidRPr="0086368A">
        <w:rPr>
          <w:bCs/>
          <w:rtl/>
        </w:rPr>
        <w:t>ולא בלחש</w:t>
      </w:r>
      <w:r>
        <w:rPr>
          <w:rtl/>
        </w:rPr>
        <w:t xml:space="preserve"> שנאמר לא תוסיפו על הדבר וגו' עכ"ל</w:t>
      </w:r>
      <w:r>
        <w:rPr>
          <w:rFonts w:hint="cs"/>
          <w:rtl/>
        </w:rPr>
        <w:t>.</w:t>
      </w:r>
      <w:r>
        <w:rPr>
          <w:rtl/>
        </w:rPr>
        <w:t xml:space="preserve"> הרי דלדידיה עוברי</w:t>
      </w:r>
      <w:r>
        <w:rPr>
          <w:rFonts w:hint="cs"/>
          <w:rtl/>
        </w:rPr>
        <w:t>ן</w:t>
      </w:r>
      <w:r>
        <w:rPr>
          <w:rtl/>
        </w:rPr>
        <w:t xml:space="preserve"> על בל תוסיף כשמברך בלחש אף על גב דקול רם הוא לעיכובא כמו שכתבנו לעיל במ"ב סי"ד ומסתמא דלדידיה ה"ה בלא פריסת כפים וכה"ג ג"כ עובר וצ"ע:</w:t>
      </w:r>
      <w:r>
        <w:rPr>
          <w:rFonts w:hint="cs"/>
          <w:rtl/>
        </w:rPr>
        <w:t xml:space="preserve"> עכ"ל. </w:t>
      </w:r>
      <w:r>
        <w:rPr>
          <w:rFonts w:hint="eastAsia"/>
          <w:rtl/>
        </w:rPr>
        <w:t>וכן</w:t>
      </w:r>
      <w:r>
        <w:rPr>
          <w:rtl/>
        </w:rPr>
        <w:t xml:space="preserve"> </w:t>
      </w:r>
      <w:r>
        <w:rPr>
          <w:rFonts w:hint="cs"/>
          <w:rtl/>
        </w:rPr>
        <w:t xml:space="preserve">הקשה </w:t>
      </w:r>
      <w:r>
        <w:rPr>
          <w:rFonts w:hint="eastAsia"/>
          <w:rtl/>
        </w:rPr>
        <w:t>בס</w:t>
      </w:r>
      <w:r>
        <w:rPr>
          <w:rtl/>
        </w:rPr>
        <w:t xml:space="preserve">' </w:t>
      </w:r>
      <w:r>
        <w:rPr>
          <w:rFonts w:hint="eastAsia"/>
          <w:rtl/>
        </w:rPr>
        <w:t>רשימות</w:t>
      </w:r>
      <w:r>
        <w:rPr>
          <w:rtl/>
        </w:rPr>
        <w:t xml:space="preserve"> </w:t>
      </w:r>
      <w:r>
        <w:rPr>
          <w:rFonts w:hint="eastAsia"/>
          <w:rtl/>
        </w:rPr>
        <w:t>שיעורים</w:t>
      </w:r>
      <w:r>
        <w:rPr>
          <w:rtl/>
        </w:rPr>
        <w:t xml:space="preserve"> </w:t>
      </w:r>
      <w:r>
        <w:rPr>
          <w:rFonts w:hint="eastAsia"/>
          <w:rtl/>
        </w:rPr>
        <w:t>מהגרי</w:t>
      </w:r>
      <w:r>
        <w:rPr>
          <w:rtl/>
        </w:rPr>
        <w:t>"</w:t>
      </w:r>
      <w:r>
        <w:rPr>
          <w:rFonts w:hint="eastAsia"/>
          <w:rtl/>
        </w:rPr>
        <w:t>ד</w:t>
      </w:r>
      <w:r>
        <w:rPr>
          <w:rtl/>
        </w:rPr>
        <w:t xml:space="preserve"> </w:t>
      </w:r>
      <w:r>
        <w:rPr>
          <w:rFonts w:hint="eastAsia"/>
          <w:rtl/>
        </w:rPr>
        <w:t>סולובייצ</w:t>
      </w:r>
      <w:r>
        <w:rPr>
          <w:rtl/>
        </w:rPr>
        <w:t>'</w:t>
      </w:r>
      <w:r>
        <w:rPr>
          <w:rFonts w:hint="eastAsia"/>
          <w:rtl/>
        </w:rPr>
        <w:t>יק</w:t>
      </w:r>
      <w:r>
        <w:rPr>
          <w:rtl/>
        </w:rPr>
        <w:t xml:space="preserve"> </w:t>
      </w:r>
      <w:r>
        <w:rPr>
          <w:rFonts w:hint="eastAsia"/>
          <w:rtl/>
        </w:rPr>
        <w:t>סוכה</w:t>
      </w:r>
      <w:r>
        <w:rPr>
          <w:rtl/>
        </w:rPr>
        <w:t xml:space="preserve"> </w:t>
      </w:r>
      <w:r>
        <w:rPr>
          <w:rFonts w:hint="eastAsia"/>
          <w:rtl/>
        </w:rPr>
        <w:t>לא</w:t>
      </w:r>
      <w:r>
        <w:rPr>
          <w:rtl/>
        </w:rPr>
        <w:t>,</w:t>
      </w:r>
      <w:r>
        <w:rPr>
          <w:rFonts w:hint="eastAsia"/>
          <w:rtl/>
        </w:rPr>
        <w:t>ב</w:t>
      </w:r>
      <w:r>
        <w:rPr>
          <w:rtl/>
        </w:rPr>
        <w:t>.</w:t>
      </w:r>
    </w:p>
    <w:p w14:paraId="178662BA" w14:textId="77777777" w:rsidR="00657259" w:rsidRDefault="00657259" w:rsidP="00E60D97">
      <w:pPr>
        <w:pStyle w:val="a3"/>
        <w:rPr>
          <w:rtl/>
        </w:rPr>
      </w:pPr>
      <w:r>
        <w:rPr>
          <w:rFonts w:hint="eastAsia"/>
          <w:rtl/>
        </w:rPr>
        <w:t>ובס</w:t>
      </w:r>
      <w:r>
        <w:rPr>
          <w:rtl/>
        </w:rPr>
        <w:t xml:space="preserve">' </w:t>
      </w:r>
      <w:r>
        <w:rPr>
          <w:rFonts w:hint="eastAsia"/>
          <w:rtl/>
        </w:rPr>
        <w:t>עמק</w:t>
      </w:r>
      <w:r>
        <w:rPr>
          <w:rtl/>
        </w:rPr>
        <w:t xml:space="preserve"> </w:t>
      </w:r>
      <w:r>
        <w:rPr>
          <w:rFonts w:hint="eastAsia"/>
          <w:rtl/>
        </w:rPr>
        <w:t>ברכה</w:t>
      </w:r>
      <w:r>
        <w:rPr>
          <w:rtl/>
        </w:rPr>
        <w:t xml:space="preserve"> </w:t>
      </w:r>
      <w:r>
        <w:rPr>
          <w:rFonts w:hint="eastAsia"/>
          <w:rtl/>
        </w:rPr>
        <w:t>ערך</w:t>
      </w:r>
      <w:r>
        <w:rPr>
          <w:rtl/>
        </w:rPr>
        <w:t xml:space="preserve"> </w:t>
      </w:r>
      <w:r>
        <w:rPr>
          <w:rFonts w:hint="eastAsia"/>
          <w:rtl/>
        </w:rPr>
        <w:t>נשיאת</w:t>
      </w:r>
      <w:r>
        <w:rPr>
          <w:rtl/>
        </w:rPr>
        <w:t xml:space="preserve"> </w:t>
      </w:r>
      <w:r>
        <w:rPr>
          <w:rFonts w:hint="eastAsia"/>
          <w:rtl/>
        </w:rPr>
        <w:t>כפים</w:t>
      </w:r>
      <w:r>
        <w:rPr>
          <w:rtl/>
        </w:rPr>
        <w:t xml:space="preserve"> (</w:t>
      </w:r>
      <w:r>
        <w:rPr>
          <w:rFonts w:hint="eastAsia"/>
          <w:rtl/>
        </w:rPr>
        <w:t>ע</w:t>
      </w:r>
      <w:r>
        <w:rPr>
          <w:rtl/>
        </w:rPr>
        <w:t xml:space="preserve">' </w:t>
      </w:r>
      <w:r>
        <w:rPr>
          <w:rFonts w:hint="eastAsia"/>
          <w:rtl/>
        </w:rPr>
        <w:t>י</w:t>
      </w:r>
      <w:r>
        <w:rPr>
          <w:rtl/>
        </w:rPr>
        <w:t>"</w:t>
      </w:r>
      <w:r>
        <w:rPr>
          <w:rFonts w:hint="eastAsia"/>
          <w:rtl/>
        </w:rPr>
        <w:t>ז</w:t>
      </w:r>
      <w:r>
        <w:rPr>
          <w:rtl/>
        </w:rPr>
        <w:t xml:space="preserve">) </w:t>
      </w:r>
      <w:r>
        <w:rPr>
          <w:rFonts w:hint="eastAsia"/>
          <w:rtl/>
        </w:rPr>
        <w:t>אות</w:t>
      </w:r>
      <w:r>
        <w:rPr>
          <w:rtl/>
        </w:rPr>
        <w:t xml:space="preserve"> </w:t>
      </w:r>
      <w:r>
        <w:rPr>
          <w:rFonts w:hint="eastAsia"/>
          <w:rtl/>
        </w:rPr>
        <w:t>ה</w:t>
      </w:r>
      <w:r>
        <w:rPr>
          <w:rtl/>
        </w:rPr>
        <w:t xml:space="preserve">' </w:t>
      </w:r>
      <w:r>
        <w:rPr>
          <w:rFonts w:hint="eastAsia"/>
          <w:rtl/>
        </w:rPr>
        <w:t>הביא</w:t>
      </w:r>
      <w:r>
        <w:rPr>
          <w:rtl/>
        </w:rPr>
        <w:t xml:space="preserve"> </w:t>
      </w:r>
      <w:r>
        <w:rPr>
          <w:rFonts w:hint="eastAsia"/>
          <w:rtl/>
        </w:rPr>
        <w:t>חידושו</w:t>
      </w:r>
      <w:r>
        <w:rPr>
          <w:rtl/>
        </w:rPr>
        <w:t xml:space="preserve"> </w:t>
      </w:r>
      <w:r>
        <w:rPr>
          <w:rFonts w:hint="eastAsia"/>
          <w:rtl/>
        </w:rPr>
        <w:t>הידוע</w:t>
      </w:r>
      <w:r>
        <w:rPr>
          <w:rtl/>
        </w:rPr>
        <w:t xml:space="preserve"> </w:t>
      </w:r>
      <w:r>
        <w:rPr>
          <w:rFonts w:hint="eastAsia"/>
          <w:rtl/>
        </w:rPr>
        <w:t>של</w:t>
      </w:r>
      <w:r>
        <w:rPr>
          <w:rtl/>
        </w:rPr>
        <w:t xml:space="preserve"> </w:t>
      </w:r>
      <w:r>
        <w:rPr>
          <w:rFonts w:hint="eastAsia"/>
          <w:rtl/>
        </w:rPr>
        <w:t>בית</w:t>
      </w:r>
      <w:r>
        <w:rPr>
          <w:rtl/>
        </w:rPr>
        <w:t xml:space="preserve"> </w:t>
      </w:r>
      <w:r>
        <w:rPr>
          <w:rFonts w:hint="eastAsia"/>
          <w:rtl/>
        </w:rPr>
        <w:t>הלוי</w:t>
      </w:r>
      <w:r>
        <w:rPr>
          <w:rtl/>
        </w:rPr>
        <w:t xml:space="preserve"> </w:t>
      </w:r>
      <w:r>
        <w:rPr>
          <w:rFonts w:hint="eastAsia"/>
          <w:rtl/>
        </w:rPr>
        <w:t>בסוף</w:t>
      </w:r>
      <w:r>
        <w:rPr>
          <w:rtl/>
        </w:rPr>
        <w:t xml:space="preserve"> </w:t>
      </w:r>
      <w:r>
        <w:rPr>
          <w:rFonts w:hint="eastAsia"/>
          <w:rtl/>
        </w:rPr>
        <w:t>חומש</w:t>
      </w:r>
      <w:r>
        <w:rPr>
          <w:rtl/>
        </w:rPr>
        <w:t xml:space="preserve"> </w:t>
      </w:r>
      <w:r>
        <w:rPr>
          <w:rFonts w:hint="eastAsia"/>
          <w:rtl/>
        </w:rPr>
        <w:t>בראשית</w:t>
      </w:r>
      <w:r>
        <w:rPr>
          <w:rtl/>
        </w:rPr>
        <w:t xml:space="preserve"> </w:t>
      </w:r>
      <w:r>
        <w:rPr>
          <w:rFonts w:hint="eastAsia"/>
          <w:rtl/>
        </w:rPr>
        <w:t>דבברכת</w:t>
      </w:r>
      <w:r>
        <w:rPr>
          <w:rtl/>
        </w:rPr>
        <w:t xml:space="preserve"> </w:t>
      </w:r>
      <w:r>
        <w:rPr>
          <w:rFonts w:hint="eastAsia"/>
          <w:rtl/>
        </w:rPr>
        <w:t>כהנים</w:t>
      </w:r>
      <w:r>
        <w:rPr>
          <w:rtl/>
        </w:rPr>
        <w:t xml:space="preserve"> </w:t>
      </w:r>
      <w:r>
        <w:rPr>
          <w:rFonts w:hint="eastAsia"/>
          <w:rtl/>
        </w:rPr>
        <w:t>אין</w:t>
      </w:r>
      <w:r>
        <w:rPr>
          <w:rtl/>
        </w:rPr>
        <w:t xml:space="preserve"> </w:t>
      </w:r>
      <w:r>
        <w:rPr>
          <w:rFonts w:hint="eastAsia"/>
          <w:rtl/>
        </w:rPr>
        <w:t>כהן</w:t>
      </w:r>
      <w:r>
        <w:rPr>
          <w:rtl/>
        </w:rPr>
        <w:t xml:space="preserve"> </w:t>
      </w:r>
      <w:r>
        <w:rPr>
          <w:rFonts w:hint="eastAsia"/>
          <w:rtl/>
        </w:rPr>
        <w:t>יכול</w:t>
      </w:r>
      <w:r>
        <w:rPr>
          <w:rtl/>
        </w:rPr>
        <w:t xml:space="preserve"> </w:t>
      </w:r>
      <w:r>
        <w:rPr>
          <w:rFonts w:hint="eastAsia"/>
          <w:rtl/>
        </w:rPr>
        <w:t>לצאת</w:t>
      </w:r>
      <w:r>
        <w:rPr>
          <w:rtl/>
        </w:rPr>
        <w:t xml:space="preserve"> </w:t>
      </w:r>
      <w:r>
        <w:rPr>
          <w:rFonts w:hint="eastAsia"/>
          <w:rtl/>
        </w:rPr>
        <w:t>יד</w:t>
      </w:r>
      <w:r>
        <w:rPr>
          <w:rtl/>
        </w:rPr>
        <w:t>"</w:t>
      </w:r>
      <w:r>
        <w:rPr>
          <w:rFonts w:hint="eastAsia"/>
          <w:rtl/>
        </w:rPr>
        <w:t>ח</w:t>
      </w:r>
      <w:r>
        <w:rPr>
          <w:rtl/>
        </w:rPr>
        <w:t xml:space="preserve"> </w:t>
      </w:r>
      <w:r>
        <w:rPr>
          <w:rFonts w:hint="eastAsia"/>
          <w:rtl/>
        </w:rPr>
        <w:t>ע</w:t>
      </w:r>
      <w:r>
        <w:rPr>
          <w:rtl/>
        </w:rPr>
        <w:t>"</w:t>
      </w:r>
      <w:r>
        <w:rPr>
          <w:rFonts w:hint="eastAsia"/>
          <w:rtl/>
        </w:rPr>
        <w:t>י</w:t>
      </w:r>
      <w:r>
        <w:rPr>
          <w:rtl/>
        </w:rPr>
        <w:t xml:space="preserve"> </w:t>
      </w:r>
      <w:r>
        <w:rPr>
          <w:rFonts w:hint="eastAsia"/>
          <w:rtl/>
        </w:rPr>
        <w:t>שמיעה</w:t>
      </w:r>
      <w:r>
        <w:rPr>
          <w:rtl/>
        </w:rPr>
        <w:t xml:space="preserve"> </w:t>
      </w:r>
      <w:r>
        <w:rPr>
          <w:rFonts w:hint="eastAsia"/>
          <w:rtl/>
        </w:rPr>
        <w:t>מכהן</w:t>
      </w:r>
      <w:r>
        <w:rPr>
          <w:rtl/>
        </w:rPr>
        <w:t xml:space="preserve"> </w:t>
      </w:r>
      <w:r>
        <w:rPr>
          <w:rFonts w:hint="eastAsia"/>
          <w:rtl/>
        </w:rPr>
        <w:t>אחר</w:t>
      </w:r>
      <w:r>
        <w:rPr>
          <w:rtl/>
        </w:rPr>
        <w:t xml:space="preserve"> </w:t>
      </w:r>
      <w:r>
        <w:rPr>
          <w:rFonts w:hint="eastAsia"/>
          <w:rtl/>
        </w:rPr>
        <w:t>מצד</w:t>
      </w:r>
      <w:r>
        <w:rPr>
          <w:rtl/>
        </w:rPr>
        <w:t xml:space="preserve"> </w:t>
      </w:r>
      <w:r>
        <w:rPr>
          <w:rFonts w:hint="eastAsia"/>
          <w:rtl/>
        </w:rPr>
        <w:t>שומע</w:t>
      </w:r>
      <w:r>
        <w:rPr>
          <w:rtl/>
        </w:rPr>
        <w:t xml:space="preserve"> </w:t>
      </w:r>
      <w:r>
        <w:rPr>
          <w:rFonts w:hint="eastAsia"/>
          <w:rtl/>
        </w:rPr>
        <w:t>כעונה</w:t>
      </w:r>
      <w:r>
        <w:rPr>
          <w:rtl/>
        </w:rPr>
        <w:t xml:space="preserve"> </w:t>
      </w:r>
      <w:r>
        <w:rPr>
          <w:rFonts w:hint="eastAsia"/>
          <w:rtl/>
        </w:rPr>
        <w:t>כיון</w:t>
      </w:r>
      <w:r>
        <w:rPr>
          <w:rtl/>
        </w:rPr>
        <w:t xml:space="preserve"> </w:t>
      </w:r>
      <w:r>
        <w:rPr>
          <w:rFonts w:hint="eastAsia"/>
          <w:rtl/>
        </w:rPr>
        <w:t>דבברכת</w:t>
      </w:r>
      <w:r>
        <w:rPr>
          <w:rtl/>
        </w:rPr>
        <w:t xml:space="preserve"> </w:t>
      </w:r>
      <w:r>
        <w:rPr>
          <w:rFonts w:hint="eastAsia"/>
          <w:rtl/>
        </w:rPr>
        <w:t>כהנים</w:t>
      </w:r>
      <w:r>
        <w:rPr>
          <w:rtl/>
        </w:rPr>
        <w:t xml:space="preserve"> </w:t>
      </w:r>
      <w:r>
        <w:rPr>
          <w:rFonts w:hint="eastAsia"/>
          <w:rtl/>
        </w:rPr>
        <w:t>בעינן</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והקשו</w:t>
      </w:r>
      <w:r>
        <w:rPr>
          <w:rtl/>
        </w:rPr>
        <w:t xml:space="preserve"> </w:t>
      </w:r>
      <w:r>
        <w:rPr>
          <w:rFonts w:hint="eastAsia"/>
          <w:rtl/>
        </w:rPr>
        <w:t>עליו</w:t>
      </w:r>
      <w:r>
        <w:rPr>
          <w:rtl/>
        </w:rPr>
        <w:t xml:space="preserve"> </w:t>
      </w:r>
      <w:r>
        <w:rPr>
          <w:rFonts w:hint="eastAsia"/>
          <w:rtl/>
        </w:rPr>
        <w:t>דכיון</w:t>
      </w:r>
      <w:r>
        <w:rPr>
          <w:rtl/>
        </w:rPr>
        <w:t xml:space="preserve"> </w:t>
      </w:r>
      <w:r>
        <w:rPr>
          <w:rFonts w:hint="eastAsia"/>
          <w:rtl/>
        </w:rPr>
        <w:t>דדין</w:t>
      </w:r>
      <w:r>
        <w:rPr>
          <w:rtl/>
        </w:rPr>
        <w:t xml:space="preserve"> </w:t>
      </w:r>
      <w:r>
        <w:rPr>
          <w:rFonts w:hint="eastAsia"/>
          <w:rtl/>
        </w:rPr>
        <w:lastRenderedPageBreak/>
        <w:t>שומע</w:t>
      </w:r>
      <w:r>
        <w:rPr>
          <w:rtl/>
        </w:rPr>
        <w:t xml:space="preserve"> </w:t>
      </w:r>
      <w:r>
        <w:rPr>
          <w:rFonts w:hint="eastAsia"/>
          <w:rtl/>
        </w:rPr>
        <w:t>כעונה</w:t>
      </w:r>
      <w:r>
        <w:rPr>
          <w:rtl/>
        </w:rPr>
        <w:t xml:space="preserve"> </w:t>
      </w:r>
      <w:r>
        <w:rPr>
          <w:rFonts w:hint="eastAsia"/>
          <w:rtl/>
        </w:rPr>
        <w:t>אין</w:t>
      </w:r>
      <w:r>
        <w:rPr>
          <w:rtl/>
        </w:rPr>
        <w:t xml:space="preserve"> </w:t>
      </w:r>
      <w:r>
        <w:rPr>
          <w:rFonts w:hint="eastAsia"/>
          <w:rtl/>
        </w:rPr>
        <w:t>הפי</w:t>
      </w:r>
      <w:r>
        <w:rPr>
          <w:rtl/>
        </w:rPr>
        <w:t xml:space="preserve">' </w:t>
      </w:r>
      <w:r>
        <w:rPr>
          <w:rFonts w:hint="eastAsia"/>
          <w:rtl/>
        </w:rPr>
        <w:t>שיוצא</w:t>
      </w:r>
      <w:r>
        <w:rPr>
          <w:rtl/>
        </w:rPr>
        <w:t xml:space="preserve"> </w:t>
      </w:r>
      <w:r>
        <w:rPr>
          <w:rFonts w:hint="eastAsia"/>
          <w:rtl/>
        </w:rPr>
        <w:t>ע</w:t>
      </w:r>
      <w:r>
        <w:rPr>
          <w:rtl/>
        </w:rPr>
        <w:t>"</w:t>
      </w:r>
      <w:r>
        <w:rPr>
          <w:rFonts w:hint="eastAsia"/>
          <w:rtl/>
        </w:rPr>
        <w:t>י</w:t>
      </w:r>
      <w:r>
        <w:rPr>
          <w:rtl/>
        </w:rPr>
        <w:t xml:space="preserve"> </w:t>
      </w:r>
      <w:r>
        <w:rPr>
          <w:rFonts w:hint="eastAsia"/>
          <w:rtl/>
        </w:rPr>
        <w:t>שמיעה</w:t>
      </w:r>
      <w:r>
        <w:rPr>
          <w:rtl/>
        </w:rPr>
        <w:t xml:space="preserve"> </w:t>
      </w:r>
      <w:r>
        <w:rPr>
          <w:rFonts w:hint="eastAsia"/>
          <w:rtl/>
        </w:rPr>
        <w:t>דשמיעה</w:t>
      </w:r>
      <w:r>
        <w:rPr>
          <w:rtl/>
        </w:rPr>
        <w:t xml:space="preserve"> </w:t>
      </w:r>
      <w:r>
        <w:rPr>
          <w:rFonts w:hint="eastAsia"/>
          <w:rtl/>
        </w:rPr>
        <w:t>הוה</w:t>
      </w:r>
      <w:r>
        <w:rPr>
          <w:rtl/>
        </w:rPr>
        <w:t xml:space="preserve"> </w:t>
      </w:r>
      <w:r>
        <w:rPr>
          <w:rFonts w:hint="eastAsia"/>
          <w:rtl/>
        </w:rPr>
        <w:t>כדיבור</w:t>
      </w:r>
      <w:r>
        <w:rPr>
          <w:rtl/>
        </w:rPr>
        <w:t xml:space="preserve">, </w:t>
      </w:r>
      <w:r>
        <w:rPr>
          <w:rFonts w:hint="eastAsia"/>
          <w:rtl/>
        </w:rPr>
        <w:t>אלא</w:t>
      </w:r>
      <w:r>
        <w:rPr>
          <w:rtl/>
        </w:rPr>
        <w:t xml:space="preserve"> </w:t>
      </w:r>
      <w:r>
        <w:rPr>
          <w:rFonts w:hint="eastAsia"/>
          <w:rtl/>
        </w:rPr>
        <w:t>שהדיבור</w:t>
      </w:r>
      <w:r>
        <w:rPr>
          <w:rtl/>
        </w:rPr>
        <w:t xml:space="preserve"> </w:t>
      </w:r>
      <w:r>
        <w:rPr>
          <w:rFonts w:hint="eastAsia"/>
          <w:rtl/>
        </w:rPr>
        <w:t>של</w:t>
      </w:r>
      <w:r>
        <w:rPr>
          <w:rtl/>
        </w:rPr>
        <w:t xml:space="preserve"> </w:t>
      </w:r>
      <w:r>
        <w:rPr>
          <w:rFonts w:hint="eastAsia"/>
          <w:rtl/>
        </w:rPr>
        <w:t>האחר</w:t>
      </w:r>
      <w:r>
        <w:rPr>
          <w:rtl/>
        </w:rPr>
        <w:t xml:space="preserve"> </w:t>
      </w:r>
      <w:r>
        <w:rPr>
          <w:rFonts w:hint="eastAsia"/>
          <w:rtl/>
        </w:rPr>
        <w:t>מתייחס</w:t>
      </w:r>
      <w:r>
        <w:rPr>
          <w:rtl/>
        </w:rPr>
        <w:t xml:space="preserve"> </w:t>
      </w:r>
      <w:r>
        <w:rPr>
          <w:rFonts w:hint="eastAsia"/>
          <w:rtl/>
        </w:rPr>
        <w:t>כאילו</w:t>
      </w:r>
      <w:r>
        <w:rPr>
          <w:rtl/>
        </w:rPr>
        <w:t xml:space="preserve"> </w:t>
      </w:r>
      <w:r>
        <w:rPr>
          <w:rFonts w:hint="eastAsia"/>
          <w:rtl/>
        </w:rPr>
        <w:t>השומע</w:t>
      </w:r>
      <w:r>
        <w:rPr>
          <w:rtl/>
        </w:rPr>
        <w:t xml:space="preserve"> </w:t>
      </w:r>
      <w:r>
        <w:rPr>
          <w:rFonts w:hint="eastAsia"/>
          <w:rtl/>
        </w:rPr>
        <w:t>הוא</w:t>
      </w:r>
      <w:r>
        <w:rPr>
          <w:rtl/>
        </w:rPr>
        <w:t xml:space="preserve"> </w:t>
      </w:r>
      <w:r>
        <w:rPr>
          <w:rFonts w:hint="eastAsia"/>
          <w:rtl/>
        </w:rPr>
        <w:t>מדבר</w:t>
      </w:r>
      <w:r>
        <w:rPr>
          <w:rtl/>
        </w:rPr>
        <w:t xml:space="preserve"> (</w:t>
      </w:r>
      <w:r>
        <w:rPr>
          <w:rFonts w:hint="eastAsia"/>
          <w:rtl/>
        </w:rPr>
        <w:t>וראה</w:t>
      </w:r>
      <w:r>
        <w:rPr>
          <w:rtl/>
        </w:rPr>
        <w:t xml:space="preserve"> </w:t>
      </w:r>
      <w:r>
        <w:rPr>
          <w:rFonts w:hint="eastAsia"/>
          <w:rtl/>
        </w:rPr>
        <w:t>שו</w:t>
      </w:r>
      <w:r>
        <w:rPr>
          <w:rtl/>
        </w:rPr>
        <w:t>"</w:t>
      </w:r>
      <w:r>
        <w:rPr>
          <w:rFonts w:hint="eastAsia"/>
          <w:rtl/>
        </w:rPr>
        <w:t>ע</w:t>
      </w:r>
      <w:r>
        <w:rPr>
          <w:rtl/>
        </w:rPr>
        <w:t xml:space="preserve"> </w:t>
      </w:r>
      <w:r>
        <w:rPr>
          <w:rFonts w:hint="eastAsia"/>
          <w:rtl/>
        </w:rPr>
        <w:t>אדה</w:t>
      </w:r>
      <w:r>
        <w:rPr>
          <w:rtl/>
        </w:rPr>
        <w:t>"</w:t>
      </w:r>
      <w:r>
        <w:rPr>
          <w:rFonts w:hint="eastAsia"/>
          <w:rtl/>
        </w:rPr>
        <w:t>ז</w:t>
      </w:r>
      <w:r>
        <w:rPr>
          <w:rtl/>
        </w:rPr>
        <w:t xml:space="preserve"> </w:t>
      </w:r>
      <w:r>
        <w:rPr>
          <w:rFonts w:hint="eastAsia"/>
          <w:rtl/>
        </w:rPr>
        <w:t>סי</w:t>
      </w:r>
      <w:r>
        <w:rPr>
          <w:rtl/>
        </w:rPr>
        <w:t xml:space="preserve">' </w:t>
      </w:r>
      <w:r>
        <w:rPr>
          <w:rFonts w:hint="eastAsia"/>
          <w:rtl/>
        </w:rPr>
        <w:t>רי</w:t>
      </w:r>
      <w:r>
        <w:rPr>
          <w:rtl/>
        </w:rPr>
        <w:t>"</w:t>
      </w:r>
      <w:r>
        <w:rPr>
          <w:rFonts w:hint="eastAsia"/>
          <w:rtl/>
        </w:rPr>
        <w:t>ג</w:t>
      </w:r>
      <w:r>
        <w:rPr>
          <w:rtl/>
        </w:rPr>
        <w:t xml:space="preserve"> </w:t>
      </w:r>
      <w:r>
        <w:rPr>
          <w:rFonts w:hint="eastAsia"/>
          <w:rtl/>
        </w:rPr>
        <w:t>סעי</w:t>
      </w:r>
      <w:r>
        <w:rPr>
          <w:rtl/>
        </w:rPr>
        <w:t xml:space="preserve">' </w:t>
      </w:r>
      <w:r>
        <w:rPr>
          <w:rFonts w:hint="eastAsia"/>
          <w:rtl/>
        </w:rPr>
        <w:t>ו</w:t>
      </w:r>
      <w:r>
        <w:rPr>
          <w:rtl/>
        </w:rPr>
        <w:t xml:space="preserve">' </w:t>
      </w:r>
      <w:r>
        <w:rPr>
          <w:rFonts w:hint="eastAsia"/>
          <w:rtl/>
        </w:rPr>
        <w:t>ולקו</w:t>
      </w:r>
      <w:r>
        <w:rPr>
          <w:rtl/>
        </w:rPr>
        <w:t>"</w:t>
      </w:r>
      <w:r>
        <w:rPr>
          <w:rFonts w:hint="eastAsia"/>
          <w:rtl/>
        </w:rPr>
        <w:t>ש</w:t>
      </w:r>
      <w:r>
        <w:rPr>
          <w:rtl/>
        </w:rPr>
        <w:t xml:space="preserve"> </w:t>
      </w:r>
      <w:r>
        <w:rPr>
          <w:rFonts w:hint="eastAsia"/>
          <w:rtl/>
        </w:rPr>
        <w:t>חכ</w:t>
      </w:r>
      <w:r>
        <w:rPr>
          <w:rtl/>
        </w:rPr>
        <w:t>"</w:t>
      </w:r>
      <w:r>
        <w:rPr>
          <w:rFonts w:hint="eastAsia"/>
          <w:rtl/>
        </w:rPr>
        <w:t>ד</w:t>
      </w:r>
      <w:r>
        <w:rPr>
          <w:rtl/>
        </w:rPr>
        <w:t xml:space="preserve"> </w:t>
      </w:r>
      <w:r>
        <w:rPr>
          <w:rFonts w:hint="eastAsia"/>
          <w:rtl/>
        </w:rPr>
        <w:t>ע</w:t>
      </w:r>
      <w:r>
        <w:rPr>
          <w:rtl/>
        </w:rPr>
        <w:t xml:space="preserve">' 96) </w:t>
      </w:r>
      <w:r>
        <w:rPr>
          <w:rFonts w:hint="eastAsia"/>
          <w:rtl/>
        </w:rPr>
        <w:t>וא</w:t>
      </w:r>
      <w:r>
        <w:rPr>
          <w:rtl/>
        </w:rPr>
        <w:t>"</w:t>
      </w:r>
      <w:r>
        <w:rPr>
          <w:rFonts w:hint="eastAsia"/>
          <w:rtl/>
        </w:rPr>
        <w:t>כ</w:t>
      </w:r>
      <w:r>
        <w:rPr>
          <w:rtl/>
        </w:rPr>
        <w:t xml:space="preserve"> </w:t>
      </w:r>
      <w:r>
        <w:rPr>
          <w:rFonts w:hint="eastAsia"/>
          <w:rtl/>
        </w:rPr>
        <w:t>ה</w:t>
      </w:r>
      <w:r>
        <w:rPr>
          <w:rtl/>
        </w:rPr>
        <w:t>"</w:t>
      </w:r>
      <w:r>
        <w:rPr>
          <w:rFonts w:hint="eastAsia"/>
          <w:rtl/>
        </w:rPr>
        <w:t>ז</w:t>
      </w:r>
      <w:r>
        <w:rPr>
          <w:rtl/>
        </w:rPr>
        <w:t xml:space="preserve"> </w:t>
      </w:r>
      <w:r>
        <w:rPr>
          <w:rFonts w:hint="eastAsia"/>
          <w:rtl/>
        </w:rPr>
        <w:t>כאילו</w:t>
      </w:r>
      <w:r>
        <w:rPr>
          <w:rtl/>
        </w:rPr>
        <w:t xml:space="preserve"> </w:t>
      </w:r>
      <w:r>
        <w:rPr>
          <w:rFonts w:hint="eastAsia"/>
          <w:rtl/>
        </w:rPr>
        <w:t>מדבר</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ותירץ</w:t>
      </w:r>
      <w:r>
        <w:rPr>
          <w:rtl/>
        </w:rPr>
        <w:t xml:space="preserve"> </w:t>
      </w:r>
      <w:r>
        <w:rPr>
          <w:rFonts w:hint="eastAsia"/>
          <w:rtl/>
        </w:rPr>
        <w:t>בעמק</w:t>
      </w:r>
      <w:r>
        <w:rPr>
          <w:rtl/>
        </w:rPr>
        <w:t xml:space="preserve"> </w:t>
      </w:r>
      <w:r>
        <w:rPr>
          <w:rFonts w:hint="eastAsia"/>
          <w:rtl/>
        </w:rPr>
        <w:t>ברכה</w:t>
      </w:r>
      <w:r>
        <w:rPr>
          <w:rtl/>
        </w:rPr>
        <w:t xml:space="preserve"> </w:t>
      </w:r>
      <w:r>
        <w:rPr>
          <w:rFonts w:hint="eastAsia"/>
          <w:rtl/>
        </w:rPr>
        <w:t>דהא</w:t>
      </w:r>
      <w:r>
        <w:rPr>
          <w:rtl/>
        </w:rPr>
        <w:t xml:space="preserve"> </w:t>
      </w:r>
      <w:r>
        <w:rPr>
          <w:rFonts w:hint="eastAsia"/>
          <w:rtl/>
        </w:rPr>
        <w:t>דבעינן</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קול</w:t>
      </w:r>
      <w:r>
        <w:rPr>
          <w:rtl/>
        </w:rPr>
        <w:t xml:space="preserve"> </w:t>
      </w:r>
      <w:r>
        <w:rPr>
          <w:rFonts w:hint="eastAsia"/>
          <w:rtl/>
        </w:rPr>
        <w:t>רם</w:t>
      </w:r>
      <w:r>
        <w:rPr>
          <w:rtl/>
        </w:rPr>
        <w:t xml:space="preserve">, </w:t>
      </w:r>
      <w:r>
        <w:rPr>
          <w:rFonts w:hint="eastAsia"/>
          <w:rtl/>
        </w:rPr>
        <w:t>לאו</w:t>
      </w:r>
      <w:r>
        <w:rPr>
          <w:rtl/>
        </w:rPr>
        <w:t xml:space="preserve"> </w:t>
      </w:r>
      <w:r>
        <w:rPr>
          <w:rFonts w:hint="eastAsia"/>
          <w:rtl/>
        </w:rPr>
        <w:t>דהוא</w:t>
      </w:r>
      <w:r>
        <w:rPr>
          <w:rtl/>
        </w:rPr>
        <w:t xml:space="preserve"> </w:t>
      </w:r>
      <w:r>
        <w:rPr>
          <w:rFonts w:hint="eastAsia"/>
          <w:rtl/>
        </w:rPr>
        <w:t>תנאי</w:t>
      </w:r>
      <w:r>
        <w:rPr>
          <w:rtl/>
        </w:rPr>
        <w:t xml:space="preserve"> </w:t>
      </w:r>
      <w:r>
        <w:rPr>
          <w:rFonts w:hint="eastAsia"/>
          <w:rtl/>
        </w:rPr>
        <w:t>בהדיבור</w:t>
      </w:r>
      <w:r>
        <w:rPr>
          <w:rtl/>
        </w:rPr>
        <w:t xml:space="preserve"> </w:t>
      </w:r>
      <w:r>
        <w:rPr>
          <w:rFonts w:hint="eastAsia"/>
          <w:rtl/>
        </w:rPr>
        <w:t>שיהא</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אלא</w:t>
      </w:r>
      <w:r>
        <w:rPr>
          <w:rtl/>
        </w:rPr>
        <w:t xml:space="preserve"> </w:t>
      </w:r>
      <w:r>
        <w:rPr>
          <w:rFonts w:hint="eastAsia"/>
          <w:rtl/>
        </w:rPr>
        <w:t>עיקר</w:t>
      </w:r>
      <w:r>
        <w:rPr>
          <w:rtl/>
        </w:rPr>
        <w:t xml:space="preserve"> </w:t>
      </w:r>
      <w:r>
        <w:rPr>
          <w:rFonts w:hint="eastAsia"/>
          <w:rtl/>
        </w:rPr>
        <w:t>הדין</w:t>
      </w:r>
      <w:r>
        <w:rPr>
          <w:rtl/>
        </w:rPr>
        <w:t xml:space="preserve"> </w:t>
      </w:r>
      <w:r>
        <w:rPr>
          <w:rFonts w:hint="eastAsia"/>
          <w:rtl/>
        </w:rPr>
        <w:t>שיהא</w:t>
      </w:r>
      <w:r>
        <w:rPr>
          <w:rtl/>
        </w:rPr>
        <w:t xml:space="preserve"> </w:t>
      </w:r>
      <w:r>
        <w:rPr>
          <w:rFonts w:hint="eastAsia"/>
          <w:rtl/>
        </w:rPr>
        <w:t>כל</w:t>
      </w:r>
      <w:r>
        <w:rPr>
          <w:rtl/>
        </w:rPr>
        <w:t xml:space="preserve"> </w:t>
      </w:r>
      <w:r>
        <w:rPr>
          <w:rFonts w:hint="eastAsia"/>
          <w:rtl/>
        </w:rPr>
        <w:t>הקהל</w:t>
      </w:r>
      <w:r>
        <w:rPr>
          <w:rtl/>
        </w:rPr>
        <w:t xml:space="preserve"> </w:t>
      </w:r>
      <w:r>
        <w:rPr>
          <w:rFonts w:hint="eastAsia"/>
          <w:rtl/>
        </w:rPr>
        <w:t>שומעין</w:t>
      </w:r>
      <w:r>
        <w:rPr>
          <w:rtl/>
        </w:rPr>
        <w:t xml:space="preserve"> </w:t>
      </w:r>
      <w:r>
        <w:rPr>
          <w:rFonts w:hint="eastAsia"/>
          <w:rtl/>
        </w:rPr>
        <w:t>את</w:t>
      </w:r>
      <w:r>
        <w:rPr>
          <w:rtl/>
        </w:rPr>
        <w:t xml:space="preserve"> </w:t>
      </w:r>
      <w:r>
        <w:rPr>
          <w:rFonts w:hint="eastAsia"/>
          <w:rtl/>
        </w:rPr>
        <w:t>דיבורו</w:t>
      </w:r>
      <w:r>
        <w:rPr>
          <w:rtl/>
        </w:rPr>
        <w:t xml:space="preserve">, </w:t>
      </w:r>
      <w:r>
        <w:rPr>
          <w:rFonts w:hint="eastAsia"/>
          <w:rtl/>
        </w:rPr>
        <w:t>וזהו</w:t>
      </w:r>
      <w:r>
        <w:rPr>
          <w:rtl/>
        </w:rPr>
        <w:t xml:space="preserve"> </w:t>
      </w:r>
      <w:r>
        <w:rPr>
          <w:rFonts w:hint="eastAsia"/>
          <w:rtl/>
        </w:rPr>
        <w:t>דדרשינן</w:t>
      </w:r>
      <w:r>
        <w:rPr>
          <w:rtl/>
        </w:rPr>
        <w:t xml:space="preserve"> </w:t>
      </w:r>
      <w:r>
        <w:rPr>
          <w:rFonts w:hint="eastAsia"/>
          <w:rtl/>
        </w:rPr>
        <w:t>בסוטה</w:t>
      </w:r>
      <w:r>
        <w:rPr>
          <w:rtl/>
        </w:rPr>
        <w:t xml:space="preserve"> </w:t>
      </w:r>
      <w:r>
        <w:rPr>
          <w:rFonts w:hint="eastAsia"/>
          <w:rtl/>
        </w:rPr>
        <w:t>לח</w:t>
      </w:r>
      <w:r>
        <w:rPr>
          <w:rtl/>
        </w:rPr>
        <w:t>,</w:t>
      </w:r>
      <w:r>
        <w:rPr>
          <w:rFonts w:hint="eastAsia"/>
          <w:rtl/>
        </w:rPr>
        <w:t>ב</w:t>
      </w:r>
      <w:r>
        <w:rPr>
          <w:rtl/>
        </w:rPr>
        <w:t xml:space="preserve">, </w:t>
      </w:r>
      <w:r>
        <w:rPr>
          <w:rFonts w:hint="eastAsia"/>
          <w:rtl/>
        </w:rPr>
        <w:t>אמר</w:t>
      </w:r>
      <w:r>
        <w:rPr>
          <w:rtl/>
        </w:rPr>
        <w:t xml:space="preserve"> </w:t>
      </w:r>
      <w:r>
        <w:rPr>
          <w:rFonts w:hint="eastAsia"/>
          <w:rtl/>
        </w:rPr>
        <w:t>להם</w:t>
      </w:r>
      <w:r>
        <w:rPr>
          <w:rtl/>
        </w:rPr>
        <w:t xml:space="preserve"> </w:t>
      </w:r>
      <w:r>
        <w:rPr>
          <w:rFonts w:hint="eastAsia"/>
          <w:rtl/>
        </w:rPr>
        <w:t>כאדם</w:t>
      </w:r>
      <w:r>
        <w:rPr>
          <w:rtl/>
        </w:rPr>
        <w:t xml:space="preserve"> </w:t>
      </w:r>
      <w:r>
        <w:rPr>
          <w:rFonts w:hint="eastAsia"/>
          <w:rtl/>
        </w:rPr>
        <w:t>שאומר</w:t>
      </w:r>
      <w:r>
        <w:rPr>
          <w:rtl/>
        </w:rPr>
        <w:t xml:space="preserve"> </w:t>
      </w:r>
      <w:r>
        <w:rPr>
          <w:rFonts w:hint="eastAsia"/>
          <w:rtl/>
        </w:rPr>
        <w:t>לחבירו</w:t>
      </w:r>
      <w:r>
        <w:rPr>
          <w:rtl/>
        </w:rPr>
        <w:t xml:space="preserve"> </w:t>
      </w:r>
      <w:r>
        <w:rPr>
          <w:rFonts w:hint="eastAsia"/>
          <w:rtl/>
        </w:rPr>
        <w:t>וכו</w:t>
      </w:r>
      <w:r>
        <w:rPr>
          <w:rtl/>
        </w:rPr>
        <w:t xml:space="preserve">' </w:t>
      </w:r>
      <w:r>
        <w:rPr>
          <w:rFonts w:hint="eastAsia"/>
          <w:rtl/>
        </w:rPr>
        <w:t>וא</w:t>
      </w:r>
      <w:r>
        <w:rPr>
          <w:rtl/>
        </w:rPr>
        <w:t>"</w:t>
      </w:r>
      <w:r>
        <w:rPr>
          <w:rFonts w:hint="eastAsia"/>
          <w:rtl/>
        </w:rPr>
        <w:t>כ</w:t>
      </w:r>
      <w:r>
        <w:rPr>
          <w:rtl/>
        </w:rPr>
        <w:t xml:space="preserve"> </w:t>
      </w:r>
      <w:r>
        <w:rPr>
          <w:rFonts w:hint="eastAsia"/>
          <w:rtl/>
        </w:rPr>
        <w:t>נהי</w:t>
      </w:r>
      <w:r>
        <w:rPr>
          <w:rtl/>
        </w:rPr>
        <w:t xml:space="preserve"> </w:t>
      </w:r>
      <w:r>
        <w:rPr>
          <w:rFonts w:hint="eastAsia"/>
          <w:rtl/>
        </w:rPr>
        <w:t>דמתיחס</w:t>
      </w:r>
      <w:r>
        <w:rPr>
          <w:rtl/>
        </w:rPr>
        <w:t xml:space="preserve"> </w:t>
      </w:r>
      <w:r>
        <w:rPr>
          <w:rFonts w:hint="eastAsia"/>
          <w:rtl/>
        </w:rPr>
        <w:t>הדיבור</w:t>
      </w:r>
      <w:r>
        <w:rPr>
          <w:rtl/>
        </w:rPr>
        <w:t xml:space="preserve"> </w:t>
      </w:r>
      <w:r>
        <w:rPr>
          <w:rFonts w:hint="eastAsia"/>
          <w:rtl/>
        </w:rPr>
        <w:t>אל</w:t>
      </w:r>
      <w:r>
        <w:rPr>
          <w:rtl/>
        </w:rPr>
        <w:t xml:space="preserve"> </w:t>
      </w:r>
      <w:r>
        <w:rPr>
          <w:rFonts w:hint="eastAsia"/>
          <w:rtl/>
        </w:rPr>
        <w:t>השומע</w:t>
      </w:r>
      <w:r>
        <w:rPr>
          <w:rtl/>
        </w:rPr>
        <w:t xml:space="preserve"> </w:t>
      </w:r>
      <w:r>
        <w:rPr>
          <w:rFonts w:hint="eastAsia"/>
          <w:rtl/>
        </w:rPr>
        <w:t>והוה</w:t>
      </w:r>
      <w:r>
        <w:rPr>
          <w:rtl/>
        </w:rPr>
        <w:t xml:space="preserve"> </w:t>
      </w:r>
      <w:r>
        <w:rPr>
          <w:rFonts w:hint="eastAsia"/>
          <w:rtl/>
        </w:rPr>
        <w:t>כמדבר</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מ</w:t>
      </w:r>
      <w:r>
        <w:rPr>
          <w:rtl/>
        </w:rPr>
        <w:t>"</w:t>
      </w:r>
      <w:r>
        <w:rPr>
          <w:rFonts w:hint="eastAsia"/>
          <w:rtl/>
        </w:rPr>
        <w:t>מ</w:t>
      </w:r>
      <w:r>
        <w:rPr>
          <w:rtl/>
        </w:rPr>
        <w:t xml:space="preserve"> </w:t>
      </w:r>
      <w:r>
        <w:rPr>
          <w:rFonts w:hint="eastAsia"/>
          <w:rtl/>
        </w:rPr>
        <w:t>הרי</w:t>
      </w:r>
      <w:r>
        <w:rPr>
          <w:rtl/>
        </w:rPr>
        <w:t xml:space="preserve"> </w:t>
      </w:r>
      <w:r>
        <w:rPr>
          <w:rFonts w:hint="eastAsia"/>
          <w:rtl/>
        </w:rPr>
        <w:t>אינם</w:t>
      </w:r>
      <w:r>
        <w:rPr>
          <w:rtl/>
        </w:rPr>
        <w:t xml:space="preserve"> </w:t>
      </w:r>
      <w:r>
        <w:rPr>
          <w:rFonts w:hint="eastAsia"/>
          <w:rtl/>
        </w:rPr>
        <w:t>שומעים</w:t>
      </w:r>
      <w:r>
        <w:rPr>
          <w:rtl/>
        </w:rPr>
        <w:t xml:space="preserve"> </w:t>
      </w:r>
      <w:r>
        <w:rPr>
          <w:rFonts w:hint="eastAsia"/>
          <w:rtl/>
        </w:rPr>
        <w:t>את</w:t>
      </w:r>
      <w:r>
        <w:rPr>
          <w:rtl/>
        </w:rPr>
        <w:t xml:space="preserve"> </w:t>
      </w:r>
      <w:r>
        <w:rPr>
          <w:rFonts w:hint="eastAsia"/>
          <w:rtl/>
        </w:rPr>
        <w:t>דיבורו</w:t>
      </w:r>
      <w:r>
        <w:rPr>
          <w:rtl/>
        </w:rPr>
        <w:t xml:space="preserve"> </w:t>
      </w:r>
      <w:r>
        <w:rPr>
          <w:rFonts w:hint="eastAsia"/>
          <w:rtl/>
        </w:rPr>
        <w:t>של</w:t>
      </w:r>
      <w:r>
        <w:rPr>
          <w:rtl/>
        </w:rPr>
        <w:t xml:space="preserve"> </w:t>
      </w:r>
      <w:r>
        <w:rPr>
          <w:rFonts w:hint="eastAsia"/>
          <w:rtl/>
        </w:rPr>
        <w:t>השומע</w:t>
      </w:r>
      <w:r>
        <w:rPr>
          <w:rtl/>
        </w:rPr>
        <w:t xml:space="preserve">, </w:t>
      </w:r>
      <w:r>
        <w:rPr>
          <w:rFonts w:hint="eastAsia"/>
          <w:rtl/>
        </w:rPr>
        <w:t>ולזה</w:t>
      </w:r>
      <w:r>
        <w:rPr>
          <w:rtl/>
        </w:rPr>
        <w:t xml:space="preserve"> </w:t>
      </w:r>
      <w:r>
        <w:rPr>
          <w:rFonts w:hint="eastAsia"/>
          <w:rtl/>
        </w:rPr>
        <w:t>לא</w:t>
      </w:r>
      <w:r>
        <w:rPr>
          <w:rtl/>
        </w:rPr>
        <w:t xml:space="preserve"> </w:t>
      </w:r>
      <w:r>
        <w:rPr>
          <w:rFonts w:hint="eastAsia"/>
          <w:rtl/>
        </w:rPr>
        <w:t>מהני</w:t>
      </w:r>
      <w:r>
        <w:rPr>
          <w:rtl/>
        </w:rPr>
        <w:t xml:space="preserve"> </w:t>
      </w:r>
      <w:r>
        <w:rPr>
          <w:rFonts w:hint="eastAsia"/>
          <w:rtl/>
        </w:rPr>
        <w:t>כאן</w:t>
      </w:r>
      <w:r>
        <w:rPr>
          <w:rtl/>
        </w:rPr>
        <w:t xml:space="preserve"> </w:t>
      </w:r>
      <w:r>
        <w:rPr>
          <w:rFonts w:hint="eastAsia"/>
          <w:rtl/>
        </w:rPr>
        <w:t>שומע</w:t>
      </w:r>
      <w:r>
        <w:rPr>
          <w:rtl/>
        </w:rPr>
        <w:t xml:space="preserve"> </w:t>
      </w:r>
      <w:r>
        <w:rPr>
          <w:rFonts w:hint="eastAsia"/>
          <w:rtl/>
        </w:rPr>
        <w:t>עונה</w:t>
      </w:r>
      <w:r>
        <w:rPr>
          <w:rtl/>
        </w:rPr>
        <w:t xml:space="preserve"> </w:t>
      </w:r>
      <w:r>
        <w:rPr>
          <w:rFonts w:hint="eastAsia"/>
          <w:rtl/>
        </w:rPr>
        <w:t>וזהו</w:t>
      </w:r>
      <w:r>
        <w:rPr>
          <w:rtl/>
        </w:rPr>
        <w:t xml:space="preserve"> </w:t>
      </w:r>
      <w:r>
        <w:rPr>
          <w:rFonts w:hint="eastAsia"/>
          <w:rtl/>
        </w:rPr>
        <w:t>כוונת</w:t>
      </w:r>
      <w:r>
        <w:rPr>
          <w:rtl/>
        </w:rPr>
        <w:t xml:space="preserve"> </w:t>
      </w:r>
      <w:r>
        <w:rPr>
          <w:rFonts w:hint="eastAsia"/>
          <w:rtl/>
        </w:rPr>
        <w:t>בית</w:t>
      </w:r>
      <w:r>
        <w:rPr>
          <w:rtl/>
        </w:rPr>
        <w:t xml:space="preserve"> </w:t>
      </w:r>
      <w:r>
        <w:rPr>
          <w:rFonts w:hint="eastAsia"/>
          <w:rtl/>
        </w:rPr>
        <w:t>הלוי</w:t>
      </w:r>
      <w:r>
        <w:rPr>
          <w:rtl/>
        </w:rPr>
        <w:t xml:space="preserve">. </w:t>
      </w:r>
      <w:r>
        <w:rPr>
          <w:rFonts w:hint="eastAsia"/>
          <w:rtl/>
        </w:rPr>
        <w:t>ועי</w:t>
      </w:r>
      <w:r>
        <w:rPr>
          <w:rtl/>
        </w:rPr>
        <w:t xml:space="preserve">' </w:t>
      </w:r>
      <w:r>
        <w:rPr>
          <w:rFonts w:hint="eastAsia"/>
          <w:rtl/>
        </w:rPr>
        <w:t>גם</w:t>
      </w:r>
      <w:r>
        <w:rPr>
          <w:rtl/>
        </w:rPr>
        <w:t xml:space="preserve"> </w:t>
      </w:r>
      <w:r>
        <w:rPr>
          <w:rFonts w:hint="eastAsia"/>
          <w:rtl/>
        </w:rPr>
        <w:t>בס</w:t>
      </w:r>
      <w:r>
        <w:rPr>
          <w:rtl/>
        </w:rPr>
        <w:t xml:space="preserve">' </w:t>
      </w:r>
      <w:r>
        <w:rPr>
          <w:rFonts w:hint="eastAsia"/>
          <w:rtl/>
        </w:rPr>
        <w:t>הליכות</w:t>
      </w:r>
      <w:r>
        <w:rPr>
          <w:rtl/>
        </w:rPr>
        <w:t xml:space="preserve"> </w:t>
      </w:r>
      <w:r>
        <w:rPr>
          <w:rFonts w:hint="eastAsia"/>
          <w:rtl/>
        </w:rPr>
        <w:t>הגר</w:t>
      </w:r>
      <w:r>
        <w:rPr>
          <w:rtl/>
        </w:rPr>
        <w:t>"</w:t>
      </w:r>
      <w:r>
        <w:rPr>
          <w:rFonts w:hint="eastAsia"/>
          <w:rtl/>
        </w:rPr>
        <w:t>ח</w:t>
      </w:r>
      <w:r>
        <w:rPr>
          <w:rtl/>
        </w:rPr>
        <w:t xml:space="preserve"> </w:t>
      </w:r>
      <w:r>
        <w:rPr>
          <w:rFonts w:hint="eastAsia"/>
          <w:rtl/>
        </w:rPr>
        <w:t>ע</w:t>
      </w:r>
      <w:r>
        <w:rPr>
          <w:rtl/>
        </w:rPr>
        <w:t xml:space="preserve">' </w:t>
      </w:r>
      <w:r>
        <w:rPr>
          <w:rFonts w:hint="eastAsia"/>
          <w:rtl/>
        </w:rPr>
        <w:t>כ</w:t>
      </w:r>
      <w:r>
        <w:rPr>
          <w:rtl/>
        </w:rPr>
        <w:t>"</w:t>
      </w:r>
      <w:r>
        <w:rPr>
          <w:rFonts w:hint="eastAsia"/>
          <w:rtl/>
        </w:rPr>
        <w:t>ג</w:t>
      </w:r>
      <w:r>
        <w:rPr>
          <w:rtl/>
        </w:rPr>
        <w:t xml:space="preserve"> </w:t>
      </w:r>
      <w:r>
        <w:rPr>
          <w:rFonts w:hint="eastAsia"/>
          <w:rtl/>
        </w:rPr>
        <w:t>שהביא</w:t>
      </w:r>
      <w:r>
        <w:rPr>
          <w:rtl/>
        </w:rPr>
        <w:t xml:space="preserve"> </w:t>
      </w:r>
      <w:r>
        <w:rPr>
          <w:rFonts w:hint="eastAsia"/>
          <w:rtl/>
        </w:rPr>
        <w:t>תירוץ</w:t>
      </w:r>
      <w:r>
        <w:rPr>
          <w:rtl/>
        </w:rPr>
        <w:t xml:space="preserve"> </w:t>
      </w:r>
      <w:r>
        <w:rPr>
          <w:rFonts w:hint="eastAsia"/>
          <w:rtl/>
        </w:rPr>
        <w:t>זה</w:t>
      </w:r>
      <w:r>
        <w:rPr>
          <w:rtl/>
        </w:rPr>
        <w:t xml:space="preserve"> </w:t>
      </w:r>
      <w:r>
        <w:rPr>
          <w:rFonts w:hint="eastAsia"/>
          <w:rtl/>
        </w:rPr>
        <w:t>בשם</w:t>
      </w:r>
      <w:r>
        <w:rPr>
          <w:rtl/>
        </w:rPr>
        <w:t xml:space="preserve"> </w:t>
      </w:r>
      <w:r>
        <w:rPr>
          <w:rFonts w:hint="eastAsia"/>
          <w:rtl/>
        </w:rPr>
        <w:t>הגר</w:t>
      </w:r>
      <w:r>
        <w:rPr>
          <w:rtl/>
        </w:rPr>
        <w:t>"</w:t>
      </w:r>
      <w:r>
        <w:rPr>
          <w:rFonts w:hint="eastAsia"/>
          <w:rtl/>
        </w:rPr>
        <w:t>ח</w:t>
      </w:r>
      <w:r>
        <w:rPr>
          <w:rtl/>
        </w:rPr>
        <w:t xml:space="preserve"> </w:t>
      </w:r>
      <w:r>
        <w:rPr>
          <w:rFonts w:hint="eastAsia"/>
          <w:rtl/>
        </w:rPr>
        <w:t>כנ</w:t>
      </w:r>
      <w:r>
        <w:rPr>
          <w:rtl/>
        </w:rPr>
        <w:t>"</w:t>
      </w:r>
      <w:r>
        <w:rPr>
          <w:rFonts w:hint="eastAsia"/>
          <w:rtl/>
        </w:rPr>
        <w:t>ל</w:t>
      </w:r>
      <w:r>
        <w:rPr>
          <w:rtl/>
        </w:rPr>
        <w:t xml:space="preserve"> </w:t>
      </w:r>
      <w:r>
        <w:rPr>
          <w:rFonts w:hint="eastAsia"/>
          <w:rtl/>
        </w:rPr>
        <w:t>דאף</w:t>
      </w:r>
      <w:r>
        <w:rPr>
          <w:rtl/>
        </w:rPr>
        <w:t xml:space="preserve"> </w:t>
      </w:r>
      <w:r>
        <w:rPr>
          <w:rFonts w:hint="eastAsia"/>
          <w:rtl/>
        </w:rPr>
        <w:t>דלגבי</w:t>
      </w:r>
      <w:r>
        <w:rPr>
          <w:rtl/>
        </w:rPr>
        <w:t xml:space="preserve"> </w:t>
      </w:r>
      <w:r>
        <w:rPr>
          <w:rFonts w:hint="eastAsia"/>
          <w:rtl/>
        </w:rPr>
        <w:t>הכהן</w:t>
      </w:r>
      <w:r>
        <w:rPr>
          <w:rtl/>
        </w:rPr>
        <w:t xml:space="preserve"> </w:t>
      </w:r>
      <w:r>
        <w:rPr>
          <w:rFonts w:hint="eastAsia"/>
          <w:rtl/>
        </w:rPr>
        <w:t>השומע</w:t>
      </w:r>
      <w:r>
        <w:rPr>
          <w:rtl/>
        </w:rPr>
        <w:t xml:space="preserve"> </w:t>
      </w:r>
      <w:r>
        <w:rPr>
          <w:rFonts w:hint="eastAsia"/>
          <w:rtl/>
        </w:rPr>
        <w:t>נחשב</w:t>
      </w:r>
      <w:r>
        <w:rPr>
          <w:rtl/>
        </w:rPr>
        <w:t xml:space="preserve"> </w:t>
      </w:r>
      <w:r>
        <w:rPr>
          <w:rFonts w:hint="eastAsia"/>
          <w:rtl/>
        </w:rPr>
        <w:t>כאילו</w:t>
      </w:r>
      <w:r>
        <w:rPr>
          <w:rtl/>
        </w:rPr>
        <w:t xml:space="preserve"> </w:t>
      </w:r>
      <w:r>
        <w:rPr>
          <w:rFonts w:hint="eastAsia"/>
          <w:rtl/>
        </w:rPr>
        <w:t>ענה</w:t>
      </w:r>
      <w:r>
        <w:rPr>
          <w:rtl/>
        </w:rPr>
        <w:t xml:space="preserve"> </w:t>
      </w:r>
      <w:r>
        <w:rPr>
          <w:rFonts w:hint="eastAsia"/>
          <w:rtl/>
        </w:rPr>
        <w:t>והוה</w:t>
      </w:r>
      <w:r>
        <w:rPr>
          <w:rtl/>
        </w:rPr>
        <w:t xml:space="preserve"> </w:t>
      </w:r>
      <w:r>
        <w:rPr>
          <w:rFonts w:hint="eastAsia"/>
          <w:rtl/>
        </w:rPr>
        <w:t>כמדבר</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מ</w:t>
      </w:r>
      <w:r>
        <w:rPr>
          <w:rtl/>
        </w:rPr>
        <w:t>"</w:t>
      </w:r>
      <w:r>
        <w:rPr>
          <w:rFonts w:hint="eastAsia"/>
          <w:rtl/>
        </w:rPr>
        <w:t>מ</w:t>
      </w:r>
      <w:r>
        <w:rPr>
          <w:rtl/>
        </w:rPr>
        <w:t xml:space="preserve"> </w:t>
      </w:r>
      <w:r>
        <w:rPr>
          <w:rFonts w:hint="eastAsia"/>
          <w:rtl/>
        </w:rPr>
        <w:t>סוף</w:t>
      </w:r>
      <w:r>
        <w:rPr>
          <w:rtl/>
        </w:rPr>
        <w:t xml:space="preserve"> </w:t>
      </w:r>
      <w:r>
        <w:rPr>
          <w:rFonts w:hint="eastAsia"/>
          <w:rtl/>
        </w:rPr>
        <w:t>סוף</w:t>
      </w:r>
      <w:r>
        <w:rPr>
          <w:rtl/>
        </w:rPr>
        <w:t xml:space="preserve"> </w:t>
      </w:r>
      <w:r>
        <w:rPr>
          <w:rFonts w:hint="eastAsia"/>
          <w:rtl/>
        </w:rPr>
        <w:t>הרי</w:t>
      </w:r>
      <w:r>
        <w:rPr>
          <w:rtl/>
        </w:rPr>
        <w:t xml:space="preserve"> </w:t>
      </w:r>
      <w:r>
        <w:rPr>
          <w:rFonts w:hint="eastAsia"/>
          <w:rtl/>
        </w:rPr>
        <w:t>הציבור</w:t>
      </w:r>
      <w:r>
        <w:rPr>
          <w:rtl/>
        </w:rPr>
        <w:t xml:space="preserve"> </w:t>
      </w:r>
      <w:r>
        <w:rPr>
          <w:rFonts w:hint="eastAsia"/>
          <w:rtl/>
        </w:rPr>
        <w:t>אין</w:t>
      </w:r>
      <w:r>
        <w:rPr>
          <w:rtl/>
        </w:rPr>
        <w:t xml:space="preserve"> </w:t>
      </w:r>
      <w:r>
        <w:rPr>
          <w:rFonts w:hint="eastAsia"/>
          <w:rtl/>
        </w:rPr>
        <w:t>שומעין</w:t>
      </w:r>
      <w:r>
        <w:rPr>
          <w:rtl/>
        </w:rPr>
        <w:t xml:space="preserve"> </w:t>
      </w:r>
      <w:r>
        <w:rPr>
          <w:rFonts w:hint="eastAsia"/>
          <w:rtl/>
        </w:rPr>
        <w:t>את</w:t>
      </w:r>
      <w:r>
        <w:rPr>
          <w:rtl/>
        </w:rPr>
        <w:t xml:space="preserve"> </w:t>
      </w:r>
      <w:r>
        <w:rPr>
          <w:rFonts w:hint="eastAsia"/>
          <w:rtl/>
        </w:rPr>
        <w:t>דיבורו</w:t>
      </w:r>
      <w:r>
        <w:rPr>
          <w:rtl/>
        </w:rPr>
        <w:t xml:space="preserve">, </w:t>
      </w:r>
      <w:r>
        <w:rPr>
          <w:rFonts w:hint="eastAsia"/>
          <w:rtl/>
        </w:rPr>
        <w:t>ובברכת</w:t>
      </w:r>
      <w:r>
        <w:rPr>
          <w:rtl/>
        </w:rPr>
        <w:t xml:space="preserve"> </w:t>
      </w:r>
      <w:r>
        <w:rPr>
          <w:rFonts w:hint="eastAsia"/>
          <w:rtl/>
        </w:rPr>
        <w:t>כהנים</w:t>
      </w:r>
      <w:r>
        <w:rPr>
          <w:rtl/>
        </w:rPr>
        <w:t xml:space="preserve"> </w:t>
      </w:r>
      <w:r>
        <w:rPr>
          <w:rFonts w:hint="eastAsia"/>
          <w:rtl/>
        </w:rPr>
        <w:t>צריך</w:t>
      </w:r>
      <w:r>
        <w:rPr>
          <w:rtl/>
        </w:rPr>
        <w:t xml:space="preserve"> </w:t>
      </w:r>
      <w:r>
        <w:rPr>
          <w:rFonts w:hint="eastAsia"/>
          <w:rtl/>
        </w:rPr>
        <w:t>שהעם</w:t>
      </w:r>
      <w:r>
        <w:rPr>
          <w:rtl/>
        </w:rPr>
        <w:t xml:space="preserve"> </w:t>
      </w:r>
      <w:r>
        <w:rPr>
          <w:rFonts w:hint="eastAsia"/>
          <w:rtl/>
        </w:rPr>
        <w:t>ישמעו</w:t>
      </w:r>
      <w:r>
        <w:rPr>
          <w:rtl/>
        </w:rPr>
        <w:t xml:space="preserve"> </w:t>
      </w:r>
      <w:r>
        <w:rPr>
          <w:rFonts w:hint="eastAsia"/>
          <w:rtl/>
        </w:rPr>
        <w:t>את</w:t>
      </w:r>
      <w:r>
        <w:rPr>
          <w:rtl/>
        </w:rPr>
        <w:t xml:space="preserve"> </w:t>
      </w:r>
      <w:r>
        <w:rPr>
          <w:rFonts w:hint="eastAsia"/>
          <w:rtl/>
        </w:rPr>
        <w:t>דיבורו</w:t>
      </w:r>
      <w:r>
        <w:rPr>
          <w:rtl/>
        </w:rPr>
        <w:t>.</w:t>
      </w:r>
    </w:p>
    <w:p w14:paraId="19864567" w14:textId="77777777" w:rsidR="00657259" w:rsidRDefault="00657259" w:rsidP="00E60D97">
      <w:pPr>
        <w:pStyle w:val="a3"/>
        <w:rPr>
          <w:rtl/>
        </w:rPr>
      </w:pPr>
      <w:r>
        <w:rPr>
          <w:rFonts w:hint="eastAsia"/>
          <w:rtl/>
        </w:rPr>
        <w:t>ולפי</w:t>
      </w:r>
      <w:r>
        <w:rPr>
          <w:rtl/>
        </w:rPr>
        <w:t>"</w:t>
      </w:r>
      <w:r>
        <w:rPr>
          <w:rFonts w:hint="eastAsia"/>
          <w:rtl/>
        </w:rPr>
        <w:t>ז</w:t>
      </w:r>
      <w:r>
        <w:rPr>
          <w:rtl/>
        </w:rPr>
        <w:t xml:space="preserve"> </w:t>
      </w:r>
      <w:r>
        <w:rPr>
          <w:rFonts w:hint="eastAsia"/>
          <w:rtl/>
        </w:rPr>
        <w:t>ממשיך</w:t>
      </w:r>
      <w:r>
        <w:rPr>
          <w:rtl/>
        </w:rPr>
        <w:t xml:space="preserve"> </w:t>
      </w:r>
      <w:r>
        <w:rPr>
          <w:rFonts w:hint="eastAsia"/>
          <w:rtl/>
        </w:rPr>
        <w:t>בעמק</w:t>
      </w:r>
      <w:r>
        <w:rPr>
          <w:rtl/>
        </w:rPr>
        <w:t xml:space="preserve"> </w:t>
      </w:r>
      <w:r>
        <w:rPr>
          <w:rFonts w:hint="eastAsia"/>
          <w:rtl/>
        </w:rPr>
        <w:t>ברכה</w:t>
      </w:r>
      <w:r>
        <w:rPr>
          <w:rtl/>
        </w:rPr>
        <w:t xml:space="preserve"> </w:t>
      </w:r>
      <w:r>
        <w:rPr>
          <w:rFonts w:hint="eastAsia"/>
          <w:rtl/>
        </w:rPr>
        <w:t>שם</w:t>
      </w:r>
      <w:r>
        <w:rPr>
          <w:rtl/>
        </w:rPr>
        <w:t xml:space="preserve"> </w:t>
      </w:r>
      <w:r>
        <w:rPr>
          <w:rFonts w:hint="eastAsia"/>
          <w:rtl/>
        </w:rPr>
        <w:t>לתרץ</w:t>
      </w:r>
      <w:r>
        <w:rPr>
          <w:rtl/>
        </w:rPr>
        <w:t xml:space="preserve"> </w:t>
      </w:r>
      <w:r>
        <w:rPr>
          <w:rFonts w:hint="eastAsia"/>
          <w:rtl/>
        </w:rPr>
        <w:t>קושיית</w:t>
      </w:r>
      <w:r>
        <w:rPr>
          <w:rtl/>
        </w:rPr>
        <w:t xml:space="preserve"> </w:t>
      </w:r>
      <w:r>
        <w:rPr>
          <w:rFonts w:hint="eastAsia"/>
          <w:rtl/>
        </w:rPr>
        <w:t>הביאור</w:t>
      </w:r>
      <w:r>
        <w:rPr>
          <w:rtl/>
        </w:rPr>
        <w:t xml:space="preserve"> </w:t>
      </w:r>
      <w:r>
        <w:rPr>
          <w:rFonts w:hint="eastAsia"/>
          <w:rtl/>
        </w:rPr>
        <w:t>הלכה</w:t>
      </w:r>
      <w:r>
        <w:rPr>
          <w:rtl/>
        </w:rPr>
        <w:t xml:space="preserve"> </w:t>
      </w:r>
      <w:r>
        <w:rPr>
          <w:rFonts w:hint="eastAsia"/>
          <w:rtl/>
        </w:rPr>
        <w:t>ברמב</w:t>
      </w:r>
      <w:r>
        <w:rPr>
          <w:rtl/>
        </w:rPr>
        <w:t>"</w:t>
      </w:r>
      <w:r>
        <w:rPr>
          <w:rFonts w:hint="eastAsia"/>
          <w:rtl/>
        </w:rPr>
        <w:t>ם</w:t>
      </w:r>
      <w:r>
        <w:rPr>
          <w:rtl/>
        </w:rPr>
        <w:t xml:space="preserve"> </w:t>
      </w:r>
      <w:r>
        <w:rPr>
          <w:rFonts w:hint="eastAsia"/>
          <w:rtl/>
        </w:rPr>
        <w:t>דלמה</w:t>
      </w:r>
      <w:r>
        <w:rPr>
          <w:rtl/>
        </w:rPr>
        <w:t xml:space="preserve"> </w:t>
      </w:r>
      <w:r>
        <w:rPr>
          <w:rFonts w:hint="eastAsia"/>
          <w:rtl/>
        </w:rPr>
        <w:t>עובר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כשמברך</w:t>
      </w:r>
      <w:r>
        <w:rPr>
          <w:rtl/>
        </w:rPr>
        <w:t xml:space="preserve"> </w:t>
      </w:r>
      <w:r>
        <w:rPr>
          <w:rFonts w:hint="eastAsia"/>
          <w:rtl/>
        </w:rPr>
        <w:t>בלחש</w:t>
      </w:r>
      <w:r>
        <w:rPr>
          <w:rtl/>
        </w:rPr>
        <w:t xml:space="preserve">? </w:t>
      </w:r>
      <w:r>
        <w:rPr>
          <w:rFonts w:hint="eastAsia"/>
          <w:rtl/>
        </w:rPr>
        <w:t>דלהנ</w:t>
      </w:r>
      <w:r>
        <w:rPr>
          <w:rtl/>
        </w:rPr>
        <w:t>"</w:t>
      </w:r>
      <w:r>
        <w:rPr>
          <w:rFonts w:hint="eastAsia"/>
          <w:rtl/>
        </w:rPr>
        <w:t>ל</w:t>
      </w:r>
      <w:r>
        <w:rPr>
          <w:rtl/>
        </w:rPr>
        <w:t xml:space="preserve"> </w:t>
      </w:r>
      <w:r>
        <w:rPr>
          <w:rFonts w:hint="eastAsia"/>
          <w:rtl/>
        </w:rPr>
        <w:t>ניחא</w:t>
      </w:r>
      <w:r>
        <w:rPr>
          <w:rtl/>
        </w:rPr>
        <w:t xml:space="preserve"> </w:t>
      </w:r>
      <w:r>
        <w:rPr>
          <w:rFonts w:hint="eastAsia"/>
          <w:rtl/>
        </w:rPr>
        <w:t>דנהי</w:t>
      </w:r>
      <w:r>
        <w:rPr>
          <w:rtl/>
        </w:rPr>
        <w:t xml:space="preserve"> </w:t>
      </w:r>
      <w:r>
        <w:rPr>
          <w:rFonts w:hint="eastAsia"/>
          <w:rtl/>
        </w:rPr>
        <w:t>דכל</w:t>
      </w:r>
      <w:r>
        <w:rPr>
          <w:rtl/>
        </w:rPr>
        <w:t xml:space="preserve"> </w:t>
      </w:r>
      <w:r>
        <w:rPr>
          <w:rFonts w:hint="eastAsia"/>
          <w:rtl/>
        </w:rPr>
        <w:t>הדברים</w:t>
      </w:r>
      <w:r>
        <w:rPr>
          <w:rtl/>
        </w:rPr>
        <w:t xml:space="preserve"> </w:t>
      </w:r>
      <w:r>
        <w:rPr>
          <w:rFonts w:hint="eastAsia"/>
          <w:rtl/>
        </w:rPr>
        <w:t>שנאמרו</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הם</w:t>
      </w:r>
      <w:r>
        <w:rPr>
          <w:rtl/>
        </w:rPr>
        <w:t xml:space="preserve"> </w:t>
      </w:r>
      <w:r>
        <w:rPr>
          <w:rFonts w:hint="eastAsia"/>
          <w:rtl/>
        </w:rPr>
        <w:t>מעכבים</w:t>
      </w:r>
      <w:r>
        <w:rPr>
          <w:rtl/>
        </w:rPr>
        <w:t xml:space="preserve">, </w:t>
      </w:r>
      <w:r>
        <w:rPr>
          <w:rFonts w:hint="eastAsia"/>
          <w:rtl/>
        </w:rPr>
        <w:t>היינו</w:t>
      </w:r>
      <w:r>
        <w:rPr>
          <w:rtl/>
        </w:rPr>
        <w:t xml:space="preserve"> </w:t>
      </w:r>
      <w:r>
        <w:rPr>
          <w:rFonts w:hint="eastAsia"/>
          <w:rtl/>
        </w:rPr>
        <w:t>דוקא</w:t>
      </w:r>
      <w:r>
        <w:rPr>
          <w:rtl/>
        </w:rPr>
        <w:t xml:space="preserve"> </w:t>
      </w:r>
      <w:r>
        <w:rPr>
          <w:rFonts w:hint="eastAsia"/>
          <w:rtl/>
        </w:rPr>
        <w:t>דברים</w:t>
      </w:r>
      <w:r>
        <w:rPr>
          <w:rtl/>
        </w:rPr>
        <w:t xml:space="preserve"> </w:t>
      </w:r>
      <w:r>
        <w:rPr>
          <w:rFonts w:hint="eastAsia"/>
          <w:rtl/>
        </w:rPr>
        <w:t>שהם</w:t>
      </w:r>
      <w:r>
        <w:rPr>
          <w:rtl/>
        </w:rPr>
        <w:t xml:space="preserve"> </w:t>
      </w:r>
      <w:r>
        <w:rPr>
          <w:rFonts w:hint="eastAsia"/>
          <w:rtl/>
        </w:rPr>
        <w:t>תנאים</w:t>
      </w:r>
      <w:r>
        <w:rPr>
          <w:rtl/>
        </w:rPr>
        <w:t xml:space="preserve"> </w:t>
      </w:r>
      <w:r>
        <w:rPr>
          <w:rFonts w:hint="eastAsia"/>
          <w:rtl/>
        </w:rPr>
        <w:t>בגוף</w:t>
      </w:r>
      <w:r>
        <w:rPr>
          <w:rtl/>
        </w:rPr>
        <w:t xml:space="preserve"> </w:t>
      </w:r>
      <w:r>
        <w:rPr>
          <w:rFonts w:hint="eastAsia"/>
          <w:rtl/>
        </w:rPr>
        <w:t>הנשיאות</w:t>
      </w:r>
      <w:r>
        <w:rPr>
          <w:rtl/>
        </w:rPr>
        <w:t xml:space="preserve"> </w:t>
      </w:r>
      <w:r>
        <w:rPr>
          <w:rFonts w:hint="eastAsia"/>
          <w:rtl/>
        </w:rPr>
        <w:t>כפים</w:t>
      </w:r>
      <w:r>
        <w:rPr>
          <w:rtl/>
        </w:rPr>
        <w:t xml:space="preserve">, </w:t>
      </w:r>
      <w:r>
        <w:rPr>
          <w:rFonts w:hint="eastAsia"/>
          <w:rtl/>
        </w:rPr>
        <w:t>כגון</w:t>
      </w:r>
      <w:r>
        <w:rPr>
          <w:rtl/>
        </w:rPr>
        <w:t xml:space="preserve"> </w:t>
      </w:r>
      <w:r>
        <w:rPr>
          <w:rFonts w:hint="eastAsia"/>
          <w:rtl/>
        </w:rPr>
        <w:t>עמידה</w:t>
      </w:r>
      <w:r>
        <w:rPr>
          <w:rtl/>
        </w:rPr>
        <w:t xml:space="preserve">, </w:t>
      </w:r>
      <w:r>
        <w:rPr>
          <w:rFonts w:hint="eastAsia"/>
          <w:rtl/>
        </w:rPr>
        <w:t>לשון</w:t>
      </w:r>
      <w:r>
        <w:rPr>
          <w:rtl/>
        </w:rPr>
        <w:t xml:space="preserve"> </w:t>
      </w:r>
      <w:r>
        <w:rPr>
          <w:rFonts w:hint="eastAsia"/>
          <w:rtl/>
        </w:rPr>
        <w:t>קודש</w:t>
      </w:r>
      <w:r>
        <w:rPr>
          <w:rtl/>
        </w:rPr>
        <w:t xml:space="preserve"> </w:t>
      </w:r>
      <w:r>
        <w:rPr>
          <w:rFonts w:hint="eastAsia"/>
          <w:rtl/>
        </w:rPr>
        <w:t>וכו</w:t>
      </w:r>
      <w:r>
        <w:rPr>
          <w:rtl/>
        </w:rPr>
        <w:t xml:space="preserve">' </w:t>
      </w:r>
      <w:r>
        <w:rPr>
          <w:rFonts w:hint="eastAsia"/>
          <w:rtl/>
        </w:rPr>
        <w:t>אבל</w:t>
      </w:r>
      <w:r>
        <w:rPr>
          <w:rtl/>
        </w:rPr>
        <w:t xml:space="preserve"> </w:t>
      </w:r>
      <w:r>
        <w:rPr>
          <w:rFonts w:hint="eastAsia"/>
          <w:rtl/>
        </w:rPr>
        <w:t>קול</w:t>
      </w:r>
      <w:r>
        <w:rPr>
          <w:rtl/>
        </w:rPr>
        <w:t xml:space="preserve"> </w:t>
      </w:r>
      <w:r>
        <w:rPr>
          <w:rFonts w:hint="eastAsia"/>
          <w:rtl/>
        </w:rPr>
        <w:t>רם</w:t>
      </w:r>
      <w:r>
        <w:rPr>
          <w:rtl/>
        </w:rPr>
        <w:t xml:space="preserve"> </w:t>
      </w:r>
      <w:r>
        <w:rPr>
          <w:rFonts w:hint="eastAsia"/>
          <w:rtl/>
        </w:rPr>
        <w:t>הרי</w:t>
      </w:r>
      <w:r>
        <w:rPr>
          <w:rtl/>
        </w:rPr>
        <w:t xml:space="preserve"> </w:t>
      </w:r>
      <w:r>
        <w:rPr>
          <w:rFonts w:hint="eastAsia"/>
          <w:rtl/>
        </w:rPr>
        <w:t>נתבאר</w:t>
      </w:r>
      <w:r>
        <w:rPr>
          <w:rtl/>
        </w:rPr>
        <w:t xml:space="preserve"> </w:t>
      </w:r>
      <w:r>
        <w:rPr>
          <w:rFonts w:hint="eastAsia"/>
          <w:rtl/>
        </w:rPr>
        <w:t>שאינו</w:t>
      </w:r>
      <w:r>
        <w:rPr>
          <w:rtl/>
        </w:rPr>
        <w:t xml:space="preserve"> </w:t>
      </w:r>
      <w:r>
        <w:rPr>
          <w:rFonts w:hint="eastAsia"/>
          <w:rtl/>
        </w:rPr>
        <w:t>תנאי</w:t>
      </w:r>
      <w:r>
        <w:rPr>
          <w:rtl/>
        </w:rPr>
        <w:t xml:space="preserve"> </w:t>
      </w:r>
      <w:r>
        <w:rPr>
          <w:rFonts w:hint="eastAsia"/>
          <w:rtl/>
        </w:rPr>
        <w:t>בגוף</w:t>
      </w:r>
      <w:r>
        <w:rPr>
          <w:rtl/>
        </w:rPr>
        <w:t xml:space="preserve"> </w:t>
      </w:r>
      <w:r>
        <w:rPr>
          <w:rFonts w:hint="eastAsia"/>
          <w:rtl/>
        </w:rPr>
        <w:t>הדיבור</w:t>
      </w:r>
      <w:r>
        <w:rPr>
          <w:rtl/>
        </w:rPr>
        <w:t xml:space="preserve">, </w:t>
      </w:r>
      <w:r>
        <w:rPr>
          <w:rFonts w:hint="eastAsia"/>
          <w:rtl/>
        </w:rPr>
        <w:t>אלא</w:t>
      </w:r>
      <w:r>
        <w:rPr>
          <w:rtl/>
        </w:rPr>
        <w:t xml:space="preserve"> </w:t>
      </w:r>
      <w:r>
        <w:rPr>
          <w:rFonts w:hint="eastAsia"/>
          <w:rtl/>
        </w:rPr>
        <w:t>דבעינן</w:t>
      </w:r>
      <w:r>
        <w:rPr>
          <w:rtl/>
        </w:rPr>
        <w:t xml:space="preserve"> </w:t>
      </w:r>
      <w:r>
        <w:rPr>
          <w:rFonts w:hint="eastAsia"/>
          <w:rtl/>
        </w:rPr>
        <w:t>שיהא</w:t>
      </w:r>
      <w:r>
        <w:rPr>
          <w:rtl/>
        </w:rPr>
        <w:t xml:space="preserve"> </w:t>
      </w:r>
      <w:r>
        <w:rPr>
          <w:rFonts w:hint="eastAsia"/>
          <w:rtl/>
        </w:rPr>
        <w:t>כל</w:t>
      </w:r>
      <w:r>
        <w:rPr>
          <w:rtl/>
        </w:rPr>
        <w:t xml:space="preserve"> </w:t>
      </w:r>
      <w:r>
        <w:rPr>
          <w:rFonts w:hint="eastAsia"/>
          <w:rtl/>
        </w:rPr>
        <w:t>הקהל</w:t>
      </w:r>
      <w:r>
        <w:rPr>
          <w:rtl/>
        </w:rPr>
        <w:t xml:space="preserve"> </w:t>
      </w:r>
      <w:r>
        <w:rPr>
          <w:rFonts w:hint="eastAsia"/>
          <w:rtl/>
        </w:rPr>
        <w:t>שומעין</w:t>
      </w:r>
      <w:r>
        <w:rPr>
          <w:rtl/>
        </w:rPr>
        <w:t xml:space="preserve"> </w:t>
      </w:r>
      <w:r>
        <w:rPr>
          <w:rFonts w:hint="eastAsia"/>
          <w:rtl/>
        </w:rPr>
        <w:t>ואין</w:t>
      </w:r>
      <w:r>
        <w:rPr>
          <w:rtl/>
        </w:rPr>
        <w:t xml:space="preserve"> </w:t>
      </w:r>
      <w:r>
        <w:rPr>
          <w:rFonts w:hint="eastAsia"/>
          <w:rtl/>
        </w:rPr>
        <w:t>זה</w:t>
      </w:r>
      <w:r>
        <w:rPr>
          <w:rtl/>
        </w:rPr>
        <w:t xml:space="preserve"> </w:t>
      </w:r>
      <w:r>
        <w:rPr>
          <w:rFonts w:hint="eastAsia"/>
          <w:rtl/>
        </w:rPr>
        <w:t>אלא</w:t>
      </w:r>
      <w:r>
        <w:rPr>
          <w:rtl/>
        </w:rPr>
        <w:t xml:space="preserve"> </w:t>
      </w:r>
      <w:r>
        <w:rPr>
          <w:rFonts w:hint="eastAsia"/>
          <w:rtl/>
        </w:rPr>
        <w:t>מצוה</w:t>
      </w:r>
      <w:r>
        <w:rPr>
          <w:rtl/>
        </w:rPr>
        <w:t xml:space="preserve"> </w:t>
      </w:r>
      <w:r>
        <w:rPr>
          <w:rFonts w:hint="eastAsia"/>
          <w:rtl/>
        </w:rPr>
        <w:t>לכתחילה</w:t>
      </w:r>
      <w:r>
        <w:rPr>
          <w:rtl/>
        </w:rPr>
        <w:t xml:space="preserve"> </w:t>
      </w:r>
      <w:r>
        <w:rPr>
          <w:rFonts w:hint="eastAsia"/>
          <w:rtl/>
        </w:rPr>
        <w:t>אבל</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בדיעבד</w:t>
      </w:r>
      <w:r>
        <w:rPr>
          <w:rtl/>
        </w:rPr>
        <w:t xml:space="preserve">, </w:t>
      </w:r>
      <w:r>
        <w:rPr>
          <w:rFonts w:hint="eastAsia"/>
          <w:rtl/>
        </w:rPr>
        <w:t>וראי</w:t>
      </w:r>
      <w:r>
        <w:rPr>
          <w:rtl/>
        </w:rPr>
        <w:t xml:space="preserve">' </w:t>
      </w:r>
      <w:r>
        <w:rPr>
          <w:rFonts w:hint="eastAsia"/>
          <w:rtl/>
        </w:rPr>
        <w:t>לזה</w:t>
      </w:r>
      <w:r>
        <w:rPr>
          <w:rtl/>
        </w:rPr>
        <w:t xml:space="preserve"> </w:t>
      </w:r>
      <w:r>
        <w:rPr>
          <w:rFonts w:hint="eastAsia"/>
          <w:rtl/>
        </w:rPr>
        <w:t>דהא</w:t>
      </w:r>
      <w:r>
        <w:rPr>
          <w:rtl/>
        </w:rPr>
        <w:t xml:space="preserve"> </w:t>
      </w:r>
      <w:r>
        <w:rPr>
          <w:rFonts w:hint="eastAsia"/>
          <w:rtl/>
        </w:rPr>
        <w:t>ביהכנ</w:t>
      </w:r>
      <w:r>
        <w:rPr>
          <w:rtl/>
        </w:rPr>
        <w:t>"</w:t>
      </w:r>
      <w:r>
        <w:rPr>
          <w:rFonts w:hint="eastAsia"/>
          <w:rtl/>
        </w:rPr>
        <w:t>ס</w:t>
      </w:r>
      <w:r>
        <w:rPr>
          <w:rtl/>
        </w:rPr>
        <w:t xml:space="preserve"> </w:t>
      </w:r>
      <w:r>
        <w:rPr>
          <w:rFonts w:hint="eastAsia"/>
          <w:rtl/>
        </w:rPr>
        <w:t>שכולה</w:t>
      </w:r>
      <w:r>
        <w:rPr>
          <w:rtl/>
        </w:rPr>
        <w:t xml:space="preserve"> </w:t>
      </w:r>
      <w:r>
        <w:rPr>
          <w:rFonts w:hint="eastAsia"/>
          <w:rtl/>
        </w:rPr>
        <w:t>כהנים</w:t>
      </w:r>
      <w:r>
        <w:rPr>
          <w:rtl/>
        </w:rPr>
        <w:t xml:space="preserve"> </w:t>
      </w:r>
      <w:r>
        <w:rPr>
          <w:rFonts w:hint="eastAsia"/>
          <w:rtl/>
        </w:rPr>
        <w:t>כולם</w:t>
      </w:r>
      <w:r>
        <w:rPr>
          <w:rtl/>
        </w:rPr>
        <w:t xml:space="preserve"> </w:t>
      </w:r>
      <w:r>
        <w:rPr>
          <w:rFonts w:hint="eastAsia"/>
          <w:rtl/>
        </w:rPr>
        <w:t>עולים</w:t>
      </w:r>
      <w:r>
        <w:rPr>
          <w:rtl/>
        </w:rPr>
        <w:t xml:space="preserve"> </w:t>
      </w:r>
      <w:r>
        <w:rPr>
          <w:rFonts w:hint="eastAsia"/>
          <w:rtl/>
        </w:rPr>
        <w:t>לדוכן</w:t>
      </w:r>
      <w:r>
        <w:rPr>
          <w:rtl/>
        </w:rPr>
        <w:t xml:space="preserve"> </w:t>
      </w:r>
      <w:r>
        <w:rPr>
          <w:rFonts w:hint="eastAsia"/>
          <w:rtl/>
        </w:rPr>
        <w:t>ומברכים</w:t>
      </w:r>
      <w:r>
        <w:rPr>
          <w:rtl/>
        </w:rPr>
        <w:t xml:space="preserve"> </w:t>
      </w:r>
      <w:r>
        <w:rPr>
          <w:rFonts w:hint="eastAsia"/>
          <w:rtl/>
        </w:rPr>
        <w:t>לאחיהם</w:t>
      </w:r>
      <w:r>
        <w:rPr>
          <w:rtl/>
        </w:rPr>
        <w:t xml:space="preserve"> </w:t>
      </w:r>
      <w:r>
        <w:rPr>
          <w:rFonts w:hint="eastAsia"/>
          <w:rtl/>
        </w:rPr>
        <w:t>שבצפון</w:t>
      </w:r>
      <w:r>
        <w:rPr>
          <w:rtl/>
        </w:rPr>
        <w:t xml:space="preserve"> </w:t>
      </w:r>
      <w:r>
        <w:rPr>
          <w:rFonts w:hint="eastAsia"/>
          <w:rtl/>
        </w:rPr>
        <w:t>ודרום</w:t>
      </w:r>
      <w:r>
        <w:rPr>
          <w:rtl/>
        </w:rPr>
        <w:t xml:space="preserve">, </w:t>
      </w:r>
      <w:r>
        <w:rPr>
          <w:rFonts w:hint="eastAsia"/>
          <w:rtl/>
        </w:rPr>
        <w:t>אף</w:t>
      </w:r>
      <w:r>
        <w:rPr>
          <w:rtl/>
        </w:rPr>
        <w:t xml:space="preserve"> </w:t>
      </w:r>
      <w:r>
        <w:rPr>
          <w:rFonts w:hint="eastAsia"/>
          <w:rtl/>
        </w:rPr>
        <w:t>שאין</w:t>
      </w:r>
      <w:r>
        <w:rPr>
          <w:rtl/>
        </w:rPr>
        <w:t xml:space="preserve"> </w:t>
      </w:r>
      <w:r>
        <w:rPr>
          <w:rFonts w:hint="eastAsia"/>
          <w:rtl/>
        </w:rPr>
        <w:t>שום</w:t>
      </w:r>
      <w:r>
        <w:rPr>
          <w:rtl/>
        </w:rPr>
        <w:t xml:space="preserve"> </w:t>
      </w:r>
      <w:r>
        <w:rPr>
          <w:rFonts w:hint="eastAsia"/>
          <w:rtl/>
        </w:rPr>
        <w:t>איש</w:t>
      </w:r>
      <w:r>
        <w:rPr>
          <w:rtl/>
        </w:rPr>
        <w:t xml:space="preserve"> </w:t>
      </w:r>
      <w:r>
        <w:rPr>
          <w:rFonts w:hint="eastAsia"/>
          <w:rtl/>
        </w:rPr>
        <w:t>ששומע</w:t>
      </w:r>
      <w:r>
        <w:rPr>
          <w:rtl/>
        </w:rPr>
        <w:t xml:space="preserve"> </w:t>
      </w:r>
      <w:r>
        <w:rPr>
          <w:rFonts w:hint="eastAsia"/>
          <w:rtl/>
        </w:rPr>
        <w:t>להם</w:t>
      </w:r>
      <w:r>
        <w:rPr>
          <w:rtl/>
        </w:rPr>
        <w:t xml:space="preserve">, </w:t>
      </w:r>
      <w:r>
        <w:rPr>
          <w:rFonts w:hint="eastAsia"/>
          <w:rtl/>
        </w:rPr>
        <w:t>הרי</w:t>
      </w:r>
      <w:r>
        <w:rPr>
          <w:rtl/>
        </w:rPr>
        <w:t xml:space="preserve"> </w:t>
      </w:r>
      <w:r>
        <w:rPr>
          <w:rFonts w:hint="eastAsia"/>
          <w:rtl/>
        </w:rPr>
        <w:t>להדיא</w:t>
      </w:r>
      <w:r>
        <w:rPr>
          <w:rtl/>
        </w:rPr>
        <w:t xml:space="preserve"> </w:t>
      </w:r>
      <w:r>
        <w:rPr>
          <w:rFonts w:hint="eastAsia"/>
          <w:rtl/>
        </w:rPr>
        <w:t>דזה</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עיי</w:t>
      </w:r>
      <w:r>
        <w:rPr>
          <w:rtl/>
        </w:rPr>
        <w:t>"</w:t>
      </w:r>
      <w:r>
        <w:rPr>
          <w:rFonts w:hint="eastAsia"/>
          <w:rtl/>
        </w:rPr>
        <w:t>ש</w:t>
      </w:r>
      <w:r>
        <w:rPr>
          <w:rFonts w:hint="cs"/>
          <w:rtl/>
        </w:rPr>
        <w:t>.</w:t>
      </w:r>
      <w:r>
        <w:rPr>
          <w:rtl/>
        </w:rPr>
        <w:t xml:space="preserve"> </w:t>
      </w:r>
    </w:p>
    <w:p w14:paraId="4F212D00" w14:textId="77777777" w:rsidR="00657259" w:rsidRDefault="00657259" w:rsidP="00E60D97">
      <w:pPr>
        <w:pStyle w:val="a3"/>
        <w:rPr>
          <w:rtl/>
        </w:rPr>
      </w:pPr>
      <w:r>
        <w:rPr>
          <w:rFonts w:hint="cs"/>
          <w:rtl/>
        </w:rPr>
        <w:t>אלא ד</w:t>
      </w:r>
      <w:r>
        <w:rPr>
          <w:rFonts w:hint="eastAsia"/>
          <w:rtl/>
        </w:rPr>
        <w:t>הרי</w:t>
      </w:r>
      <w:r>
        <w:rPr>
          <w:rtl/>
        </w:rPr>
        <w:t xml:space="preserve"> </w:t>
      </w:r>
      <w:r>
        <w:rPr>
          <w:rFonts w:hint="eastAsia"/>
          <w:rtl/>
        </w:rPr>
        <w:t>נתבאר</w:t>
      </w:r>
      <w:r>
        <w:rPr>
          <w:rtl/>
        </w:rPr>
        <w:t xml:space="preserve"> </w:t>
      </w:r>
      <w:r>
        <w:rPr>
          <w:rFonts w:hint="eastAsia"/>
          <w:rtl/>
        </w:rPr>
        <w:t>לעיל</w:t>
      </w:r>
      <w:r>
        <w:rPr>
          <w:rtl/>
        </w:rPr>
        <w:t xml:space="preserve"> </w:t>
      </w:r>
      <w:r>
        <w:rPr>
          <w:rFonts w:hint="eastAsia"/>
          <w:rtl/>
        </w:rPr>
        <w:t>דמאדה</w:t>
      </w:r>
      <w:r>
        <w:rPr>
          <w:rtl/>
        </w:rPr>
        <w:t>"</w:t>
      </w:r>
      <w:r>
        <w:rPr>
          <w:rFonts w:hint="eastAsia"/>
          <w:rtl/>
        </w:rPr>
        <w:t>ז</w:t>
      </w:r>
      <w:r>
        <w:rPr>
          <w:rtl/>
        </w:rPr>
        <w:t xml:space="preserve"> </w:t>
      </w:r>
      <w:r>
        <w:rPr>
          <w:rFonts w:hint="eastAsia"/>
          <w:rtl/>
        </w:rPr>
        <w:t>משמע</w:t>
      </w:r>
      <w:r>
        <w:rPr>
          <w:rtl/>
        </w:rPr>
        <w:t xml:space="preserve"> </w:t>
      </w:r>
      <w:r>
        <w:rPr>
          <w:rFonts w:hint="eastAsia"/>
          <w:rtl/>
        </w:rPr>
        <w:t>שמעכב</w:t>
      </w:r>
      <w:r>
        <w:rPr>
          <w:rtl/>
        </w:rPr>
        <w:t xml:space="preserve"> </w:t>
      </w:r>
      <w:r>
        <w:rPr>
          <w:rFonts w:hint="eastAsia"/>
          <w:rtl/>
        </w:rPr>
        <w:t>שהרי</w:t>
      </w:r>
      <w:r>
        <w:rPr>
          <w:rtl/>
        </w:rPr>
        <w:t xml:space="preserve"> </w:t>
      </w:r>
      <w:r>
        <w:rPr>
          <w:rFonts w:hint="eastAsia"/>
          <w:rtl/>
        </w:rPr>
        <w:t>הזכיר</w:t>
      </w:r>
      <w:r>
        <w:rPr>
          <w:rtl/>
        </w:rPr>
        <w:t xml:space="preserve"> </w:t>
      </w:r>
      <w:r>
        <w:rPr>
          <w:rFonts w:hint="eastAsia"/>
          <w:rtl/>
        </w:rPr>
        <w:t>שם</w:t>
      </w:r>
      <w:r>
        <w:rPr>
          <w:rtl/>
        </w:rPr>
        <w:t xml:space="preserve"> </w:t>
      </w:r>
      <w:r>
        <w:rPr>
          <w:rFonts w:hint="eastAsia"/>
          <w:rtl/>
        </w:rPr>
        <w:t>רק</w:t>
      </w:r>
      <w:r>
        <w:rPr>
          <w:rtl/>
        </w:rPr>
        <w:t xml:space="preserve"> </w:t>
      </w:r>
      <w:r>
        <w:rPr>
          <w:rFonts w:hint="eastAsia"/>
          <w:rtl/>
        </w:rPr>
        <w:t>דפנים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rtl/>
        </w:rPr>
        <w:t>אינו</w:t>
      </w:r>
      <w:r>
        <w:rPr>
          <w:rtl/>
        </w:rPr>
        <w:t xml:space="preserve"> </w:t>
      </w:r>
      <w:r>
        <w:rPr>
          <w:rFonts w:hint="eastAsia"/>
          <w:rtl/>
        </w:rPr>
        <w:t>מעכב</w:t>
      </w:r>
      <w:r>
        <w:rPr>
          <w:rFonts w:hint="cs"/>
          <w:rtl/>
        </w:rPr>
        <w:t>?</w:t>
      </w:r>
      <w:r>
        <w:rPr>
          <w:rtl/>
        </w:rPr>
        <w:t xml:space="preserve"> </w:t>
      </w:r>
      <w:r>
        <w:rPr>
          <w:rFonts w:hint="eastAsia"/>
          <w:rtl/>
        </w:rPr>
        <w:t>ועוד</w:t>
      </w:r>
      <w:r>
        <w:rPr>
          <w:rtl/>
        </w:rPr>
        <w:t xml:space="preserve"> </w:t>
      </w:r>
      <w:r>
        <w:rPr>
          <w:rFonts w:hint="cs"/>
          <w:rtl/>
        </w:rPr>
        <w:t>דמהו ראייתו מעיר שכולה כהנים, דנ</w:t>
      </w:r>
      <w:r>
        <w:rPr>
          <w:rFonts w:hint="eastAsia"/>
          <w:rtl/>
        </w:rPr>
        <w:t>ימא</w:t>
      </w:r>
      <w:r>
        <w:rPr>
          <w:rtl/>
        </w:rPr>
        <w:t xml:space="preserve"> </w:t>
      </w:r>
      <w:r>
        <w:rPr>
          <w:rFonts w:hint="eastAsia"/>
          <w:rtl/>
        </w:rPr>
        <w:t>שהוא</w:t>
      </w:r>
      <w:r>
        <w:rPr>
          <w:rtl/>
        </w:rPr>
        <w:t xml:space="preserve"> </w:t>
      </w:r>
      <w:r>
        <w:rPr>
          <w:rFonts w:hint="eastAsia"/>
          <w:rtl/>
        </w:rPr>
        <w:t>דין</w:t>
      </w:r>
      <w:r>
        <w:rPr>
          <w:rtl/>
        </w:rPr>
        <w:t xml:space="preserve"> </w:t>
      </w:r>
      <w:r>
        <w:rPr>
          <w:rFonts w:hint="eastAsia"/>
          <w:bCs/>
          <w:rtl/>
        </w:rPr>
        <w:t>בגוף</w:t>
      </w:r>
      <w:r>
        <w:rPr>
          <w:bCs/>
          <w:rtl/>
        </w:rPr>
        <w:t xml:space="preserve"> </w:t>
      </w:r>
      <w:r>
        <w:rPr>
          <w:rFonts w:hint="eastAsia"/>
          <w:bCs/>
          <w:rtl/>
        </w:rPr>
        <w:t>הדיבור</w:t>
      </w:r>
      <w:r>
        <w:rPr>
          <w:rtl/>
        </w:rPr>
        <w:t xml:space="preserve"> </w:t>
      </w:r>
      <w:r>
        <w:rPr>
          <w:rFonts w:hint="eastAsia"/>
          <w:rtl/>
        </w:rPr>
        <w:t>שצריך</w:t>
      </w:r>
      <w:r>
        <w:rPr>
          <w:rtl/>
        </w:rPr>
        <w:t xml:space="preserve"> </w:t>
      </w:r>
      <w:r>
        <w:rPr>
          <w:rFonts w:hint="eastAsia"/>
          <w:rtl/>
        </w:rPr>
        <w:t>להיות</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ולא</w:t>
      </w:r>
      <w:r>
        <w:rPr>
          <w:rtl/>
        </w:rPr>
        <w:t xml:space="preserve"> </w:t>
      </w:r>
      <w:r>
        <w:rPr>
          <w:rFonts w:hint="eastAsia"/>
          <w:rtl/>
        </w:rPr>
        <w:t>שהוא</w:t>
      </w:r>
      <w:r>
        <w:rPr>
          <w:rtl/>
        </w:rPr>
        <w:t xml:space="preserve"> </w:t>
      </w:r>
      <w:r>
        <w:rPr>
          <w:rFonts w:hint="eastAsia"/>
          <w:rtl/>
        </w:rPr>
        <w:t>דין</w:t>
      </w:r>
      <w:r>
        <w:rPr>
          <w:rtl/>
        </w:rPr>
        <w:t xml:space="preserve"> </w:t>
      </w:r>
      <w:r>
        <w:rPr>
          <w:rFonts w:hint="eastAsia"/>
          <w:rtl/>
        </w:rPr>
        <w:t>שהציבור</w:t>
      </w:r>
      <w:r>
        <w:rPr>
          <w:rtl/>
        </w:rPr>
        <w:t xml:space="preserve"> </w:t>
      </w:r>
      <w:r>
        <w:rPr>
          <w:rFonts w:hint="eastAsia"/>
          <w:rtl/>
        </w:rPr>
        <w:t>יוכל</w:t>
      </w:r>
      <w:r>
        <w:rPr>
          <w:rtl/>
        </w:rPr>
        <w:t xml:space="preserve"> </w:t>
      </w:r>
      <w:r>
        <w:rPr>
          <w:rFonts w:hint="eastAsia"/>
          <w:rtl/>
        </w:rPr>
        <w:t>לשמוע</w:t>
      </w:r>
      <w:r>
        <w:rPr>
          <w:rtl/>
        </w:rPr>
        <w:t xml:space="preserve">, </w:t>
      </w:r>
      <w:r>
        <w:rPr>
          <w:rFonts w:hint="cs"/>
          <w:rtl/>
        </w:rPr>
        <w:t>ו</w:t>
      </w:r>
      <w:r>
        <w:rPr>
          <w:rFonts w:hint="eastAsia"/>
          <w:rtl/>
        </w:rPr>
        <w:t>בעיר</w:t>
      </w:r>
      <w:r>
        <w:rPr>
          <w:rtl/>
        </w:rPr>
        <w:t xml:space="preserve"> </w:t>
      </w:r>
      <w:r>
        <w:rPr>
          <w:rFonts w:hint="eastAsia"/>
          <w:rtl/>
        </w:rPr>
        <w:t>שכולה</w:t>
      </w:r>
      <w:r>
        <w:rPr>
          <w:rtl/>
        </w:rPr>
        <w:t xml:space="preserve"> </w:t>
      </w:r>
      <w:r>
        <w:rPr>
          <w:rFonts w:hint="eastAsia"/>
          <w:rtl/>
        </w:rPr>
        <w:t>כהנים</w:t>
      </w:r>
      <w:r>
        <w:rPr>
          <w:rtl/>
        </w:rPr>
        <w:t xml:space="preserve"> </w:t>
      </w:r>
      <w:r>
        <w:rPr>
          <w:rFonts w:hint="cs"/>
          <w:rtl/>
        </w:rPr>
        <w:t>צריכים לברך</w:t>
      </w:r>
      <w:r>
        <w:rPr>
          <w:rtl/>
        </w:rPr>
        <w:t xml:space="preserve"> </w:t>
      </w:r>
      <w:r>
        <w:rPr>
          <w:rFonts w:hint="eastAsia"/>
          <w:bCs/>
          <w:rtl/>
        </w:rPr>
        <w:t>בקול</w:t>
      </w:r>
      <w:r>
        <w:rPr>
          <w:bCs/>
          <w:rtl/>
        </w:rPr>
        <w:t xml:space="preserve"> </w:t>
      </w:r>
      <w:r>
        <w:rPr>
          <w:rFonts w:hint="eastAsia"/>
          <w:bCs/>
          <w:rtl/>
        </w:rPr>
        <w:t>רם</w:t>
      </w:r>
      <w:r>
        <w:rPr>
          <w:rtl/>
        </w:rPr>
        <w:t xml:space="preserve">, </w:t>
      </w:r>
      <w:r>
        <w:rPr>
          <w:rFonts w:hint="eastAsia"/>
          <w:rtl/>
        </w:rPr>
        <w:t>ושפיר</w:t>
      </w:r>
      <w:r>
        <w:rPr>
          <w:rtl/>
        </w:rPr>
        <w:t xml:space="preserve"> </w:t>
      </w:r>
      <w:r>
        <w:rPr>
          <w:rFonts w:hint="cs"/>
          <w:rtl/>
        </w:rPr>
        <w:t xml:space="preserve">נימא </w:t>
      </w:r>
      <w:r>
        <w:rPr>
          <w:rFonts w:hint="eastAsia"/>
          <w:rtl/>
        </w:rPr>
        <w:t>דקול</w:t>
      </w:r>
      <w:r>
        <w:rPr>
          <w:rtl/>
        </w:rPr>
        <w:t xml:space="preserve"> </w:t>
      </w:r>
      <w:r>
        <w:rPr>
          <w:rFonts w:hint="eastAsia"/>
          <w:rtl/>
        </w:rPr>
        <w:t>רם</w:t>
      </w:r>
      <w:r>
        <w:rPr>
          <w:rtl/>
        </w:rPr>
        <w:t xml:space="preserve"> </w:t>
      </w:r>
      <w:r>
        <w:rPr>
          <w:rFonts w:hint="eastAsia"/>
          <w:rtl/>
        </w:rPr>
        <w:t>מעכב</w:t>
      </w:r>
      <w:r>
        <w:rPr>
          <w:rtl/>
        </w:rPr>
        <w:t>.</w:t>
      </w:r>
    </w:p>
    <w:p w14:paraId="46C835C3" w14:textId="77777777" w:rsidR="00657259" w:rsidRDefault="00657259" w:rsidP="00E60D97">
      <w:pPr>
        <w:pStyle w:val="a3"/>
        <w:rPr>
          <w:rtl/>
        </w:rPr>
      </w:pPr>
      <w:r>
        <w:rPr>
          <w:rFonts w:hint="eastAsia"/>
          <w:rtl/>
        </w:rPr>
        <w:t>וברשימות</w:t>
      </w:r>
      <w:r>
        <w:rPr>
          <w:rtl/>
        </w:rPr>
        <w:t xml:space="preserve"> </w:t>
      </w:r>
      <w:r>
        <w:rPr>
          <w:rFonts w:hint="eastAsia"/>
          <w:rtl/>
        </w:rPr>
        <w:t>שיעורים</w:t>
      </w:r>
      <w:r>
        <w:rPr>
          <w:rtl/>
        </w:rPr>
        <w:t xml:space="preserve"> </w:t>
      </w:r>
      <w:r>
        <w:rPr>
          <w:rFonts w:hint="eastAsia"/>
          <w:rtl/>
        </w:rPr>
        <w:t>שם</w:t>
      </w:r>
      <w:r>
        <w:rPr>
          <w:rtl/>
        </w:rPr>
        <w:t xml:space="preserve"> </w:t>
      </w:r>
      <w:r>
        <w:rPr>
          <w:rFonts w:hint="eastAsia"/>
          <w:rtl/>
        </w:rPr>
        <w:t>ביאר</w:t>
      </w:r>
      <w:r>
        <w:rPr>
          <w:rtl/>
        </w:rPr>
        <w:t xml:space="preserve"> </w:t>
      </w:r>
      <w:r>
        <w:rPr>
          <w:rFonts w:hint="eastAsia"/>
          <w:rtl/>
        </w:rPr>
        <w:t>חידושו</w:t>
      </w:r>
      <w:r>
        <w:rPr>
          <w:rtl/>
        </w:rPr>
        <w:t xml:space="preserve"> </w:t>
      </w:r>
      <w:r>
        <w:rPr>
          <w:rFonts w:hint="eastAsia"/>
          <w:rtl/>
        </w:rPr>
        <w:t>של</w:t>
      </w:r>
      <w:r>
        <w:rPr>
          <w:rtl/>
        </w:rPr>
        <w:t xml:space="preserve"> </w:t>
      </w:r>
      <w:r>
        <w:rPr>
          <w:rFonts w:hint="eastAsia"/>
          <w:rtl/>
        </w:rPr>
        <w:t>בית</w:t>
      </w:r>
      <w:r>
        <w:rPr>
          <w:rtl/>
        </w:rPr>
        <w:t xml:space="preserve"> </w:t>
      </w:r>
      <w:r>
        <w:rPr>
          <w:rFonts w:hint="eastAsia"/>
          <w:rtl/>
        </w:rPr>
        <w:t>הלוי</w:t>
      </w:r>
      <w:r>
        <w:rPr>
          <w:rtl/>
        </w:rPr>
        <w:t xml:space="preserve"> </w:t>
      </w:r>
      <w:r>
        <w:rPr>
          <w:rFonts w:hint="eastAsia"/>
          <w:rtl/>
        </w:rPr>
        <w:t>בשם</w:t>
      </w:r>
      <w:r>
        <w:rPr>
          <w:rtl/>
        </w:rPr>
        <w:t xml:space="preserve"> </w:t>
      </w:r>
      <w:r>
        <w:rPr>
          <w:rFonts w:hint="eastAsia"/>
          <w:rtl/>
        </w:rPr>
        <w:t>הגר</w:t>
      </w:r>
      <w:r>
        <w:rPr>
          <w:rtl/>
        </w:rPr>
        <w:t>"</w:t>
      </w:r>
      <w:r>
        <w:rPr>
          <w:rFonts w:hint="eastAsia"/>
          <w:rtl/>
        </w:rPr>
        <w:t>מ</w:t>
      </w:r>
      <w:r>
        <w:rPr>
          <w:rtl/>
        </w:rPr>
        <w:t xml:space="preserve"> </w:t>
      </w:r>
      <w:r>
        <w:rPr>
          <w:rFonts w:hint="eastAsia"/>
          <w:rtl/>
        </w:rPr>
        <w:t>באופן</w:t>
      </w:r>
      <w:r>
        <w:rPr>
          <w:rtl/>
        </w:rPr>
        <w:t xml:space="preserve"> </w:t>
      </w:r>
      <w:r>
        <w:rPr>
          <w:rFonts w:hint="eastAsia"/>
          <w:rtl/>
        </w:rPr>
        <w:t>אחר</w:t>
      </w:r>
      <w:r>
        <w:rPr>
          <w:rtl/>
        </w:rPr>
        <w:t xml:space="preserve">, </w:t>
      </w:r>
      <w:r>
        <w:rPr>
          <w:rFonts w:hint="eastAsia"/>
          <w:rtl/>
        </w:rPr>
        <w:t>דדין</w:t>
      </w:r>
      <w:r>
        <w:rPr>
          <w:rtl/>
        </w:rPr>
        <w:t xml:space="preserve"> </w:t>
      </w:r>
      <w:r>
        <w:rPr>
          <w:rFonts w:hint="eastAsia"/>
          <w:rtl/>
        </w:rPr>
        <w:t>דקול</w:t>
      </w:r>
      <w:r>
        <w:rPr>
          <w:rtl/>
        </w:rPr>
        <w:t xml:space="preserve"> </w:t>
      </w:r>
      <w:r>
        <w:rPr>
          <w:rFonts w:hint="eastAsia"/>
          <w:rtl/>
        </w:rPr>
        <w:t>רם</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אינו</w:t>
      </w:r>
      <w:r>
        <w:rPr>
          <w:rtl/>
        </w:rPr>
        <w:t xml:space="preserve"> </w:t>
      </w:r>
      <w:r>
        <w:rPr>
          <w:rFonts w:hint="eastAsia"/>
          <w:rtl/>
        </w:rPr>
        <w:t>דין</w:t>
      </w:r>
      <w:r>
        <w:rPr>
          <w:rtl/>
        </w:rPr>
        <w:t xml:space="preserve"> </w:t>
      </w:r>
      <w:r>
        <w:rPr>
          <w:rFonts w:hint="eastAsia"/>
          <w:rtl/>
        </w:rPr>
        <w:t>בחפצא</w:t>
      </w:r>
      <w:r>
        <w:rPr>
          <w:rtl/>
        </w:rPr>
        <w:t xml:space="preserve"> </w:t>
      </w:r>
      <w:r>
        <w:rPr>
          <w:rFonts w:hint="eastAsia"/>
          <w:rtl/>
        </w:rPr>
        <w:t>של</w:t>
      </w:r>
      <w:r>
        <w:rPr>
          <w:rtl/>
        </w:rPr>
        <w:t xml:space="preserve"> </w:t>
      </w:r>
      <w:r>
        <w:rPr>
          <w:rFonts w:hint="eastAsia"/>
          <w:rtl/>
        </w:rPr>
        <w:t>הקריאה</w:t>
      </w:r>
      <w:r>
        <w:rPr>
          <w:rtl/>
        </w:rPr>
        <w:t xml:space="preserve">, </w:t>
      </w:r>
      <w:r>
        <w:rPr>
          <w:rFonts w:hint="eastAsia"/>
          <w:rtl/>
        </w:rPr>
        <w:t>אלא</w:t>
      </w:r>
      <w:r>
        <w:rPr>
          <w:rtl/>
        </w:rPr>
        <w:t xml:space="preserve"> </w:t>
      </w:r>
      <w:r>
        <w:rPr>
          <w:rFonts w:hint="eastAsia"/>
          <w:rtl/>
        </w:rPr>
        <w:t>במעשה</w:t>
      </w:r>
      <w:r>
        <w:rPr>
          <w:rtl/>
        </w:rPr>
        <w:t xml:space="preserve"> </w:t>
      </w:r>
      <w:r>
        <w:rPr>
          <w:rFonts w:hint="eastAsia"/>
          <w:rtl/>
        </w:rPr>
        <w:t>המצוה</w:t>
      </w:r>
      <w:r>
        <w:rPr>
          <w:rtl/>
        </w:rPr>
        <w:t xml:space="preserve"> </w:t>
      </w:r>
      <w:r>
        <w:rPr>
          <w:rFonts w:hint="eastAsia"/>
          <w:rtl/>
        </w:rPr>
        <w:t>כמו</w:t>
      </w:r>
      <w:r>
        <w:rPr>
          <w:rtl/>
        </w:rPr>
        <w:t xml:space="preserve"> </w:t>
      </w:r>
      <w:r>
        <w:rPr>
          <w:rFonts w:hint="eastAsia"/>
          <w:rtl/>
        </w:rPr>
        <w:t>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rtl/>
        </w:rPr>
        <w:t>ונשיאות</w:t>
      </w:r>
      <w:r>
        <w:rPr>
          <w:rtl/>
        </w:rPr>
        <w:t xml:space="preserve"> </w:t>
      </w:r>
      <w:r>
        <w:rPr>
          <w:rFonts w:hint="eastAsia"/>
          <w:rtl/>
        </w:rPr>
        <w:t>כפים</w:t>
      </w:r>
      <w:r>
        <w:rPr>
          <w:rtl/>
        </w:rPr>
        <w:t xml:space="preserve">, </w:t>
      </w:r>
      <w:r>
        <w:rPr>
          <w:rFonts w:hint="eastAsia"/>
          <w:rtl/>
        </w:rPr>
        <w:t>דעל</w:t>
      </w:r>
      <w:r>
        <w:rPr>
          <w:rtl/>
        </w:rPr>
        <w:t xml:space="preserve"> </w:t>
      </w:r>
      <w:r>
        <w:rPr>
          <w:rFonts w:hint="eastAsia"/>
          <w:rtl/>
        </w:rPr>
        <w:t>זה</w:t>
      </w:r>
      <w:r>
        <w:rPr>
          <w:rtl/>
        </w:rPr>
        <w:t xml:space="preserve"> </w:t>
      </w:r>
      <w:r>
        <w:rPr>
          <w:rFonts w:hint="eastAsia"/>
          <w:rtl/>
        </w:rPr>
        <w:t>לא</w:t>
      </w:r>
      <w:r>
        <w:rPr>
          <w:rtl/>
        </w:rPr>
        <w:t xml:space="preserve"> </w:t>
      </w:r>
      <w:r>
        <w:rPr>
          <w:rFonts w:hint="eastAsia"/>
          <w:rtl/>
        </w:rPr>
        <w:t>שייך</w:t>
      </w:r>
      <w:r>
        <w:rPr>
          <w:rtl/>
        </w:rPr>
        <w:t xml:space="preserve"> </w:t>
      </w:r>
      <w:r>
        <w:rPr>
          <w:rFonts w:hint="eastAsia"/>
          <w:rtl/>
        </w:rPr>
        <w:t>שומע</w:t>
      </w:r>
      <w:r>
        <w:rPr>
          <w:rtl/>
        </w:rPr>
        <w:t xml:space="preserve"> </w:t>
      </w:r>
      <w:r>
        <w:rPr>
          <w:rFonts w:hint="eastAsia"/>
          <w:rtl/>
        </w:rPr>
        <w:t>כעונה</w:t>
      </w:r>
      <w:r>
        <w:rPr>
          <w:rtl/>
        </w:rPr>
        <w:t xml:space="preserve"> </w:t>
      </w:r>
      <w:r>
        <w:rPr>
          <w:rFonts w:hint="eastAsia"/>
          <w:rtl/>
        </w:rPr>
        <w:t>כשם</w:t>
      </w:r>
      <w:r>
        <w:rPr>
          <w:rtl/>
        </w:rPr>
        <w:t xml:space="preserve"> </w:t>
      </w:r>
      <w:r>
        <w:rPr>
          <w:rFonts w:hint="eastAsia"/>
          <w:rtl/>
        </w:rPr>
        <w:t>דבודאי</w:t>
      </w:r>
      <w:r>
        <w:rPr>
          <w:rtl/>
        </w:rPr>
        <w:t xml:space="preserve"> </w:t>
      </w:r>
      <w:r>
        <w:rPr>
          <w:rFonts w:hint="eastAsia"/>
          <w:rtl/>
        </w:rPr>
        <w:t>אם</w:t>
      </w:r>
      <w:r>
        <w:rPr>
          <w:rtl/>
        </w:rPr>
        <w:t xml:space="preserve"> </w:t>
      </w:r>
      <w:r>
        <w:rPr>
          <w:rFonts w:hint="eastAsia"/>
          <w:rtl/>
        </w:rPr>
        <w:t>השומע</w:t>
      </w:r>
      <w:r>
        <w:rPr>
          <w:rtl/>
        </w:rPr>
        <w:t xml:space="preserve"> </w:t>
      </w:r>
      <w:r>
        <w:rPr>
          <w:rFonts w:hint="eastAsia"/>
          <w:rtl/>
        </w:rPr>
        <w:t>אינו</w:t>
      </w:r>
      <w:r>
        <w:rPr>
          <w:rtl/>
        </w:rPr>
        <w:t xml:space="preserve"> </w:t>
      </w:r>
      <w:r>
        <w:rPr>
          <w:rFonts w:hint="eastAsia"/>
          <w:rtl/>
        </w:rPr>
        <w:t>נושא</w:t>
      </w:r>
      <w:r>
        <w:rPr>
          <w:rtl/>
        </w:rPr>
        <w:t xml:space="preserve"> </w:t>
      </w:r>
      <w:r>
        <w:rPr>
          <w:rFonts w:hint="eastAsia"/>
          <w:rtl/>
        </w:rPr>
        <w:t>כפיו</w:t>
      </w:r>
      <w:r>
        <w:rPr>
          <w:rtl/>
        </w:rPr>
        <w:t xml:space="preserve"> </w:t>
      </w:r>
      <w:r>
        <w:rPr>
          <w:rFonts w:hint="eastAsia"/>
          <w:rtl/>
        </w:rPr>
        <w:t>כו</w:t>
      </w:r>
      <w:r>
        <w:rPr>
          <w:rtl/>
        </w:rPr>
        <w:t xml:space="preserve">' </w:t>
      </w:r>
      <w:r>
        <w:rPr>
          <w:rFonts w:hint="eastAsia"/>
          <w:rtl/>
        </w:rPr>
        <w:t>אינו</w:t>
      </w:r>
      <w:r>
        <w:rPr>
          <w:rtl/>
        </w:rPr>
        <w:t xml:space="preserve"> </w:t>
      </w:r>
      <w:r>
        <w:rPr>
          <w:rFonts w:hint="eastAsia"/>
          <w:rtl/>
        </w:rPr>
        <w:t>יוצא</w:t>
      </w:r>
      <w:r>
        <w:rPr>
          <w:rtl/>
        </w:rPr>
        <w:t xml:space="preserve"> </w:t>
      </w:r>
      <w:r>
        <w:rPr>
          <w:rFonts w:hint="eastAsia"/>
          <w:rtl/>
        </w:rPr>
        <w:t>יד</w:t>
      </w:r>
      <w:r>
        <w:rPr>
          <w:rtl/>
        </w:rPr>
        <w:t>"</w:t>
      </w:r>
      <w:r>
        <w:rPr>
          <w:rFonts w:hint="eastAsia"/>
          <w:rtl/>
        </w:rPr>
        <w:t>ח</w:t>
      </w:r>
      <w:r>
        <w:rPr>
          <w:rtl/>
        </w:rPr>
        <w:t xml:space="preserve"> </w:t>
      </w:r>
      <w:r>
        <w:rPr>
          <w:rFonts w:hint="eastAsia"/>
          <w:rtl/>
        </w:rPr>
        <w:t>עיי</w:t>
      </w:r>
      <w:r>
        <w:rPr>
          <w:rtl/>
        </w:rPr>
        <w:t>"</w:t>
      </w:r>
      <w:r>
        <w:rPr>
          <w:rFonts w:hint="eastAsia"/>
          <w:rtl/>
        </w:rPr>
        <w:t>ש</w:t>
      </w:r>
      <w:r>
        <w:rPr>
          <w:rtl/>
        </w:rPr>
        <w:t xml:space="preserve">, </w:t>
      </w:r>
      <w:r>
        <w:rPr>
          <w:rFonts w:hint="eastAsia"/>
          <w:rtl/>
        </w:rPr>
        <w:t>אבל</w:t>
      </w:r>
      <w:r>
        <w:rPr>
          <w:rtl/>
        </w:rPr>
        <w:t xml:space="preserve"> </w:t>
      </w:r>
      <w:r>
        <w:rPr>
          <w:rFonts w:hint="eastAsia"/>
          <w:rtl/>
        </w:rPr>
        <w:t>מסיים</w:t>
      </w:r>
      <w:r>
        <w:rPr>
          <w:rtl/>
        </w:rPr>
        <w:t xml:space="preserve"> </w:t>
      </w:r>
      <w:r>
        <w:rPr>
          <w:rFonts w:hint="eastAsia"/>
          <w:rtl/>
        </w:rPr>
        <w:t>דבין</w:t>
      </w:r>
      <w:r>
        <w:rPr>
          <w:rtl/>
        </w:rPr>
        <w:t xml:space="preserve"> </w:t>
      </w:r>
      <w:r>
        <w:rPr>
          <w:rFonts w:hint="eastAsia"/>
          <w:rtl/>
        </w:rPr>
        <w:t>אי</w:t>
      </w:r>
      <w:r>
        <w:rPr>
          <w:rtl/>
        </w:rPr>
        <w:t xml:space="preserve"> </w:t>
      </w:r>
      <w:r>
        <w:rPr>
          <w:rFonts w:hint="eastAsia"/>
          <w:rtl/>
        </w:rPr>
        <w:t>נימא</w:t>
      </w:r>
      <w:r>
        <w:rPr>
          <w:rtl/>
        </w:rPr>
        <w:t xml:space="preserve"> </w:t>
      </w:r>
      <w:r>
        <w:rPr>
          <w:rFonts w:hint="eastAsia"/>
          <w:rtl/>
        </w:rPr>
        <w:t>דקול</w:t>
      </w:r>
      <w:r>
        <w:rPr>
          <w:rtl/>
        </w:rPr>
        <w:t xml:space="preserve"> </w:t>
      </w:r>
      <w:r>
        <w:rPr>
          <w:rFonts w:hint="eastAsia"/>
          <w:rtl/>
        </w:rPr>
        <w:t>רם</w:t>
      </w:r>
      <w:r>
        <w:rPr>
          <w:rtl/>
        </w:rPr>
        <w:t xml:space="preserve"> </w:t>
      </w:r>
      <w:r>
        <w:rPr>
          <w:rFonts w:hint="eastAsia"/>
          <w:rtl/>
        </w:rPr>
        <w:t>הוא</w:t>
      </w:r>
      <w:r>
        <w:rPr>
          <w:rtl/>
        </w:rPr>
        <w:t xml:space="preserve"> </w:t>
      </w:r>
      <w:r>
        <w:rPr>
          <w:rFonts w:hint="eastAsia"/>
          <w:rtl/>
        </w:rPr>
        <w:t>דין</w:t>
      </w:r>
      <w:r>
        <w:rPr>
          <w:rtl/>
        </w:rPr>
        <w:t xml:space="preserve"> </w:t>
      </w:r>
      <w:r>
        <w:rPr>
          <w:rFonts w:hint="eastAsia"/>
          <w:rtl/>
        </w:rPr>
        <w:t>בחפצא</w:t>
      </w:r>
      <w:r>
        <w:rPr>
          <w:rtl/>
        </w:rPr>
        <w:t xml:space="preserve"> </w:t>
      </w:r>
      <w:r>
        <w:rPr>
          <w:rFonts w:hint="eastAsia"/>
          <w:rtl/>
        </w:rPr>
        <w:t>של</w:t>
      </w:r>
      <w:r>
        <w:rPr>
          <w:rtl/>
        </w:rPr>
        <w:t xml:space="preserve"> </w:t>
      </w:r>
      <w:r>
        <w:rPr>
          <w:rFonts w:hint="eastAsia"/>
          <w:rtl/>
        </w:rPr>
        <w:t>הקריאה</w:t>
      </w:r>
      <w:r>
        <w:rPr>
          <w:rtl/>
        </w:rPr>
        <w:t xml:space="preserve"> </w:t>
      </w:r>
      <w:r>
        <w:rPr>
          <w:rFonts w:hint="eastAsia"/>
          <w:rtl/>
        </w:rPr>
        <w:t>או</w:t>
      </w:r>
      <w:r>
        <w:rPr>
          <w:rtl/>
        </w:rPr>
        <w:t xml:space="preserve"> </w:t>
      </w:r>
      <w:r>
        <w:rPr>
          <w:rFonts w:hint="eastAsia"/>
          <w:rtl/>
        </w:rPr>
        <w:t>במעשה</w:t>
      </w:r>
      <w:r>
        <w:rPr>
          <w:rtl/>
        </w:rPr>
        <w:t xml:space="preserve"> </w:t>
      </w:r>
      <w:r>
        <w:rPr>
          <w:rFonts w:hint="eastAsia"/>
          <w:rtl/>
        </w:rPr>
        <w:t>המצוה</w:t>
      </w:r>
      <w:r>
        <w:rPr>
          <w:rtl/>
        </w:rPr>
        <w:t xml:space="preserve"> </w:t>
      </w:r>
      <w:r>
        <w:rPr>
          <w:rFonts w:hint="eastAsia"/>
          <w:rtl/>
        </w:rPr>
        <w:t>אכתי</w:t>
      </w:r>
      <w:r>
        <w:rPr>
          <w:rtl/>
        </w:rPr>
        <w:t xml:space="preserve"> </w:t>
      </w:r>
      <w:r>
        <w:rPr>
          <w:rFonts w:hint="eastAsia"/>
          <w:rtl/>
        </w:rPr>
        <w:t>קשה</w:t>
      </w:r>
      <w:r>
        <w:rPr>
          <w:rtl/>
        </w:rPr>
        <w:t xml:space="preserve"> </w:t>
      </w:r>
      <w:r>
        <w:rPr>
          <w:rFonts w:hint="eastAsia"/>
          <w:rtl/>
        </w:rPr>
        <w:t>דברי</w:t>
      </w:r>
      <w:r>
        <w:rPr>
          <w:rtl/>
        </w:rPr>
        <w:t xml:space="preserve"> </w:t>
      </w:r>
      <w:r>
        <w:rPr>
          <w:rFonts w:hint="eastAsia"/>
          <w:rtl/>
        </w:rPr>
        <w:t>הרמב</w:t>
      </w:r>
      <w:r>
        <w:rPr>
          <w:rtl/>
        </w:rPr>
        <w:t>"</w:t>
      </w:r>
      <w:r>
        <w:rPr>
          <w:rFonts w:hint="eastAsia"/>
          <w:rtl/>
        </w:rPr>
        <w:t>ם</w:t>
      </w:r>
      <w:r>
        <w:rPr>
          <w:rtl/>
        </w:rPr>
        <w:t xml:space="preserve"> </w:t>
      </w:r>
      <w:r>
        <w:rPr>
          <w:rFonts w:hint="eastAsia"/>
          <w:rtl/>
        </w:rPr>
        <w:t>דלמה</w:t>
      </w:r>
      <w:r>
        <w:rPr>
          <w:rtl/>
        </w:rPr>
        <w:t xml:space="preserve"> </w:t>
      </w:r>
      <w:r>
        <w:rPr>
          <w:rFonts w:hint="eastAsia"/>
          <w:rtl/>
        </w:rPr>
        <w:t>עובר</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כשהוסיף</w:t>
      </w:r>
      <w:r>
        <w:rPr>
          <w:rtl/>
        </w:rPr>
        <w:t xml:space="preserve"> </w:t>
      </w:r>
      <w:r>
        <w:rPr>
          <w:rFonts w:hint="eastAsia"/>
          <w:rtl/>
        </w:rPr>
        <w:t>לברך</w:t>
      </w:r>
      <w:r>
        <w:rPr>
          <w:rtl/>
        </w:rPr>
        <w:t xml:space="preserve"> </w:t>
      </w:r>
      <w:r>
        <w:rPr>
          <w:rFonts w:hint="eastAsia"/>
          <w:rtl/>
        </w:rPr>
        <w:t>בלחש</w:t>
      </w:r>
      <w:r>
        <w:rPr>
          <w:rtl/>
        </w:rPr>
        <w:t xml:space="preserve">? </w:t>
      </w:r>
      <w:r>
        <w:rPr>
          <w:rFonts w:hint="eastAsia"/>
          <w:rtl/>
        </w:rPr>
        <w:t>וכתב</w:t>
      </w:r>
      <w:r>
        <w:rPr>
          <w:rtl/>
        </w:rPr>
        <w:t xml:space="preserve"> </w:t>
      </w:r>
      <w:r>
        <w:rPr>
          <w:rFonts w:hint="eastAsia"/>
          <w:rtl/>
        </w:rPr>
        <w:t>בשוה</w:t>
      </w:r>
      <w:r>
        <w:rPr>
          <w:rtl/>
        </w:rPr>
        <w:t>"</w:t>
      </w:r>
      <w:r>
        <w:rPr>
          <w:rFonts w:hint="eastAsia"/>
          <w:rtl/>
        </w:rPr>
        <w:t>ג</w:t>
      </w:r>
      <w:r>
        <w:rPr>
          <w:rtl/>
        </w:rPr>
        <w:t xml:space="preserve"> </w:t>
      </w:r>
      <w:r>
        <w:rPr>
          <w:rFonts w:hint="eastAsia"/>
          <w:rtl/>
        </w:rPr>
        <w:t>שם</w:t>
      </w:r>
      <w:r>
        <w:rPr>
          <w:rtl/>
        </w:rPr>
        <w:t xml:space="preserve"> </w:t>
      </w:r>
      <w:r>
        <w:rPr>
          <w:rFonts w:hint="eastAsia"/>
          <w:rtl/>
        </w:rPr>
        <w:t>דאולי</w:t>
      </w:r>
      <w:r>
        <w:rPr>
          <w:rtl/>
        </w:rPr>
        <w:t xml:space="preserve"> </w:t>
      </w:r>
      <w:r>
        <w:rPr>
          <w:rFonts w:hint="eastAsia"/>
          <w:rtl/>
        </w:rPr>
        <w:t>י</w:t>
      </w:r>
      <w:r>
        <w:rPr>
          <w:rtl/>
        </w:rPr>
        <w:t>"</w:t>
      </w:r>
      <w:r>
        <w:rPr>
          <w:rFonts w:hint="eastAsia"/>
          <w:rtl/>
        </w:rPr>
        <w:t>ל</w:t>
      </w:r>
      <w:r>
        <w:rPr>
          <w:rtl/>
        </w:rPr>
        <w:t xml:space="preserve"> </w:t>
      </w:r>
      <w:r>
        <w:rPr>
          <w:rFonts w:hint="eastAsia"/>
          <w:rtl/>
        </w:rPr>
        <w:t>דדין</w:t>
      </w:r>
      <w:r>
        <w:rPr>
          <w:rtl/>
        </w:rPr>
        <w:t xml:space="preserve"> </w:t>
      </w:r>
      <w:r>
        <w:rPr>
          <w:rFonts w:hint="eastAsia"/>
          <w:rtl/>
        </w:rPr>
        <w:t>קול</w:t>
      </w:r>
      <w:r>
        <w:rPr>
          <w:rtl/>
        </w:rPr>
        <w:t xml:space="preserve"> </w:t>
      </w:r>
      <w:r>
        <w:rPr>
          <w:rFonts w:hint="eastAsia"/>
          <w:rtl/>
        </w:rPr>
        <w:t>רם</w:t>
      </w:r>
      <w:r>
        <w:rPr>
          <w:rtl/>
        </w:rPr>
        <w:t xml:space="preserve"> </w:t>
      </w:r>
      <w:r>
        <w:rPr>
          <w:rFonts w:hint="eastAsia"/>
          <w:rtl/>
        </w:rPr>
        <w:t>אעפ</w:t>
      </w:r>
      <w:r>
        <w:rPr>
          <w:rtl/>
        </w:rPr>
        <w:t>"</w:t>
      </w:r>
      <w:r>
        <w:rPr>
          <w:rFonts w:hint="eastAsia"/>
          <w:rtl/>
        </w:rPr>
        <w:t>י</w:t>
      </w:r>
      <w:r>
        <w:rPr>
          <w:rtl/>
        </w:rPr>
        <w:t xml:space="preserve"> </w:t>
      </w:r>
      <w:r>
        <w:rPr>
          <w:rFonts w:hint="eastAsia"/>
          <w:rtl/>
        </w:rPr>
        <w:t>שהוא</w:t>
      </w:r>
      <w:r>
        <w:rPr>
          <w:rtl/>
        </w:rPr>
        <w:t xml:space="preserve"> </w:t>
      </w:r>
      <w:r>
        <w:rPr>
          <w:rFonts w:hint="eastAsia"/>
          <w:rtl/>
        </w:rPr>
        <w:t>דין</w:t>
      </w:r>
      <w:r>
        <w:rPr>
          <w:rtl/>
        </w:rPr>
        <w:t xml:space="preserve"> </w:t>
      </w:r>
      <w:r>
        <w:rPr>
          <w:rFonts w:hint="eastAsia"/>
          <w:rtl/>
        </w:rPr>
        <w:t>במצות</w:t>
      </w:r>
      <w:r>
        <w:rPr>
          <w:rtl/>
        </w:rPr>
        <w:t xml:space="preserve"> </w:t>
      </w:r>
      <w:r>
        <w:rPr>
          <w:rFonts w:hint="eastAsia"/>
          <w:rtl/>
        </w:rPr>
        <w:t>ברכת</w:t>
      </w:r>
      <w:r>
        <w:rPr>
          <w:rtl/>
        </w:rPr>
        <w:t xml:space="preserve"> </w:t>
      </w:r>
      <w:r>
        <w:rPr>
          <w:rFonts w:hint="eastAsia"/>
          <w:rtl/>
        </w:rPr>
        <w:t>כהנים</w:t>
      </w:r>
      <w:r>
        <w:rPr>
          <w:rtl/>
        </w:rPr>
        <w:t xml:space="preserve"> </w:t>
      </w:r>
      <w:r>
        <w:rPr>
          <w:rFonts w:hint="eastAsia"/>
          <w:rtl/>
        </w:rPr>
        <w:t>ובקיומה</w:t>
      </w:r>
      <w:r>
        <w:rPr>
          <w:rtl/>
        </w:rPr>
        <w:t xml:space="preserve"> </w:t>
      </w:r>
      <w:r>
        <w:rPr>
          <w:rFonts w:hint="eastAsia"/>
          <w:rtl/>
        </w:rPr>
        <w:t>מ</w:t>
      </w:r>
      <w:r>
        <w:rPr>
          <w:rtl/>
        </w:rPr>
        <w:t>"</w:t>
      </w:r>
      <w:r>
        <w:rPr>
          <w:rFonts w:hint="eastAsia"/>
          <w:rtl/>
        </w:rPr>
        <w:t>מ</w:t>
      </w:r>
      <w:r>
        <w:rPr>
          <w:rtl/>
        </w:rPr>
        <w:t xml:space="preserve"> </w:t>
      </w:r>
      <w:r>
        <w:rPr>
          <w:rFonts w:hint="eastAsia"/>
          <w:rtl/>
        </w:rPr>
        <w:t>אין</w:t>
      </w:r>
      <w:r>
        <w:rPr>
          <w:rtl/>
        </w:rPr>
        <w:t xml:space="preserve"> </w:t>
      </w:r>
      <w:r>
        <w:rPr>
          <w:rFonts w:hint="eastAsia"/>
          <w:rtl/>
        </w:rPr>
        <w:t>זה</w:t>
      </w:r>
      <w:r>
        <w:rPr>
          <w:rtl/>
        </w:rPr>
        <w:t xml:space="preserve"> </w:t>
      </w:r>
      <w:r>
        <w:rPr>
          <w:rFonts w:hint="eastAsia"/>
          <w:rtl/>
        </w:rPr>
        <w:t>שייך</w:t>
      </w:r>
      <w:r>
        <w:rPr>
          <w:rtl/>
        </w:rPr>
        <w:t xml:space="preserve"> </w:t>
      </w:r>
      <w:r>
        <w:rPr>
          <w:rFonts w:hint="eastAsia"/>
          <w:rtl/>
        </w:rPr>
        <w:t>לאיסור</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דלגבי</w:t>
      </w:r>
      <w:r>
        <w:rPr>
          <w:rtl/>
        </w:rPr>
        <w:t xml:space="preserve"> </w:t>
      </w:r>
      <w:r>
        <w:rPr>
          <w:rFonts w:hint="eastAsia"/>
          <w:rtl/>
        </w:rPr>
        <w:t>איסור</w:t>
      </w:r>
      <w:r>
        <w:rPr>
          <w:rtl/>
        </w:rPr>
        <w:t xml:space="preserve"> </w:t>
      </w:r>
      <w:r>
        <w:rPr>
          <w:rFonts w:hint="eastAsia"/>
          <w:rtl/>
        </w:rPr>
        <w:t>דבל</w:t>
      </w:r>
      <w:r>
        <w:rPr>
          <w:rtl/>
        </w:rPr>
        <w:t xml:space="preserve"> </w:t>
      </w:r>
      <w:r>
        <w:rPr>
          <w:rFonts w:hint="eastAsia"/>
          <w:rtl/>
        </w:rPr>
        <w:t>תוסיף</w:t>
      </w:r>
      <w:r>
        <w:rPr>
          <w:rtl/>
        </w:rPr>
        <w:t xml:space="preserve"> </w:t>
      </w:r>
      <w:r>
        <w:rPr>
          <w:rFonts w:hint="eastAsia"/>
          <w:rtl/>
        </w:rPr>
        <w:t>אם</w:t>
      </w:r>
      <w:r>
        <w:rPr>
          <w:rtl/>
        </w:rPr>
        <w:t xml:space="preserve"> </w:t>
      </w:r>
      <w:r>
        <w:rPr>
          <w:rFonts w:hint="eastAsia"/>
          <w:rtl/>
        </w:rPr>
        <w:t>הברכה</w:t>
      </w:r>
      <w:r>
        <w:rPr>
          <w:rtl/>
        </w:rPr>
        <w:t xml:space="preserve"> </w:t>
      </w:r>
      <w:r>
        <w:rPr>
          <w:rFonts w:hint="eastAsia"/>
          <w:rtl/>
        </w:rPr>
        <w:t>היא</w:t>
      </w:r>
      <w:r>
        <w:rPr>
          <w:rtl/>
        </w:rPr>
        <w:t xml:space="preserve"> </w:t>
      </w:r>
      <w:r>
        <w:rPr>
          <w:rFonts w:hint="eastAsia"/>
          <w:rtl/>
        </w:rPr>
        <w:t>ברכה</w:t>
      </w:r>
      <w:r>
        <w:rPr>
          <w:rtl/>
        </w:rPr>
        <w:t xml:space="preserve"> </w:t>
      </w:r>
      <w:r>
        <w:rPr>
          <w:rFonts w:hint="eastAsia"/>
          <w:rtl/>
        </w:rPr>
        <w:t>בכל</w:t>
      </w:r>
      <w:r>
        <w:rPr>
          <w:rtl/>
        </w:rPr>
        <w:t xml:space="preserve"> </w:t>
      </w:r>
      <w:r>
        <w:rPr>
          <w:rFonts w:hint="eastAsia"/>
          <w:rtl/>
        </w:rPr>
        <w:t>התורה</w:t>
      </w:r>
      <w:r>
        <w:rPr>
          <w:rtl/>
        </w:rPr>
        <w:t xml:space="preserve"> </w:t>
      </w:r>
      <w:r>
        <w:rPr>
          <w:rFonts w:hint="eastAsia"/>
          <w:rtl/>
        </w:rPr>
        <w:t>כולה</w:t>
      </w:r>
      <w:r>
        <w:rPr>
          <w:rtl/>
        </w:rPr>
        <w:t xml:space="preserve"> </w:t>
      </w:r>
      <w:r>
        <w:rPr>
          <w:rFonts w:hint="eastAsia"/>
          <w:rtl/>
        </w:rPr>
        <w:t>חשובה</w:t>
      </w:r>
      <w:r>
        <w:rPr>
          <w:rtl/>
        </w:rPr>
        <w:t xml:space="preserve"> </w:t>
      </w:r>
      <w:r>
        <w:rPr>
          <w:rFonts w:hint="eastAsia"/>
          <w:rtl/>
        </w:rPr>
        <w:t>לעבור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ובכל</w:t>
      </w:r>
      <w:r>
        <w:rPr>
          <w:rtl/>
        </w:rPr>
        <w:t xml:space="preserve"> </w:t>
      </w:r>
      <w:r>
        <w:rPr>
          <w:rFonts w:hint="eastAsia"/>
          <w:rtl/>
        </w:rPr>
        <w:t>התורה</w:t>
      </w:r>
      <w:r>
        <w:rPr>
          <w:rtl/>
        </w:rPr>
        <w:t xml:space="preserve"> </w:t>
      </w:r>
      <w:r>
        <w:rPr>
          <w:rFonts w:hint="eastAsia"/>
          <w:rtl/>
        </w:rPr>
        <w:t>כולה</w:t>
      </w:r>
      <w:r>
        <w:rPr>
          <w:rtl/>
        </w:rPr>
        <w:t xml:space="preserve"> </w:t>
      </w:r>
      <w:r>
        <w:rPr>
          <w:rFonts w:hint="eastAsia"/>
          <w:rtl/>
        </w:rPr>
        <w:t>יש</w:t>
      </w:r>
      <w:r>
        <w:rPr>
          <w:rtl/>
        </w:rPr>
        <w:t xml:space="preserve"> </w:t>
      </w:r>
      <w:r>
        <w:rPr>
          <w:rFonts w:hint="eastAsia"/>
          <w:rtl/>
        </w:rPr>
        <w:t>חלות</w:t>
      </w:r>
      <w:r>
        <w:rPr>
          <w:rtl/>
        </w:rPr>
        <w:t xml:space="preserve"> </w:t>
      </w:r>
      <w:r>
        <w:rPr>
          <w:rFonts w:hint="eastAsia"/>
          <w:rtl/>
        </w:rPr>
        <w:t>שם</w:t>
      </w:r>
      <w:r>
        <w:rPr>
          <w:rtl/>
        </w:rPr>
        <w:t xml:space="preserve"> </w:t>
      </w:r>
      <w:r>
        <w:rPr>
          <w:rFonts w:hint="eastAsia"/>
          <w:rtl/>
        </w:rPr>
        <w:t>ברכה</w:t>
      </w:r>
      <w:r>
        <w:rPr>
          <w:rtl/>
        </w:rPr>
        <w:t xml:space="preserve"> </w:t>
      </w:r>
      <w:r>
        <w:rPr>
          <w:rFonts w:hint="eastAsia"/>
          <w:rtl/>
        </w:rPr>
        <w:t>בלחש</w:t>
      </w:r>
      <w:r>
        <w:rPr>
          <w:rtl/>
        </w:rPr>
        <w:t xml:space="preserve"> </w:t>
      </w:r>
      <w:r>
        <w:rPr>
          <w:rFonts w:hint="eastAsia"/>
          <w:rtl/>
        </w:rPr>
        <w:t>כמו</w:t>
      </w:r>
      <w:r>
        <w:rPr>
          <w:rtl/>
        </w:rPr>
        <w:t xml:space="preserve"> </w:t>
      </w:r>
      <w:r>
        <w:rPr>
          <w:rFonts w:hint="eastAsia"/>
          <w:rtl/>
        </w:rPr>
        <w:t>בברכות</w:t>
      </w:r>
      <w:r>
        <w:rPr>
          <w:rtl/>
        </w:rPr>
        <w:t xml:space="preserve"> </w:t>
      </w:r>
      <w:r>
        <w:rPr>
          <w:rFonts w:hint="eastAsia"/>
          <w:rtl/>
        </w:rPr>
        <w:t>התפלה</w:t>
      </w:r>
      <w:r>
        <w:rPr>
          <w:rtl/>
        </w:rPr>
        <w:t xml:space="preserve">, </w:t>
      </w:r>
      <w:r>
        <w:rPr>
          <w:rFonts w:hint="eastAsia"/>
          <w:rtl/>
        </w:rPr>
        <w:t>וא</w:t>
      </w:r>
      <w:r>
        <w:rPr>
          <w:rtl/>
        </w:rPr>
        <w:t>"</w:t>
      </w:r>
      <w:r>
        <w:rPr>
          <w:rFonts w:hint="eastAsia"/>
          <w:rtl/>
        </w:rPr>
        <w:t>כ</w:t>
      </w:r>
      <w:r>
        <w:rPr>
          <w:rtl/>
        </w:rPr>
        <w:t xml:space="preserve"> </w:t>
      </w:r>
      <w:r>
        <w:rPr>
          <w:rFonts w:hint="eastAsia"/>
          <w:rtl/>
        </w:rPr>
        <w:t>הוה</w:t>
      </w:r>
      <w:r>
        <w:rPr>
          <w:rtl/>
        </w:rPr>
        <w:t xml:space="preserve"> </w:t>
      </w:r>
      <w:r>
        <w:rPr>
          <w:rFonts w:hint="eastAsia"/>
          <w:rtl/>
        </w:rPr>
        <w:t>הוספה</w:t>
      </w:r>
      <w:r>
        <w:rPr>
          <w:rtl/>
        </w:rPr>
        <w:t xml:space="preserve"> </w:t>
      </w:r>
      <w:r>
        <w:rPr>
          <w:rFonts w:hint="eastAsia"/>
          <w:rtl/>
        </w:rPr>
        <w:t>שלא</w:t>
      </w:r>
      <w:r>
        <w:rPr>
          <w:rtl/>
        </w:rPr>
        <w:t xml:space="preserve"> </w:t>
      </w:r>
      <w:r>
        <w:rPr>
          <w:rFonts w:hint="eastAsia"/>
          <w:rtl/>
        </w:rPr>
        <w:t>במינו</w:t>
      </w:r>
      <w:r>
        <w:rPr>
          <w:rtl/>
        </w:rPr>
        <w:t xml:space="preserve"> </w:t>
      </w:r>
      <w:r>
        <w:rPr>
          <w:rFonts w:hint="eastAsia"/>
          <w:rtl/>
        </w:rPr>
        <w:t>דברכה</w:t>
      </w:r>
      <w:r>
        <w:rPr>
          <w:rtl/>
        </w:rPr>
        <w:t xml:space="preserve"> </w:t>
      </w:r>
      <w:r>
        <w:rPr>
          <w:rFonts w:hint="eastAsia"/>
          <w:rtl/>
        </w:rPr>
        <w:t>בלחש</w:t>
      </w:r>
      <w:r>
        <w:rPr>
          <w:rtl/>
        </w:rPr>
        <w:t xml:space="preserve"> </w:t>
      </w:r>
      <w:r>
        <w:rPr>
          <w:rFonts w:hint="eastAsia"/>
          <w:rtl/>
        </w:rPr>
        <w:t>הוה</w:t>
      </w:r>
      <w:r>
        <w:rPr>
          <w:rtl/>
        </w:rPr>
        <w:t xml:space="preserve"> </w:t>
      </w:r>
      <w:r>
        <w:rPr>
          <w:rFonts w:hint="eastAsia"/>
          <w:rtl/>
        </w:rPr>
        <w:t>ברכה</w:t>
      </w:r>
      <w:r>
        <w:rPr>
          <w:rtl/>
        </w:rPr>
        <w:t xml:space="preserve"> </w:t>
      </w:r>
      <w:r>
        <w:rPr>
          <w:rFonts w:hint="eastAsia"/>
          <w:rtl/>
        </w:rPr>
        <w:t>אלא</w:t>
      </w:r>
      <w:r>
        <w:rPr>
          <w:rtl/>
        </w:rPr>
        <w:t xml:space="preserve"> </w:t>
      </w:r>
      <w:r>
        <w:rPr>
          <w:rFonts w:hint="eastAsia"/>
          <w:rtl/>
        </w:rPr>
        <w:t>דהוה</w:t>
      </w:r>
      <w:r>
        <w:rPr>
          <w:rtl/>
        </w:rPr>
        <w:t xml:space="preserve"> </w:t>
      </w:r>
      <w:r>
        <w:rPr>
          <w:rFonts w:hint="eastAsia"/>
          <w:rtl/>
        </w:rPr>
        <w:t>שלא</w:t>
      </w:r>
      <w:r>
        <w:rPr>
          <w:rtl/>
        </w:rPr>
        <w:t xml:space="preserve"> </w:t>
      </w:r>
      <w:r>
        <w:rPr>
          <w:rFonts w:hint="eastAsia"/>
          <w:rtl/>
        </w:rPr>
        <w:t>כמין</w:t>
      </w:r>
      <w:r>
        <w:rPr>
          <w:rtl/>
        </w:rPr>
        <w:t xml:space="preserve"> </w:t>
      </w:r>
      <w:r>
        <w:rPr>
          <w:rFonts w:hint="eastAsia"/>
          <w:rtl/>
        </w:rPr>
        <w:t>הברכה</w:t>
      </w:r>
      <w:r>
        <w:rPr>
          <w:rtl/>
        </w:rPr>
        <w:t xml:space="preserve"> </w:t>
      </w:r>
      <w:r>
        <w:rPr>
          <w:rFonts w:hint="eastAsia"/>
          <w:rtl/>
        </w:rPr>
        <w:t>בקול</w:t>
      </w:r>
      <w:r>
        <w:rPr>
          <w:rtl/>
        </w:rPr>
        <w:t xml:space="preserve"> </w:t>
      </w:r>
      <w:r>
        <w:rPr>
          <w:rFonts w:hint="eastAsia"/>
          <w:rtl/>
        </w:rPr>
        <w:t>רם</w:t>
      </w:r>
      <w:r>
        <w:rPr>
          <w:rtl/>
        </w:rPr>
        <w:t xml:space="preserve">, </w:t>
      </w:r>
      <w:r>
        <w:rPr>
          <w:rFonts w:hint="eastAsia"/>
          <w:rtl/>
        </w:rPr>
        <w:t>ומכיון</w:t>
      </w:r>
      <w:r>
        <w:rPr>
          <w:rtl/>
        </w:rPr>
        <w:t xml:space="preserve"> </w:t>
      </w:r>
      <w:r>
        <w:rPr>
          <w:rFonts w:hint="eastAsia"/>
          <w:rtl/>
        </w:rPr>
        <w:t>דהוי</w:t>
      </w:r>
      <w:r>
        <w:rPr>
          <w:rtl/>
        </w:rPr>
        <w:t xml:space="preserve"> </w:t>
      </w:r>
      <w:r>
        <w:rPr>
          <w:rFonts w:hint="eastAsia"/>
          <w:rtl/>
        </w:rPr>
        <w:t>ברכה</w:t>
      </w:r>
      <w:r>
        <w:rPr>
          <w:rtl/>
        </w:rPr>
        <w:t xml:space="preserve"> </w:t>
      </w:r>
      <w:r>
        <w:rPr>
          <w:rFonts w:hint="eastAsia"/>
          <w:rtl/>
        </w:rPr>
        <w:t>עובר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ואעפ</w:t>
      </w:r>
      <w:r>
        <w:rPr>
          <w:rtl/>
        </w:rPr>
        <w:t>"</w:t>
      </w:r>
      <w:r>
        <w:rPr>
          <w:rFonts w:hint="eastAsia"/>
          <w:rtl/>
        </w:rPr>
        <w:t>י</w:t>
      </w:r>
      <w:r>
        <w:rPr>
          <w:rtl/>
        </w:rPr>
        <w:t xml:space="preserve"> </w:t>
      </w:r>
      <w:r>
        <w:rPr>
          <w:rFonts w:hint="eastAsia"/>
          <w:rtl/>
        </w:rPr>
        <w:t>שאינו</w:t>
      </w:r>
      <w:r>
        <w:rPr>
          <w:rtl/>
        </w:rPr>
        <w:t xml:space="preserve"> </w:t>
      </w:r>
      <w:r>
        <w:rPr>
          <w:rFonts w:hint="eastAsia"/>
          <w:rtl/>
        </w:rPr>
        <w:t>ממין</w:t>
      </w:r>
      <w:r>
        <w:rPr>
          <w:rtl/>
        </w:rPr>
        <w:t xml:space="preserve"> </w:t>
      </w:r>
      <w:r>
        <w:rPr>
          <w:rFonts w:hint="eastAsia"/>
          <w:rtl/>
        </w:rPr>
        <w:t>הברכות</w:t>
      </w:r>
      <w:r>
        <w:rPr>
          <w:rtl/>
        </w:rPr>
        <w:t xml:space="preserve"> </w:t>
      </w:r>
      <w:r>
        <w:rPr>
          <w:rFonts w:hint="eastAsia"/>
          <w:rtl/>
        </w:rPr>
        <w:t>דברכת</w:t>
      </w:r>
      <w:r>
        <w:rPr>
          <w:rtl/>
        </w:rPr>
        <w:t xml:space="preserve"> </w:t>
      </w:r>
      <w:r>
        <w:rPr>
          <w:rFonts w:hint="eastAsia"/>
          <w:rtl/>
        </w:rPr>
        <w:t>כהנים</w:t>
      </w:r>
      <w:r>
        <w:rPr>
          <w:rtl/>
        </w:rPr>
        <w:t xml:space="preserve"> </w:t>
      </w:r>
      <w:r>
        <w:rPr>
          <w:rFonts w:hint="eastAsia"/>
          <w:rtl/>
        </w:rPr>
        <w:t>עיי</w:t>
      </w:r>
      <w:r>
        <w:rPr>
          <w:rtl/>
        </w:rPr>
        <w:t>"</w:t>
      </w:r>
      <w:r>
        <w:rPr>
          <w:rFonts w:hint="eastAsia"/>
          <w:rtl/>
        </w:rPr>
        <w:t>ש</w:t>
      </w:r>
      <w:r>
        <w:rPr>
          <w:rtl/>
        </w:rPr>
        <w:t xml:space="preserve">, </w:t>
      </w:r>
      <w:r>
        <w:rPr>
          <w:rFonts w:hint="eastAsia"/>
          <w:rtl/>
        </w:rPr>
        <w:t>אבל</w:t>
      </w:r>
      <w:r>
        <w:rPr>
          <w:rtl/>
        </w:rPr>
        <w:t xml:space="preserve"> </w:t>
      </w:r>
      <w:r>
        <w:rPr>
          <w:rFonts w:hint="eastAsia"/>
          <w:rtl/>
        </w:rPr>
        <w:t>לפי</w:t>
      </w:r>
      <w:r>
        <w:rPr>
          <w:rtl/>
        </w:rPr>
        <w:t>"</w:t>
      </w:r>
      <w:r>
        <w:rPr>
          <w:rFonts w:hint="eastAsia"/>
          <w:rtl/>
        </w:rPr>
        <w:t>ז</w:t>
      </w:r>
      <w:r>
        <w:rPr>
          <w:rtl/>
        </w:rPr>
        <w:t xml:space="preserve"> </w:t>
      </w:r>
      <w:r>
        <w:rPr>
          <w:rFonts w:hint="eastAsia"/>
          <w:rtl/>
        </w:rPr>
        <w:t>לכאורה</w:t>
      </w:r>
      <w:r>
        <w:rPr>
          <w:rtl/>
        </w:rPr>
        <w:t xml:space="preserve"> </w:t>
      </w:r>
      <w:r>
        <w:rPr>
          <w:rFonts w:hint="eastAsia"/>
          <w:rtl/>
        </w:rPr>
        <w:t>צריך</w:t>
      </w:r>
      <w:r>
        <w:rPr>
          <w:rtl/>
        </w:rPr>
        <w:t xml:space="preserve"> </w:t>
      </w:r>
      <w:r>
        <w:rPr>
          <w:rFonts w:hint="eastAsia"/>
          <w:rtl/>
        </w:rPr>
        <w:t>לומר</w:t>
      </w:r>
      <w:r>
        <w:rPr>
          <w:rtl/>
        </w:rPr>
        <w:t xml:space="preserve"> </w:t>
      </w:r>
      <w:r>
        <w:rPr>
          <w:rFonts w:hint="eastAsia"/>
          <w:rtl/>
        </w:rPr>
        <w:t>כן</w:t>
      </w:r>
      <w:r>
        <w:rPr>
          <w:rtl/>
        </w:rPr>
        <w:t xml:space="preserve"> </w:t>
      </w:r>
      <w:r>
        <w:rPr>
          <w:rFonts w:hint="eastAsia"/>
          <w:rtl/>
        </w:rPr>
        <w:t>גם</w:t>
      </w:r>
      <w:r>
        <w:rPr>
          <w:rtl/>
        </w:rPr>
        <w:t xml:space="preserve"> </w:t>
      </w:r>
      <w:r>
        <w:rPr>
          <w:rFonts w:hint="eastAsia"/>
          <w:rtl/>
        </w:rPr>
        <w:t>לגבי</w:t>
      </w:r>
      <w:r>
        <w:rPr>
          <w:rtl/>
        </w:rPr>
        <w:t xml:space="preserve"> </w:t>
      </w:r>
      <w:r>
        <w:rPr>
          <w:rFonts w:hint="eastAsia"/>
          <w:rtl/>
        </w:rPr>
        <w:t>שאר</w:t>
      </w:r>
      <w:r>
        <w:rPr>
          <w:rtl/>
        </w:rPr>
        <w:t xml:space="preserve"> </w:t>
      </w:r>
      <w:r>
        <w:rPr>
          <w:rFonts w:hint="eastAsia"/>
          <w:rtl/>
        </w:rPr>
        <w:t>התנאים</w:t>
      </w:r>
      <w:r>
        <w:rPr>
          <w:rtl/>
        </w:rPr>
        <w:t xml:space="preserve"> </w:t>
      </w:r>
      <w:r>
        <w:rPr>
          <w:rFonts w:hint="eastAsia"/>
          <w:rtl/>
        </w:rPr>
        <w:t>דכיון</w:t>
      </w:r>
      <w:r>
        <w:rPr>
          <w:rtl/>
        </w:rPr>
        <w:t xml:space="preserve"> </w:t>
      </w:r>
      <w:r>
        <w:rPr>
          <w:rFonts w:hint="eastAsia"/>
          <w:rtl/>
        </w:rPr>
        <w:t>דלגבי</w:t>
      </w:r>
      <w:r>
        <w:rPr>
          <w:rtl/>
        </w:rPr>
        <w:t xml:space="preserve"> </w:t>
      </w:r>
      <w:r>
        <w:rPr>
          <w:rFonts w:hint="eastAsia"/>
          <w:rtl/>
        </w:rPr>
        <w:t>שאר</w:t>
      </w:r>
      <w:r>
        <w:rPr>
          <w:rtl/>
        </w:rPr>
        <w:t xml:space="preserve"> </w:t>
      </w:r>
      <w:r>
        <w:rPr>
          <w:rFonts w:hint="eastAsia"/>
          <w:rtl/>
        </w:rPr>
        <w:t>הברכות</w:t>
      </w:r>
      <w:r>
        <w:rPr>
          <w:rtl/>
        </w:rPr>
        <w:t xml:space="preserve"> </w:t>
      </w:r>
      <w:r>
        <w:rPr>
          <w:rFonts w:hint="eastAsia"/>
          <w:rtl/>
        </w:rPr>
        <w:t>אי</w:t>
      </w:r>
      <w:r>
        <w:rPr>
          <w:rtl/>
        </w:rPr>
        <w:t>"</w:t>
      </w:r>
      <w:r>
        <w:rPr>
          <w:rFonts w:hint="eastAsia"/>
          <w:rtl/>
        </w:rPr>
        <w:t>צ</w:t>
      </w:r>
      <w:r>
        <w:rPr>
          <w:rtl/>
        </w:rPr>
        <w:t xml:space="preserve"> </w:t>
      </w:r>
      <w:r>
        <w:rPr>
          <w:rFonts w:hint="eastAsia"/>
          <w:rtl/>
        </w:rPr>
        <w:t>להם</w:t>
      </w:r>
      <w:r>
        <w:rPr>
          <w:rtl/>
        </w:rPr>
        <w:t xml:space="preserve"> </w:t>
      </w:r>
      <w:r>
        <w:rPr>
          <w:rFonts w:hint="eastAsia"/>
          <w:rtl/>
        </w:rPr>
        <w:t>במילא</w:t>
      </w:r>
      <w:r>
        <w:rPr>
          <w:rtl/>
        </w:rPr>
        <w:t xml:space="preserve"> </w:t>
      </w:r>
      <w:r>
        <w:rPr>
          <w:rFonts w:hint="eastAsia"/>
          <w:rtl/>
        </w:rPr>
        <w:t>יעבור</w:t>
      </w:r>
      <w:r>
        <w:rPr>
          <w:rtl/>
        </w:rPr>
        <w:t xml:space="preserve"> </w:t>
      </w:r>
      <w:r>
        <w:rPr>
          <w:rFonts w:hint="eastAsia"/>
          <w:rtl/>
        </w:rPr>
        <w:t>הכא</w:t>
      </w:r>
      <w:r>
        <w:rPr>
          <w:rtl/>
        </w:rPr>
        <w:t xml:space="preserve"> </w:t>
      </w:r>
      <w:r>
        <w:rPr>
          <w:rFonts w:hint="eastAsia"/>
          <w:rtl/>
        </w:rPr>
        <w:t>בבל</w:t>
      </w:r>
      <w:r>
        <w:rPr>
          <w:rtl/>
        </w:rPr>
        <w:t xml:space="preserve"> </w:t>
      </w:r>
      <w:r>
        <w:rPr>
          <w:rFonts w:hint="eastAsia"/>
          <w:rtl/>
        </w:rPr>
        <w:t>תוסי</w:t>
      </w:r>
      <w:r>
        <w:rPr>
          <w:rFonts w:hint="cs"/>
          <w:rtl/>
        </w:rPr>
        <w:t xml:space="preserve">ף, </w:t>
      </w:r>
      <w:r>
        <w:rPr>
          <w:rFonts w:hint="eastAsia"/>
          <w:rtl/>
        </w:rPr>
        <w:t>וראה</w:t>
      </w:r>
      <w:r>
        <w:rPr>
          <w:rtl/>
        </w:rPr>
        <w:t xml:space="preserve"> </w:t>
      </w:r>
      <w:r>
        <w:rPr>
          <w:rFonts w:hint="eastAsia"/>
          <w:rtl/>
        </w:rPr>
        <w:t>בס</w:t>
      </w:r>
      <w:r>
        <w:rPr>
          <w:rtl/>
        </w:rPr>
        <w:t xml:space="preserve">' </w:t>
      </w:r>
      <w:r>
        <w:rPr>
          <w:rFonts w:hint="cs"/>
          <w:rtl/>
        </w:rPr>
        <w:t xml:space="preserve">'יברכך ה'' פ' דברים שהביא מכמה מקומות </w:t>
      </w:r>
      <w:r>
        <w:rPr>
          <w:rFonts w:hint="cs"/>
          <w:rtl/>
        </w:rPr>
        <w:lastRenderedPageBreak/>
        <w:t>שתירצו קושיא זו למה הביא הגמ' דוקא פסוק זה.</w:t>
      </w:r>
    </w:p>
    <w:p w14:paraId="09C34EBD" w14:textId="77777777" w:rsidR="00657259" w:rsidRPr="006130CE" w:rsidRDefault="00657259" w:rsidP="00E60D97">
      <w:pPr>
        <w:pStyle w:val="11"/>
        <w:rPr>
          <w:rtl/>
        </w:rPr>
      </w:pPr>
      <w:r w:rsidRPr="006130CE">
        <w:rPr>
          <w:rFonts w:hint="cs"/>
          <w:rtl/>
        </w:rPr>
        <w:t>אמירת</w:t>
      </w:r>
      <w:r w:rsidRPr="006130CE">
        <w:rPr>
          <w:rtl/>
        </w:rPr>
        <w:t xml:space="preserve"> </w:t>
      </w:r>
      <w:r w:rsidRPr="006130CE">
        <w:rPr>
          <w:rFonts w:hint="cs"/>
          <w:rtl/>
        </w:rPr>
        <w:t>פסוק</w:t>
      </w:r>
      <w:r w:rsidRPr="006130CE">
        <w:rPr>
          <w:rtl/>
        </w:rPr>
        <w:t xml:space="preserve"> </w:t>
      </w:r>
      <w:r w:rsidRPr="006130CE">
        <w:rPr>
          <w:rFonts w:hint="cs"/>
          <w:rtl/>
        </w:rPr>
        <w:t>השקיפה</w:t>
      </w:r>
      <w:r w:rsidRPr="006130CE">
        <w:rPr>
          <w:rtl/>
        </w:rPr>
        <w:t xml:space="preserve"> </w:t>
      </w:r>
      <w:r w:rsidRPr="006130CE">
        <w:rPr>
          <w:rFonts w:hint="cs"/>
          <w:rtl/>
        </w:rPr>
        <w:t>וגו</w:t>
      </w:r>
      <w:r w:rsidRPr="006130CE">
        <w:rPr>
          <w:rtl/>
        </w:rPr>
        <w:t xml:space="preserve">' </w:t>
      </w:r>
      <w:r w:rsidRPr="006130CE">
        <w:rPr>
          <w:rFonts w:hint="cs"/>
          <w:rtl/>
        </w:rPr>
        <w:t>אחר</w:t>
      </w:r>
      <w:r w:rsidRPr="006130CE">
        <w:rPr>
          <w:rtl/>
        </w:rPr>
        <w:t xml:space="preserve"> </w:t>
      </w:r>
      <w:r w:rsidRPr="006130CE">
        <w:rPr>
          <w:rFonts w:hint="cs"/>
          <w:rtl/>
        </w:rPr>
        <w:t>ברכת</w:t>
      </w:r>
      <w:r w:rsidRPr="006130CE">
        <w:rPr>
          <w:rtl/>
        </w:rPr>
        <w:t xml:space="preserve"> </w:t>
      </w:r>
      <w:r w:rsidRPr="006130CE">
        <w:rPr>
          <w:rFonts w:hint="cs"/>
          <w:rtl/>
        </w:rPr>
        <w:t>כהנים</w:t>
      </w:r>
    </w:p>
    <w:p w14:paraId="24B0546C" w14:textId="77777777" w:rsidR="00657259" w:rsidRDefault="00657259" w:rsidP="00E60D97">
      <w:pPr>
        <w:pStyle w:val="a3"/>
        <w:rPr>
          <w:rtl/>
        </w:rPr>
      </w:pPr>
      <w:r>
        <w:rPr>
          <w:rFonts w:hint="eastAsia"/>
          <w:rtl/>
        </w:rPr>
        <w:t>ב</w:t>
      </w:r>
      <w:r>
        <w:rPr>
          <w:rtl/>
        </w:rPr>
        <w:t xml:space="preserve">) </w:t>
      </w:r>
      <w:r>
        <w:rPr>
          <w:rFonts w:hint="eastAsia"/>
          <w:rtl/>
        </w:rPr>
        <w:t>במ</w:t>
      </w:r>
      <w:r>
        <w:rPr>
          <w:rtl/>
        </w:rPr>
        <w:t>"</w:t>
      </w:r>
      <w:r>
        <w:rPr>
          <w:rFonts w:hint="eastAsia"/>
          <w:rtl/>
        </w:rPr>
        <w:t>ש</w:t>
      </w:r>
      <w:r>
        <w:rPr>
          <w:rtl/>
        </w:rPr>
        <w:t xml:space="preserve"> </w:t>
      </w:r>
      <w:r>
        <w:rPr>
          <w:rFonts w:hint="eastAsia"/>
          <w:rtl/>
        </w:rPr>
        <w:t>בהרשימה</w:t>
      </w:r>
      <w:r>
        <w:rPr>
          <w:rtl/>
        </w:rPr>
        <w:t xml:space="preserve"> </w:t>
      </w:r>
      <w:r>
        <w:rPr>
          <w:rFonts w:hint="eastAsia"/>
          <w:rtl/>
        </w:rPr>
        <w:t>שם</w:t>
      </w:r>
      <w:r>
        <w:rPr>
          <w:rtl/>
        </w:rPr>
        <w:t xml:space="preserve"> </w:t>
      </w:r>
      <w:r>
        <w:rPr>
          <w:rFonts w:hint="eastAsia"/>
          <w:rtl/>
        </w:rPr>
        <w:t>לבאר</w:t>
      </w:r>
      <w:r>
        <w:rPr>
          <w:rtl/>
        </w:rPr>
        <w:t xml:space="preserve"> </w:t>
      </w:r>
      <w:r>
        <w:rPr>
          <w:rFonts w:hint="eastAsia"/>
          <w:rtl/>
        </w:rPr>
        <w:t>מ</w:t>
      </w:r>
      <w:r>
        <w:rPr>
          <w:rtl/>
        </w:rPr>
        <w:t>"</w:t>
      </w:r>
      <w:r>
        <w:rPr>
          <w:rFonts w:hint="eastAsia"/>
          <w:rtl/>
        </w:rPr>
        <w:t>ש</w:t>
      </w:r>
      <w:r>
        <w:rPr>
          <w:rtl/>
        </w:rPr>
        <w:t xml:space="preserve"> </w:t>
      </w:r>
      <w:r>
        <w:rPr>
          <w:rFonts w:hint="eastAsia"/>
          <w:rtl/>
        </w:rPr>
        <w:t>אדה</w:t>
      </w:r>
      <w:r>
        <w:rPr>
          <w:rtl/>
        </w:rPr>
        <w:t>"</w:t>
      </w:r>
      <w:r>
        <w:rPr>
          <w:rFonts w:hint="eastAsia"/>
          <w:rtl/>
        </w:rPr>
        <w:t>ז</w:t>
      </w:r>
      <w:r>
        <w:rPr>
          <w:rtl/>
        </w:rPr>
        <w:t xml:space="preserve"> </w:t>
      </w:r>
      <w:r>
        <w:rPr>
          <w:rFonts w:hint="eastAsia"/>
          <w:rtl/>
        </w:rPr>
        <w:t>בסעי</w:t>
      </w:r>
      <w:r>
        <w:rPr>
          <w:rtl/>
        </w:rPr>
        <w:t xml:space="preserve">' </w:t>
      </w:r>
      <w:r>
        <w:rPr>
          <w:rFonts w:hint="eastAsia"/>
          <w:rtl/>
        </w:rPr>
        <w:t>מ</w:t>
      </w:r>
      <w:r>
        <w:rPr>
          <w:rtl/>
        </w:rPr>
        <w:t xml:space="preserve">' </w:t>
      </w:r>
      <w:r>
        <w:rPr>
          <w:rFonts w:hint="eastAsia"/>
          <w:rtl/>
        </w:rPr>
        <w:t>במוקף</w:t>
      </w:r>
      <w:r>
        <w:rPr>
          <w:rtl/>
        </w:rPr>
        <w:t xml:space="preserve"> </w:t>
      </w:r>
      <w:r>
        <w:rPr>
          <w:rFonts w:hint="eastAsia"/>
          <w:rtl/>
        </w:rPr>
        <w:t>דלכן</w:t>
      </w:r>
      <w:r>
        <w:rPr>
          <w:rtl/>
        </w:rPr>
        <w:t xml:space="preserve"> </w:t>
      </w:r>
      <w:r>
        <w:rPr>
          <w:rFonts w:hint="eastAsia"/>
          <w:rtl/>
        </w:rPr>
        <w:t>אומרים</w:t>
      </w:r>
      <w:r>
        <w:rPr>
          <w:rtl/>
        </w:rPr>
        <w:t xml:space="preserve"> </w:t>
      </w:r>
      <w:r>
        <w:rPr>
          <w:rFonts w:hint="eastAsia"/>
          <w:rtl/>
        </w:rPr>
        <w:t>השקיפה</w:t>
      </w:r>
      <w:r>
        <w:rPr>
          <w:rtl/>
        </w:rPr>
        <w:t xml:space="preserve"> </w:t>
      </w:r>
      <w:r>
        <w:rPr>
          <w:rFonts w:hint="eastAsia"/>
          <w:rtl/>
        </w:rPr>
        <w:t>כו</w:t>
      </w:r>
      <w:r>
        <w:rPr>
          <w:rtl/>
        </w:rPr>
        <w:t xml:space="preserve">' </w:t>
      </w:r>
      <w:r>
        <w:rPr>
          <w:rFonts w:hint="eastAsia"/>
          <w:rtl/>
        </w:rPr>
        <w:t>מפני</w:t>
      </w:r>
      <w:r>
        <w:rPr>
          <w:rtl/>
        </w:rPr>
        <w:t xml:space="preserve"> </w:t>
      </w:r>
      <w:r>
        <w:rPr>
          <w:rFonts w:hint="eastAsia"/>
          <w:rtl/>
        </w:rPr>
        <w:t>שכבר</w:t>
      </w:r>
      <w:r>
        <w:rPr>
          <w:rtl/>
        </w:rPr>
        <w:t xml:space="preserve"> </w:t>
      </w:r>
      <w:r>
        <w:rPr>
          <w:rFonts w:hint="eastAsia"/>
          <w:rtl/>
        </w:rPr>
        <w:t>פשטו</w:t>
      </w:r>
      <w:r>
        <w:rPr>
          <w:rtl/>
        </w:rPr>
        <w:t xml:space="preserve"> </w:t>
      </w:r>
      <w:r>
        <w:rPr>
          <w:rFonts w:hint="eastAsia"/>
          <w:rtl/>
        </w:rPr>
        <w:t>כפיהם</w:t>
      </w:r>
      <w:r>
        <w:rPr>
          <w:rtl/>
        </w:rPr>
        <w:t xml:space="preserve"> </w:t>
      </w:r>
      <w:r>
        <w:rPr>
          <w:rFonts w:hint="eastAsia"/>
          <w:rtl/>
        </w:rPr>
        <w:t>והחזירו</w:t>
      </w:r>
      <w:r>
        <w:rPr>
          <w:rtl/>
        </w:rPr>
        <w:t xml:space="preserve"> </w:t>
      </w:r>
      <w:r>
        <w:rPr>
          <w:rFonts w:hint="eastAsia"/>
          <w:rtl/>
        </w:rPr>
        <w:t>פניהם</w:t>
      </w:r>
      <w:r>
        <w:rPr>
          <w:rtl/>
        </w:rPr>
        <w:t xml:space="preserve">, </w:t>
      </w:r>
      <w:r>
        <w:rPr>
          <w:rFonts w:hint="eastAsia"/>
          <w:rtl/>
        </w:rPr>
        <w:t>ופירשו</w:t>
      </w:r>
      <w:r>
        <w:rPr>
          <w:rtl/>
        </w:rPr>
        <w:t xml:space="preserve"> </w:t>
      </w:r>
      <w:r>
        <w:rPr>
          <w:rFonts w:hint="eastAsia"/>
          <w:rtl/>
        </w:rPr>
        <w:t>בהפענוח</w:t>
      </w:r>
      <w:r>
        <w:rPr>
          <w:rtl/>
        </w:rPr>
        <w:t xml:space="preserve"> </w:t>
      </w:r>
      <w:r>
        <w:rPr>
          <w:rFonts w:hint="eastAsia"/>
          <w:rtl/>
        </w:rPr>
        <w:t>דספיקת</w:t>
      </w:r>
      <w:r>
        <w:rPr>
          <w:rtl/>
        </w:rPr>
        <w:t xml:space="preserve"> </w:t>
      </w:r>
      <w:r>
        <w:rPr>
          <w:rFonts w:hint="eastAsia"/>
          <w:rtl/>
        </w:rPr>
        <w:t>אדה</w:t>
      </w:r>
      <w:r>
        <w:rPr>
          <w:rtl/>
        </w:rPr>
        <w:t>"</w:t>
      </w:r>
      <w:r>
        <w:rPr>
          <w:rFonts w:hint="eastAsia"/>
          <w:rtl/>
        </w:rPr>
        <w:t>ז</w:t>
      </w:r>
      <w:r>
        <w:rPr>
          <w:rtl/>
        </w:rPr>
        <w:t xml:space="preserve"> </w:t>
      </w:r>
      <w:r>
        <w:rPr>
          <w:rFonts w:hint="eastAsia"/>
          <w:rtl/>
        </w:rPr>
        <w:t>אם</w:t>
      </w:r>
      <w:r>
        <w:rPr>
          <w:rtl/>
        </w:rPr>
        <w:t xml:space="preserve"> </w:t>
      </w:r>
      <w:r>
        <w:rPr>
          <w:rFonts w:hint="eastAsia"/>
          <w:rtl/>
        </w:rPr>
        <w:t>החזרת</w:t>
      </w:r>
      <w:r>
        <w:rPr>
          <w:rtl/>
        </w:rPr>
        <w:t xml:space="preserve"> </w:t>
      </w:r>
      <w:r>
        <w:rPr>
          <w:rFonts w:hint="eastAsia"/>
          <w:rtl/>
        </w:rPr>
        <w:t>פנים</w:t>
      </w:r>
      <w:r>
        <w:rPr>
          <w:rtl/>
        </w:rPr>
        <w:t xml:space="preserve"> </w:t>
      </w:r>
      <w:r>
        <w:rPr>
          <w:rFonts w:hint="eastAsia"/>
          <w:rtl/>
        </w:rPr>
        <w:t>מהני</w:t>
      </w:r>
      <w:r>
        <w:rPr>
          <w:rtl/>
        </w:rPr>
        <w:t xml:space="preserve"> </w:t>
      </w:r>
      <w:r>
        <w:rPr>
          <w:rFonts w:hint="eastAsia"/>
          <w:rtl/>
        </w:rPr>
        <w:t>שלא</w:t>
      </w:r>
      <w:r>
        <w:rPr>
          <w:rtl/>
        </w:rPr>
        <w:t xml:space="preserve"> </w:t>
      </w:r>
      <w:r>
        <w:rPr>
          <w:rFonts w:hint="eastAsia"/>
          <w:rtl/>
        </w:rPr>
        <w:t>יהי</w:t>
      </w:r>
      <w:r>
        <w:rPr>
          <w:rtl/>
        </w:rPr>
        <w:t xml:space="preserve">' </w:t>
      </w:r>
      <w:r>
        <w:rPr>
          <w:rFonts w:hint="eastAsia"/>
          <w:rtl/>
        </w:rPr>
        <w:t>בזה</w:t>
      </w:r>
      <w:r>
        <w:rPr>
          <w:rtl/>
        </w:rPr>
        <w:t xml:space="preserve"> </w:t>
      </w:r>
      <w:r>
        <w:rPr>
          <w:rFonts w:hint="eastAsia"/>
          <w:rtl/>
        </w:rPr>
        <w:t>משום</w:t>
      </w:r>
      <w:r>
        <w:rPr>
          <w:rtl/>
        </w:rPr>
        <w:t xml:space="preserve"> </w:t>
      </w:r>
      <w:r>
        <w:rPr>
          <w:rFonts w:hint="eastAsia"/>
          <w:rtl/>
        </w:rPr>
        <w:t>תוספת</w:t>
      </w:r>
      <w:r>
        <w:rPr>
          <w:rtl/>
        </w:rPr>
        <w:t xml:space="preserve"> </w:t>
      </w:r>
      <w:r>
        <w:rPr>
          <w:rFonts w:hint="eastAsia"/>
          <w:rtl/>
        </w:rPr>
        <w:t>תלוי</w:t>
      </w:r>
      <w:r>
        <w:rPr>
          <w:rtl/>
        </w:rPr>
        <w:t xml:space="preserve"> </w:t>
      </w:r>
      <w:r>
        <w:rPr>
          <w:rFonts w:hint="eastAsia"/>
          <w:rtl/>
        </w:rPr>
        <w:t>בספיקתו</w:t>
      </w:r>
      <w:r>
        <w:rPr>
          <w:rtl/>
        </w:rPr>
        <w:t xml:space="preserve"> </w:t>
      </w:r>
      <w:r>
        <w:rPr>
          <w:rFonts w:hint="eastAsia"/>
          <w:rtl/>
        </w:rPr>
        <w:t>בסעי</w:t>
      </w:r>
      <w:r>
        <w:rPr>
          <w:rtl/>
        </w:rPr>
        <w:t xml:space="preserve">' </w:t>
      </w:r>
      <w:r>
        <w:rPr>
          <w:rFonts w:hint="eastAsia"/>
          <w:rtl/>
        </w:rPr>
        <w:t>כ</w:t>
      </w:r>
      <w:r>
        <w:rPr>
          <w:rtl/>
        </w:rPr>
        <w:t>"</w:t>
      </w:r>
      <w:r>
        <w:rPr>
          <w:rFonts w:hint="eastAsia"/>
          <w:rtl/>
        </w:rPr>
        <w:t>ג</w:t>
      </w:r>
      <w:r>
        <w:rPr>
          <w:rtl/>
        </w:rPr>
        <w:t xml:space="preserve"> </w:t>
      </w:r>
      <w:r>
        <w:rPr>
          <w:rFonts w:hint="eastAsia"/>
          <w:rtl/>
        </w:rPr>
        <w:t>אם</w:t>
      </w:r>
      <w:r>
        <w:rPr>
          <w:rtl/>
        </w:rPr>
        <w:t xml:space="preserve"> </w:t>
      </w:r>
      <w:r>
        <w:rPr>
          <w:rFonts w:hint="eastAsia"/>
          <w:rtl/>
        </w:rPr>
        <w:t>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rtl/>
        </w:rPr>
        <w:t>מעכב</w:t>
      </w:r>
      <w:r>
        <w:rPr>
          <w:rtl/>
        </w:rPr>
        <w:t xml:space="preserve">, </w:t>
      </w:r>
      <w:r>
        <w:rPr>
          <w:rFonts w:hint="eastAsia"/>
          <w:rtl/>
        </w:rPr>
        <w:t>דאם</w:t>
      </w:r>
      <w:r>
        <w:rPr>
          <w:rtl/>
        </w:rPr>
        <w:t xml:space="preserve"> </w:t>
      </w:r>
      <w:r>
        <w:rPr>
          <w:rFonts w:hint="eastAsia"/>
          <w:rtl/>
        </w:rPr>
        <w:t>מעכב</w:t>
      </w:r>
      <w:r>
        <w:rPr>
          <w:rtl/>
        </w:rPr>
        <w:t xml:space="preserve"> </w:t>
      </w:r>
      <w:r>
        <w:rPr>
          <w:rFonts w:hint="eastAsia"/>
          <w:rtl/>
        </w:rPr>
        <w:t>אינו</w:t>
      </w:r>
      <w:r>
        <w:rPr>
          <w:rtl/>
        </w:rPr>
        <w:t xml:space="preserve"> </w:t>
      </w:r>
      <w:r>
        <w:rPr>
          <w:rFonts w:hint="eastAsia"/>
          <w:rtl/>
        </w:rPr>
        <w:t>עובר</w:t>
      </w:r>
      <w:r>
        <w:rPr>
          <w:rtl/>
        </w:rPr>
        <w:t xml:space="preserve"> </w:t>
      </w:r>
      <w:r>
        <w:rPr>
          <w:rFonts w:hint="eastAsia"/>
          <w:rtl/>
        </w:rPr>
        <w:t>כאן</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משא</w:t>
      </w:r>
      <w:r>
        <w:rPr>
          <w:rtl/>
        </w:rPr>
        <w:t>"</w:t>
      </w:r>
      <w:r>
        <w:rPr>
          <w:rFonts w:hint="eastAsia"/>
          <w:rtl/>
        </w:rPr>
        <w:t>כ</w:t>
      </w:r>
      <w:r>
        <w:rPr>
          <w:rtl/>
        </w:rPr>
        <w:t xml:space="preserve"> </w:t>
      </w:r>
      <w:r>
        <w:rPr>
          <w:rFonts w:hint="eastAsia"/>
          <w:rtl/>
        </w:rPr>
        <w:t>אם</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עיי</w:t>
      </w:r>
      <w:r>
        <w:rPr>
          <w:rtl/>
        </w:rPr>
        <w:t>"</w:t>
      </w:r>
      <w:r>
        <w:rPr>
          <w:rFonts w:hint="eastAsia"/>
          <w:rtl/>
        </w:rPr>
        <w:t>ש</w:t>
      </w:r>
      <w:r>
        <w:rPr>
          <w:rtl/>
        </w:rPr>
        <w:t>.</w:t>
      </w:r>
    </w:p>
    <w:p w14:paraId="1BA369B6" w14:textId="77777777" w:rsidR="00657259" w:rsidRDefault="00657259" w:rsidP="00E60D97">
      <w:pPr>
        <w:pStyle w:val="a3"/>
        <w:rPr>
          <w:rtl/>
        </w:rPr>
      </w:pPr>
      <w:r>
        <w:rPr>
          <w:rFonts w:hint="eastAsia"/>
          <w:rtl/>
        </w:rPr>
        <w:t>לכאורה</w:t>
      </w:r>
      <w:r>
        <w:rPr>
          <w:rtl/>
        </w:rPr>
        <w:t xml:space="preserve"> </w:t>
      </w:r>
      <w:r>
        <w:rPr>
          <w:rFonts w:hint="eastAsia"/>
          <w:rtl/>
        </w:rPr>
        <w:t>אינו</w:t>
      </w:r>
      <w:r>
        <w:rPr>
          <w:rtl/>
        </w:rPr>
        <w:t xml:space="preserve"> </w:t>
      </w:r>
      <w:r>
        <w:rPr>
          <w:rFonts w:hint="eastAsia"/>
          <w:rtl/>
        </w:rPr>
        <w:t>מובן</w:t>
      </w:r>
      <w:r>
        <w:rPr>
          <w:rtl/>
        </w:rPr>
        <w:t xml:space="preserve"> </w:t>
      </w:r>
      <w:r>
        <w:rPr>
          <w:rFonts w:hint="eastAsia"/>
          <w:rtl/>
        </w:rPr>
        <w:t>שהרי</w:t>
      </w:r>
      <w:r>
        <w:rPr>
          <w:rtl/>
        </w:rPr>
        <w:t xml:space="preserve"> </w:t>
      </w:r>
      <w:r>
        <w:rPr>
          <w:rFonts w:hint="eastAsia"/>
          <w:rtl/>
        </w:rPr>
        <w:t>בסעי</w:t>
      </w:r>
      <w:r>
        <w:rPr>
          <w:rtl/>
        </w:rPr>
        <w:t xml:space="preserve">' </w:t>
      </w:r>
      <w:r>
        <w:rPr>
          <w:rFonts w:hint="eastAsia"/>
          <w:rtl/>
        </w:rPr>
        <w:t>מ</w:t>
      </w:r>
      <w:r>
        <w:rPr>
          <w:rtl/>
        </w:rPr>
        <w:t xml:space="preserve">' </w:t>
      </w:r>
      <w:r>
        <w:rPr>
          <w:rFonts w:hint="eastAsia"/>
          <w:rtl/>
        </w:rPr>
        <w:t>הזכיר</w:t>
      </w:r>
      <w:r>
        <w:rPr>
          <w:rtl/>
        </w:rPr>
        <w:t xml:space="preserve"> </w:t>
      </w:r>
      <w:r>
        <w:rPr>
          <w:rFonts w:hint="eastAsia"/>
          <w:rtl/>
        </w:rPr>
        <w:t>אדה</w:t>
      </w:r>
      <w:r>
        <w:rPr>
          <w:rtl/>
        </w:rPr>
        <w:t>"</w:t>
      </w:r>
      <w:r>
        <w:rPr>
          <w:rFonts w:hint="eastAsia"/>
          <w:rtl/>
        </w:rPr>
        <w:t>ז</w:t>
      </w:r>
      <w:r>
        <w:rPr>
          <w:rtl/>
        </w:rPr>
        <w:t xml:space="preserve"> </w:t>
      </w:r>
      <w:r>
        <w:rPr>
          <w:rFonts w:hint="eastAsia"/>
          <w:rtl/>
        </w:rPr>
        <w:t>ג</w:t>
      </w:r>
      <w:r>
        <w:rPr>
          <w:rtl/>
        </w:rPr>
        <w:t>"</w:t>
      </w:r>
      <w:r>
        <w:rPr>
          <w:rFonts w:hint="eastAsia"/>
          <w:rtl/>
        </w:rPr>
        <w:t>כ</w:t>
      </w:r>
      <w:r>
        <w:rPr>
          <w:rtl/>
        </w:rPr>
        <w:t xml:space="preserve"> "</w:t>
      </w:r>
      <w:r>
        <w:rPr>
          <w:rFonts w:hint="eastAsia"/>
          <w:rtl/>
        </w:rPr>
        <w:t>מפני</w:t>
      </w:r>
      <w:r>
        <w:rPr>
          <w:rtl/>
        </w:rPr>
        <w:t xml:space="preserve"> </w:t>
      </w:r>
      <w:r>
        <w:rPr>
          <w:rFonts w:hint="eastAsia"/>
          <w:rtl/>
        </w:rPr>
        <w:t>שכבר</w:t>
      </w:r>
      <w:r>
        <w:rPr>
          <w:rtl/>
        </w:rPr>
        <w:t xml:space="preserve"> </w:t>
      </w:r>
      <w:r>
        <w:rPr>
          <w:rFonts w:hint="eastAsia"/>
          <w:bCs/>
          <w:rtl/>
        </w:rPr>
        <w:t>פשטו</w:t>
      </w:r>
      <w:r>
        <w:rPr>
          <w:bCs/>
          <w:rtl/>
        </w:rPr>
        <w:t xml:space="preserve"> </w:t>
      </w:r>
      <w:r>
        <w:rPr>
          <w:rFonts w:hint="eastAsia"/>
          <w:bCs/>
          <w:rtl/>
        </w:rPr>
        <w:t>כפיהם</w:t>
      </w:r>
      <w:r>
        <w:rPr>
          <w:rtl/>
        </w:rPr>
        <w:t xml:space="preserve">" </w:t>
      </w:r>
      <w:r>
        <w:rPr>
          <w:rFonts w:hint="eastAsia"/>
          <w:rtl/>
        </w:rPr>
        <w:t>וזה</w:t>
      </w:r>
      <w:r>
        <w:rPr>
          <w:rtl/>
        </w:rPr>
        <w:t xml:space="preserve"> </w:t>
      </w:r>
      <w:r>
        <w:rPr>
          <w:rFonts w:hint="eastAsia"/>
          <w:rtl/>
        </w:rPr>
        <w:t>הרי</w:t>
      </w:r>
      <w:r>
        <w:rPr>
          <w:rtl/>
        </w:rPr>
        <w:t xml:space="preserve"> </w:t>
      </w:r>
      <w:r>
        <w:rPr>
          <w:rFonts w:hint="eastAsia"/>
          <w:rtl/>
        </w:rPr>
        <w:t>ודאי</w:t>
      </w:r>
      <w:r>
        <w:rPr>
          <w:rtl/>
        </w:rPr>
        <w:t xml:space="preserve"> </w:t>
      </w:r>
      <w:r>
        <w:rPr>
          <w:rFonts w:hint="eastAsia"/>
          <w:rtl/>
        </w:rPr>
        <w:t>מעכב</w:t>
      </w:r>
      <w:r>
        <w:rPr>
          <w:rtl/>
        </w:rPr>
        <w:t xml:space="preserve"> </w:t>
      </w:r>
      <w:r>
        <w:rPr>
          <w:rFonts w:hint="eastAsia"/>
          <w:rtl/>
        </w:rPr>
        <w:t>כנ</w:t>
      </w:r>
      <w:r>
        <w:rPr>
          <w:rtl/>
        </w:rPr>
        <w:t>"</w:t>
      </w:r>
      <w:r>
        <w:rPr>
          <w:rFonts w:hint="eastAsia"/>
          <w:rtl/>
        </w:rPr>
        <w:t>ל</w:t>
      </w:r>
      <w:r>
        <w:rPr>
          <w:rtl/>
        </w:rPr>
        <w:t xml:space="preserve"> </w:t>
      </w:r>
      <w:r>
        <w:rPr>
          <w:rFonts w:hint="eastAsia"/>
          <w:rtl/>
        </w:rPr>
        <w:t>שכן</w:t>
      </w:r>
      <w:r>
        <w:rPr>
          <w:rtl/>
        </w:rPr>
        <w:t xml:space="preserve"> </w:t>
      </w:r>
      <w:r>
        <w:rPr>
          <w:rFonts w:hint="eastAsia"/>
          <w:rtl/>
        </w:rPr>
        <w:t>משמע</w:t>
      </w:r>
      <w:r>
        <w:rPr>
          <w:rtl/>
        </w:rPr>
        <w:t xml:space="preserve"> </w:t>
      </w:r>
      <w:r>
        <w:rPr>
          <w:rFonts w:hint="eastAsia"/>
          <w:rtl/>
        </w:rPr>
        <w:t>מאדה</w:t>
      </w:r>
      <w:r>
        <w:rPr>
          <w:rtl/>
        </w:rPr>
        <w:t>"</w:t>
      </w:r>
      <w:r>
        <w:rPr>
          <w:rFonts w:hint="eastAsia"/>
          <w:rtl/>
        </w:rPr>
        <w:t>ז</w:t>
      </w:r>
      <w:r>
        <w:rPr>
          <w:rtl/>
        </w:rPr>
        <w:t xml:space="preserve"> </w:t>
      </w:r>
      <w:r>
        <w:rPr>
          <w:rFonts w:hint="eastAsia"/>
          <w:rtl/>
        </w:rPr>
        <w:t>שכתב</w:t>
      </w:r>
      <w:r>
        <w:rPr>
          <w:rtl/>
        </w:rPr>
        <w:t xml:space="preserve"> </w:t>
      </w:r>
      <w:r>
        <w:rPr>
          <w:rFonts w:hint="eastAsia"/>
          <w:rtl/>
        </w:rPr>
        <w:t>רק</w:t>
      </w:r>
      <w:r>
        <w:rPr>
          <w:rtl/>
        </w:rPr>
        <w:t xml:space="preserve"> </w:t>
      </w:r>
      <w:r>
        <w:rPr>
          <w:rFonts w:hint="eastAsia"/>
          <w:rtl/>
        </w:rPr>
        <w:t>בנוגע</w:t>
      </w:r>
      <w:r>
        <w:rPr>
          <w:rtl/>
        </w:rPr>
        <w:t xml:space="preserve"> </w:t>
      </w:r>
      <w:r>
        <w:rPr>
          <w:rFonts w:hint="eastAsia"/>
          <w:rtl/>
        </w:rPr>
        <w:t>לפנים</w:t>
      </w:r>
      <w:r>
        <w:rPr>
          <w:rtl/>
        </w:rPr>
        <w:t xml:space="preserve"> </w:t>
      </w:r>
      <w:r>
        <w:rPr>
          <w:rFonts w:hint="eastAsia"/>
          <w:rtl/>
        </w:rPr>
        <w:t>אלא</w:t>
      </w:r>
      <w:r>
        <w:rPr>
          <w:rtl/>
        </w:rPr>
        <w:t xml:space="preserve"> </w:t>
      </w:r>
      <w:r>
        <w:rPr>
          <w:rFonts w:hint="eastAsia"/>
          <w:rtl/>
        </w:rPr>
        <w:t>פנים</w:t>
      </w:r>
      <w:r>
        <w:rPr>
          <w:rtl/>
        </w:rPr>
        <w:t xml:space="preserve"> </w:t>
      </w:r>
      <w:r>
        <w:rPr>
          <w:rFonts w:hint="eastAsia"/>
          <w:rtl/>
        </w:rPr>
        <w:t>שאינו</w:t>
      </w:r>
      <w:r>
        <w:rPr>
          <w:rtl/>
        </w:rPr>
        <w:t xml:space="preserve"> </w:t>
      </w:r>
      <w:r>
        <w:rPr>
          <w:rFonts w:hint="eastAsia"/>
          <w:rtl/>
        </w:rPr>
        <w:t>מעכב</w:t>
      </w:r>
      <w:r>
        <w:rPr>
          <w:rtl/>
        </w:rPr>
        <w:t xml:space="preserve">, </w:t>
      </w:r>
      <w:r>
        <w:rPr>
          <w:rFonts w:hint="eastAsia"/>
          <w:rtl/>
        </w:rPr>
        <w:t>וא</w:t>
      </w:r>
      <w:r>
        <w:rPr>
          <w:rtl/>
        </w:rPr>
        <w:t>"</w:t>
      </w:r>
      <w:r>
        <w:rPr>
          <w:rFonts w:hint="eastAsia"/>
          <w:rtl/>
        </w:rPr>
        <w:t>כ</w:t>
      </w:r>
      <w:r>
        <w:rPr>
          <w:rtl/>
        </w:rPr>
        <w:t xml:space="preserve"> </w:t>
      </w:r>
      <w:r>
        <w:rPr>
          <w:rFonts w:hint="eastAsia"/>
          <w:rtl/>
        </w:rPr>
        <w:t>ודאי</w:t>
      </w:r>
      <w:r>
        <w:rPr>
          <w:rtl/>
        </w:rPr>
        <w:t xml:space="preserve"> </w:t>
      </w:r>
      <w:r>
        <w:rPr>
          <w:rFonts w:hint="eastAsia"/>
          <w:rtl/>
        </w:rPr>
        <w:t>בהשקיפה</w:t>
      </w:r>
      <w:r>
        <w:rPr>
          <w:rtl/>
        </w:rPr>
        <w:t xml:space="preserve"> </w:t>
      </w:r>
      <w:r>
        <w:rPr>
          <w:rFonts w:hint="eastAsia"/>
          <w:rtl/>
        </w:rPr>
        <w:t>אינו</w:t>
      </w:r>
      <w:r>
        <w:rPr>
          <w:rtl/>
        </w:rPr>
        <w:t xml:space="preserve"> </w:t>
      </w:r>
      <w:r>
        <w:rPr>
          <w:rFonts w:hint="eastAsia"/>
          <w:rtl/>
        </w:rPr>
        <w:t>עובר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כיון</w:t>
      </w:r>
      <w:r>
        <w:rPr>
          <w:rtl/>
        </w:rPr>
        <w:t xml:space="preserve"> </w:t>
      </w:r>
      <w:r>
        <w:rPr>
          <w:rFonts w:hint="eastAsia"/>
          <w:rtl/>
        </w:rPr>
        <w:t>שאינו</w:t>
      </w:r>
      <w:r>
        <w:rPr>
          <w:rtl/>
        </w:rPr>
        <w:t xml:space="preserve"> </w:t>
      </w:r>
      <w:r>
        <w:rPr>
          <w:rFonts w:hint="eastAsia"/>
          <w:rtl/>
        </w:rPr>
        <w:t>בנשיאות</w:t>
      </w:r>
      <w:r>
        <w:rPr>
          <w:rtl/>
        </w:rPr>
        <w:t xml:space="preserve"> </w:t>
      </w:r>
      <w:r>
        <w:rPr>
          <w:rFonts w:hint="eastAsia"/>
          <w:rtl/>
        </w:rPr>
        <w:t>כפים</w:t>
      </w:r>
      <w:r>
        <w:rPr>
          <w:rtl/>
        </w:rPr>
        <w:t>?</w:t>
      </w:r>
    </w:p>
    <w:p w14:paraId="671B209D" w14:textId="77777777" w:rsidR="00657259" w:rsidRDefault="00657259" w:rsidP="00E60D97">
      <w:pPr>
        <w:pStyle w:val="a3"/>
        <w:rPr>
          <w:rtl/>
        </w:rPr>
      </w:pPr>
      <w:r>
        <w:rPr>
          <w:rFonts w:hint="eastAsia"/>
          <w:rtl/>
        </w:rPr>
        <w:t>וכבר</w:t>
      </w:r>
      <w:r>
        <w:rPr>
          <w:rtl/>
        </w:rPr>
        <w:t xml:space="preserve"> </w:t>
      </w:r>
      <w:r>
        <w:rPr>
          <w:rFonts w:hint="eastAsia"/>
          <w:rtl/>
        </w:rPr>
        <w:t>הובא</w:t>
      </w:r>
      <w:r>
        <w:rPr>
          <w:rtl/>
        </w:rPr>
        <w:t xml:space="preserve"> </w:t>
      </w:r>
      <w:r>
        <w:rPr>
          <w:rFonts w:hint="eastAsia"/>
          <w:rtl/>
        </w:rPr>
        <w:t>לעיל</w:t>
      </w:r>
      <w:r>
        <w:rPr>
          <w:rtl/>
        </w:rPr>
        <w:t xml:space="preserve"> </w:t>
      </w:r>
      <w:r>
        <w:rPr>
          <w:rFonts w:hint="eastAsia"/>
          <w:rtl/>
        </w:rPr>
        <w:t>מהנוב</w:t>
      </w:r>
      <w:r>
        <w:rPr>
          <w:rtl/>
        </w:rPr>
        <w:t>"</w:t>
      </w:r>
      <w:r>
        <w:rPr>
          <w:rFonts w:hint="eastAsia"/>
          <w:rtl/>
        </w:rPr>
        <w:t>י</w:t>
      </w:r>
      <w:r>
        <w:rPr>
          <w:rtl/>
        </w:rPr>
        <w:t xml:space="preserve"> </w:t>
      </w:r>
      <w:r>
        <w:rPr>
          <w:rFonts w:hint="eastAsia"/>
          <w:rtl/>
        </w:rPr>
        <w:t>דנקט</w:t>
      </w:r>
      <w:r>
        <w:rPr>
          <w:rtl/>
        </w:rPr>
        <w:t xml:space="preserve"> </w:t>
      </w:r>
      <w:r>
        <w:rPr>
          <w:rFonts w:hint="eastAsia"/>
          <w:rtl/>
        </w:rPr>
        <w:t>בפשיטות</w:t>
      </w:r>
      <w:r>
        <w:rPr>
          <w:rtl/>
        </w:rPr>
        <w:t xml:space="preserve"> </w:t>
      </w:r>
      <w:r>
        <w:rPr>
          <w:rFonts w:hint="eastAsia"/>
          <w:rtl/>
        </w:rPr>
        <w:t>דנשיאות</w:t>
      </w:r>
      <w:r>
        <w:rPr>
          <w:rtl/>
        </w:rPr>
        <w:t xml:space="preserve"> </w:t>
      </w:r>
      <w:r>
        <w:rPr>
          <w:rFonts w:hint="eastAsia"/>
          <w:rtl/>
        </w:rPr>
        <w:t>כפים</w:t>
      </w:r>
      <w:r>
        <w:rPr>
          <w:rtl/>
        </w:rPr>
        <w:t xml:space="preserve"> </w:t>
      </w:r>
      <w:r>
        <w:rPr>
          <w:rFonts w:hint="eastAsia"/>
          <w:rtl/>
        </w:rPr>
        <w:t>מעכב</w:t>
      </w:r>
      <w:r>
        <w:rPr>
          <w:rtl/>
        </w:rPr>
        <w:t xml:space="preserve">, </w:t>
      </w:r>
      <w:r>
        <w:rPr>
          <w:rFonts w:hint="eastAsia"/>
          <w:rtl/>
        </w:rPr>
        <w:t>וראה</w:t>
      </w:r>
      <w:r>
        <w:rPr>
          <w:rtl/>
        </w:rPr>
        <w:t xml:space="preserve"> </w:t>
      </w:r>
      <w:r>
        <w:rPr>
          <w:rFonts w:hint="eastAsia"/>
          <w:rtl/>
        </w:rPr>
        <w:t>גם</w:t>
      </w:r>
      <w:r>
        <w:rPr>
          <w:rtl/>
        </w:rPr>
        <w:t xml:space="preserve"> </w:t>
      </w:r>
      <w:r>
        <w:rPr>
          <w:rFonts w:hint="eastAsia"/>
          <w:rtl/>
        </w:rPr>
        <w:t>בס</w:t>
      </w:r>
      <w:r>
        <w:rPr>
          <w:rtl/>
        </w:rPr>
        <w:t xml:space="preserve">' </w:t>
      </w:r>
      <w:r>
        <w:rPr>
          <w:rFonts w:hint="eastAsia"/>
          <w:rtl/>
        </w:rPr>
        <w:t>מנחת</w:t>
      </w:r>
      <w:r>
        <w:rPr>
          <w:rtl/>
        </w:rPr>
        <w:t xml:space="preserve"> </w:t>
      </w:r>
      <w:r>
        <w:rPr>
          <w:rFonts w:hint="eastAsia"/>
          <w:rtl/>
        </w:rPr>
        <w:t>קנאות</w:t>
      </w:r>
      <w:r>
        <w:rPr>
          <w:rtl/>
        </w:rPr>
        <w:t xml:space="preserve"> </w:t>
      </w:r>
      <w:r>
        <w:rPr>
          <w:rFonts w:hint="eastAsia"/>
          <w:rtl/>
        </w:rPr>
        <w:t>סוטה</w:t>
      </w:r>
      <w:r>
        <w:rPr>
          <w:rtl/>
        </w:rPr>
        <w:t xml:space="preserve"> </w:t>
      </w:r>
      <w:r>
        <w:rPr>
          <w:rFonts w:hint="eastAsia"/>
          <w:rtl/>
        </w:rPr>
        <w:t>לח</w:t>
      </w:r>
      <w:r>
        <w:rPr>
          <w:rtl/>
        </w:rPr>
        <w:t>,</w:t>
      </w:r>
      <w:r>
        <w:rPr>
          <w:rFonts w:hint="eastAsia"/>
          <w:rtl/>
        </w:rPr>
        <w:t>א</w:t>
      </w:r>
      <w:r>
        <w:rPr>
          <w:rtl/>
        </w:rPr>
        <w:t xml:space="preserve">, </w:t>
      </w:r>
      <w:r>
        <w:rPr>
          <w:rFonts w:hint="eastAsia"/>
          <w:rtl/>
        </w:rPr>
        <w:t>שהוכיח</w:t>
      </w:r>
      <w:r>
        <w:rPr>
          <w:rtl/>
        </w:rPr>
        <w:t xml:space="preserve"> </w:t>
      </w:r>
      <w:r>
        <w:rPr>
          <w:rFonts w:hint="eastAsia"/>
          <w:rtl/>
        </w:rPr>
        <w:t>כן</w:t>
      </w:r>
      <w:r>
        <w:rPr>
          <w:rtl/>
        </w:rPr>
        <w:t xml:space="preserve"> </w:t>
      </w:r>
      <w:r>
        <w:rPr>
          <w:rFonts w:hint="eastAsia"/>
          <w:rtl/>
        </w:rPr>
        <w:t>מהדין</w:t>
      </w:r>
      <w:r>
        <w:rPr>
          <w:rtl/>
        </w:rPr>
        <w:t xml:space="preserve"> </w:t>
      </w:r>
      <w:r>
        <w:rPr>
          <w:rFonts w:hint="eastAsia"/>
          <w:rtl/>
        </w:rPr>
        <w:t>דכהן</w:t>
      </w:r>
      <w:r>
        <w:rPr>
          <w:rtl/>
        </w:rPr>
        <w:t xml:space="preserve"> </w:t>
      </w:r>
      <w:r>
        <w:rPr>
          <w:rFonts w:hint="eastAsia"/>
          <w:rtl/>
        </w:rPr>
        <w:t>שהרג</w:t>
      </w:r>
      <w:r>
        <w:rPr>
          <w:rtl/>
        </w:rPr>
        <w:t xml:space="preserve"> </w:t>
      </w:r>
      <w:r>
        <w:rPr>
          <w:rFonts w:hint="eastAsia"/>
          <w:rtl/>
        </w:rPr>
        <w:t>את</w:t>
      </w:r>
      <w:r>
        <w:rPr>
          <w:rtl/>
        </w:rPr>
        <w:t xml:space="preserve"> </w:t>
      </w:r>
      <w:r>
        <w:rPr>
          <w:rFonts w:hint="eastAsia"/>
          <w:rtl/>
        </w:rPr>
        <w:t>הנפש</w:t>
      </w:r>
      <w:r>
        <w:rPr>
          <w:rtl/>
        </w:rPr>
        <w:t xml:space="preserve"> </w:t>
      </w:r>
      <w:r>
        <w:rPr>
          <w:rFonts w:hint="eastAsia"/>
          <w:rtl/>
        </w:rPr>
        <w:t>לא</w:t>
      </w:r>
      <w:r>
        <w:rPr>
          <w:rtl/>
        </w:rPr>
        <w:t xml:space="preserve"> </w:t>
      </w:r>
      <w:r>
        <w:rPr>
          <w:rFonts w:hint="eastAsia"/>
          <w:rtl/>
        </w:rPr>
        <w:t>ישא</w:t>
      </w:r>
      <w:r>
        <w:rPr>
          <w:rtl/>
        </w:rPr>
        <w:t xml:space="preserve"> </w:t>
      </w:r>
      <w:r>
        <w:rPr>
          <w:rFonts w:hint="eastAsia"/>
          <w:rtl/>
        </w:rPr>
        <w:t>את</w:t>
      </w:r>
      <w:r>
        <w:rPr>
          <w:rtl/>
        </w:rPr>
        <w:t xml:space="preserve"> </w:t>
      </w:r>
      <w:r>
        <w:rPr>
          <w:rFonts w:hint="eastAsia"/>
          <w:rtl/>
        </w:rPr>
        <w:t>כפיו</w:t>
      </w:r>
      <w:r>
        <w:rPr>
          <w:rtl/>
        </w:rPr>
        <w:t xml:space="preserve"> </w:t>
      </w:r>
      <w:r>
        <w:rPr>
          <w:rFonts w:hint="eastAsia"/>
          <w:rtl/>
        </w:rPr>
        <w:t>מפני</w:t>
      </w:r>
      <w:r>
        <w:rPr>
          <w:rtl/>
        </w:rPr>
        <w:t xml:space="preserve"> </w:t>
      </w:r>
      <w:r>
        <w:rPr>
          <w:rFonts w:hint="eastAsia"/>
          <w:rtl/>
        </w:rPr>
        <w:t>שהרגו</w:t>
      </w:r>
      <w:r>
        <w:rPr>
          <w:rtl/>
        </w:rPr>
        <w:t xml:space="preserve"> </w:t>
      </w:r>
      <w:r>
        <w:rPr>
          <w:rFonts w:hint="eastAsia"/>
          <w:rtl/>
        </w:rPr>
        <w:t>בידו</w:t>
      </w:r>
      <w:r>
        <w:rPr>
          <w:rtl/>
        </w:rPr>
        <w:t xml:space="preserve"> </w:t>
      </w:r>
      <w:r>
        <w:rPr>
          <w:rFonts w:hint="eastAsia"/>
          <w:rtl/>
        </w:rPr>
        <w:t>ואין</w:t>
      </w:r>
      <w:r>
        <w:rPr>
          <w:rtl/>
        </w:rPr>
        <w:t xml:space="preserve"> </w:t>
      </w:r>
      <w:r>
        <w:rPr>
          <w:rFonts w:hint="eastAsia"/>
          <w:rtl/>
        </w:rPr>
        <w:t>קטיגור</w:t>
      </w:r>
      <w:r>
        <w:rPr>
          <w:rtl/>
        </w:rPr>
        <w:t xml:space="preserve"> </w:t>
      </w:r>
      <w:r>
        <w:rPr>
          <w:rFonts w:hint="eastAsia"/>
          <w:rtl/>
        </w:rPr>
        <w:t>נעשה</w:t>
      </w:r>
      <w:r>
        <w:rPr>
          <w:rtl/>
        </w:rPr>
        <w:t xml:space="preserve"> </w:t>
      </w:r>
      <w:r>
        <w:rPr>
          <w:rFonts w:hint="eastAsia"/>
          <w:rtl/>
        </w:rPr>
        <w:t>סניגור</w:t>
      </w:r>
      <w:r>
        <w:rPr>
          <w:rtl/>
        </w:rPr>
        <w:t xml:space="preserve">, </w:t>
      </w:r>
      <w:r>
        <w:rPr>
          <w:rFonts w:hint="eastAsia"/>
          <w:rtl/>
        </w:rPr>
        <w:t>ואי</w:t>
      </w:r>
      <w:r>
        <w:rPr>
          <w:rtl/>
        </w:rPr>
        <w:t xml:space="preserve"> </w:t>
      </w:r>
      <w:r>
        <w:rPr>
          <w:rFonts w:hint="eastAsia"/>
          <w:rtl/>
        </w:rPr>
        <w:t>נימא</w:t>
      </w:r>
      <w:r>
        <w:rPr>
          <w:rtl/>
        </w:rPr>
        <w:t xml:space="preserve"> </w:t>
      </w:r>
      <w:r>
        <w:rPr>
          <w:rFonts w:hint="eastAsia"/>
          <w:rtl/>
        </w:rPr>
        <w:t>דנשיאת</w:t>
      </w:r>
      <w:r>
        <w:rPr>
          <w:rtl/>
        </w:rPr>
        <w:t xml:space="preserve"> </w:t>
      </w:r>
      <w:r>
        <w:rPr>
          <w:rFonts w:hint="eastAsia"/>
          <w:rtl/>
        </w:rPr>
        <w:t>כפים</w:t>
      </w:r>
      <w:r>
        <w:rPr>
          <w:rtl/>
        </w:rPr>
        <w:t xml:space="preserve"> </w:t>
      </w:r>
      <w:r>
        <w:rPr>
          <w:rFonts w:hint="eastAsia"/>
          <w:rtl/>
        </w:rPr>
        <w:t>במדינה</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יברך</w:t>
      </w:r>
      <w:r>
        <w:rPr>
          <w:rtl/>
        </w:rPr>
        <w:t xml:space="preserve"> </w:t>
      </w:r>
      <w:r>
        <w:rPr>
          <w:rFonts w:hint="eastAsia"/>
          <w:rtl/>
        </w:rPr>
        <w:t>בלי</w:t>
      </w:r>
      <w:r>
        <w:rPr>
          <w:rtl/>
        </w:rPr>
        <w:t xml:space="preserve"> </w:t>
      </w:r>
      <w:r>
        <w:rPr>
          <w:rFonts w:hint="eastAsia"/>
          <w:rtl/>
        </w:rPr>
        <w:t>נשיאות</w:t>
      </w:r>
      <w:r>
        <w:rPr>
          <w:rtl/>
        </w:rPr>
        <w:t xml:space="preserve"> </w:t>
      </w:r>
      <w:r>
        <w:rPr>
          <w:rFonts w:hint="eastAsia"/>
          <w:rtl/>
        </w:rPr>
        <w:t>כפים</w:t>
      </w:r>
      <w:r>
        <w:rPr>
          <w:rtl/>
        </w:rPr>
        <w:t xml:space="preserve">, </w:t>
      </w:r>
      <w:r>
        <w:rPr>
          <w:rFonts w:hint="eastAsia"/>
          <w:rtl/>
        </w:rPr>
        <w:t>ועי</w:t>
      </w:r>
      <w:r>
        <w:rPr>
          <w:rtl/>
        </w:rPr>
        <w:t xml:space="preserve">' </w:t>
      </w:r>
      <w:r>
        <w:rPr>
          <w:rFonts w:hint="eastAsia"/>
          <w:rtl/>
        </w:rPr>
        <w:t>גם</w:t>
      </w:r>
      <w:r>
        <w:rPr>
          <w:rtl/>
        </w:rPr>
        <w:t xml:space="preserve"> </w:t>
      </w:r>
      <w:r>
        <w:rPr>
          <w:rFonts w:hint="eastAsia"/>
          <w:rtl/>
        </w:rPr>
        <w:t>פמ</w:t>
      </w:r>
      <w:r>
        <w:rPr>
          <w:rtl/>
        </w:rPr>
        <w:t>"</w:t>
      </w:r>
      <w:r>
        <w:rPr>
          <w:rFonts w:hint="eastAsia"/>
          <w:rtl/>
        </w:rPr>
        <w:t>ג</w:t>
      </w:r>
      <w:r>
        <w:rPr>
          <w:rtl/>
        </w:rPr>
        <w:t xml:space="preserve"> </w:t>
      </w:r>
      <w:r>
        <w:rPr>
          <w:rFonts w:hint="eastAsia"/>
          <w:rtl/>
        </w:rPr>
        <w:t>שם</w:t>
      </w:r>
      <w:r>
        <w:rPr>
          <w:rtl/>
        </w:rPr>
        <w:t xml:space="preserve"> </w:t>
      </w:r>
      <w:r>
        <w:rPr>
          <w:rFonts w:hint="eastAsia"/>
          <w:rtl/>
        </w:rPr>
        <w:t>בא</w:t>
      </w:r>
      <w:r>
        <w:rPr>
          <w:rtl/>
        </w:rPr>
        <w:t>"</w:t>
      </w:r>
      <w:r>
        <w:rPr>
          <w:rFonts w:hint="eastAsia"/>
          <w:rtl/>
        </w:rPr>
        <w:t>א</w:t>
      </w:r>
      <w:r>
        <w:rPr>
          <w:rtl/>
        </w:rPr>
        <w:t xml:space="preserve"> </w:t>
      </w:r>
      <w:r>
        <w:rPr>
          <w:rFonts w:hint="eastAsia"/>
          <w:rtl/>
        </w:rPr>
        <w:t>ס</w:t>
      </w:r>
      <w:r>
        <w:rPr>
          <w:rtl/>
        </w:rPr>
        <w:t>"</w:t>
      </w:r>
      <w:r>
        <w:rPr>
          <w:rFonts w:hint="eastAsia"/>
          <w:rtl/>
        </w:rPr>
        <w:t>ק</w:t>
      </w:r>
      <w:r>
        <w:rPr>
          <w:rtl/>
        </w:rPr>
        <w:t xml:space="preserve"> </w:t>
      </w:r>
      <w:r>
        <w:rPr>
          <w:rFonts w:hint="eastAsia"/>
          <w:rtl/>
        </w:rPr>
        <w:t>כ</w:t>
      </w:r>
      <w:r>
        <w:rPr>
          <w:rtl/>
        </w:rPr>
        <w:t>"</w:t>
      </w:r>
      <w:r>
        <w:rPr>
          <w:rFonts w:hint="eastAsia"/>
          <w:rtl/>
        </w:rPr>
        <w:t>א</w:t>
      </w:r>
      <w:r>
        <w:rPr>
          <w:rtl/>
        </w:rPr>
        <w:t xml:space="preserve"> </w:t>
      </w:r>
      <w:r>
        <w:rPr>
          <w:rFonts w:hint="eastAsia"/>
          <w:rtl/>
        </w:rPr>
        <w:t>שכ</w:t>
      </w:r>
      <w:r>
        <w:rPr>
          <w:rtl/>
        </w:rPr>
        <w:t>"</w:t>
      </w:r>
      <w:r>
        <w:rPr>
          <w:rFonts w:hint="eastAsia"/>
          <w:rtl/>
        </w:rPr>
        <w:t>כ</w:t>
      </w:r>
      <w:r>
        <w:rPr>
          <w:rtl/>
        </w:rPr>
        <w:t xml:space="preserve">, </w:t>
      </w:r>
      <w:r>
        <w:rPr>
          <w:rFonts w:hint="eastAsia"/>
          <w:rtl/>
        </w:rPr>
        <w:t>אף</w:t>
      </w:r>
      <w:r>
        <w:rPr>
          <w:rtl/>
        </w:rPr>
        <w:t xml:space="preserve"> </w:t>
      </w:r>
      <w:r>
        <w:rPr>
          <w:rFonts w:hint="eastAsia"/>
          <w:rtl/>
        </w:rPr>
        <w:t>דבשו</w:t>
      </w:r>
      <w:r>
        <w:rPr>
          <w:rtl/>
        </w:rPr>
        <w:t>"</w:t>
      </w:r>
      <w:r>
        <w:rPr>
          <w:rFonts w:hint="eastAsia"/>
          <w:rtl/>
        </w:rPr>
        <w:t>ת</w:t>
      </w:r>
      <w:r>
        <w:rPr>
          <w:rtl/>
        </w:rPr>
        <w:t xml:space="preserve"> </w:t>
      </w:r>
      <w:r>
        <w:rPr>
          <w:rFonts w:hint="eastAsia"/>
          <w:rtl/>
        </w:rPr>
        <w:t>הרדב</w:t>
      </w:r>
      <w:r>
        <w:rPr>
          <w:rtl/>
        </w:rPr>
        <w:t>"</w:t>
      </w:r>
      <w:r>
        <w:rPr>
          <w:rFonts w:hint="eastAsia"/>
          <w:rtl/>
        </w:rPr>
        <w:t>ז</w:t>
      </w:r>
      <w:r>
        <w:rPr>
          <w:rtl/>
        </w:rPr>
        <w:t xml:space="preserve"> </w:t>
      </w:r>
      <w:r>
        <w:rPr>
          <w:rFonts w:hint="eastAsia"/>
          <w:rtl/>
        </w:rPr>
        <w:t>ח</w:t>
      </w:r>
      <w:r>
        <w:rPr>
          <w:rtl/>
        </w:rPr>
        <w:t>"</w:t>
      </w:r>
      <w:r>
        <w:rPr>
          <w:rFonts w:hint="eastAsia"/>
          <w:rtl/>
        </w:rPr>
        <w:t>ה</w:t>
      </w:r>
      <w:r>
        <w:rPr>
          <w:rtl/>
        </w:rPr>
        <w:t xml:space="preserve"> </w:t>
      </w:r>
      <w:r>
        <w:rPr>
          <w:rFonts w:hint="eastAsia"/>
          <w:rtl/>
        </w:rPr>
        <w:t>ב</w:t>
      </w:r>
      <w:r>
        <w:rPr>
          <w:rtl/>
        </w:rPr>
        <w:t xml:space="preserve">' </w:t>
      </w:r>
      <w:r>
        <w:rPr>
          <w:rFonts w:hint="eastAsia"/>
          <w:rtl/>
        </w:rPr>
        <w:t>אלפים</w:t>
      </w:r>
      <w:r>
        <w:rPr>
          <w:rtl/>
        </w:rPr>
        <w:t xml:space="preserve"> </w:t>
      </w:r>
      <w:r>
        <w:rPr>
          <w:rFonts w:hint="eastAsia"/>
          <w:rtl/>
        </w:rPr>
        <w:t>תי</w:t>
      </w:r>
      <w:r>
        <w:rPr>
          <w:rtl/>
        </w:rPr>
        <w:t>"</w:t>
      </w:r>
      <w:r>
        <w:rPr>
          <w:rFonts w:hint="eastAsia"/>
          <w:rtl/>
        </w:rPr>
        <w:t>ז</w:t>
      </w:r>
      <w:r>
        <w:rPr>
          <w:rtl/>
        </w:rPr>
        <w:t xml:space="preserve">, </w:t>
      </w:r>
      <w:r>
        <w:rPr>
          <w:rFonts w:hint="eastAsia"/>
          <w:rtl/>
        </w:rPr>
        <w:t>ובשו</w:t>
      </w:r>
      <w:r>
        <w:rPr>
          <w:rtl/>
        </w:rPr>
        <w:t>"</w:t>
      </w:r>
      <w:r>
        <w:rPr>
          <w:rFonts w:hint="eastAsia"/>
          <w:rtl/>
        </w:rPr>
        <w:t>ת</w:t>
      </w:r>
      <w:r>
        <w:rPr>
          <w:rtl/>
        </w:rPr>
        <w:t xml:space="preserve"> </w:t>
      </w:r>
      <w:r>
        <w:rPr>
          <w:rFonts w:hint="eastAsia"/>
          <w:rtl/>
        </w:rPr>
        <w:t>שבות</w:t>
      </w:r>
      <w:r>
        <w:rPr>
          <w:rtl/>
        </w:rPr>
        <w:t xml:space="preserve"> </w:t>
      </w:r>
      <w:r>
        <w:rPr>
          <w:rFonts w:hint="eastAsia"/>
          <w:rtl/>
        </w:rPr>
        <w:t>יעקב</w:t>
      </w:r>
      <w:r>
        <w:rPr>
          <w:rtl/>
        </w:rPr>
        <w:t xml:space="preserve"> </w:t>
      </w:r>
      <w:r>
        <w:rPr>
          <w:rFonts w:hint="eastAsia"/>
          <w:rtl/>
        </w:rPr>
        <w:t>ח</w:t>
      </w:r>
      <w:r>
        <w:rPr>
          <w:rtl/>
        </w:rPr>
        <w:t>"</w:t>
      </w:r>
      <w:r>
        <w:rPr>
          <w:rFonts w:hint="eastAsia"/>
          <w:rtl/>
        </w:rPr>
        <w:t>ב</w:t>
      </w:r>
      <w:r>
        <w:rPr>
          <w:rtl/>
        </w:rPr>
        <w:t xml:space="preserve"> </w:t>
      </w:r>
      <w:r>
        <w:rPr>
          <w:rFonts w:hint="eastAsia"/>
          <w:rtl/>
        </w:rPr>
        <w:t>סי</w:t>
      </w:r>
      <w:r>
        <w:rPr>
          <w:rtl/>
        </w:rPr>
        <w:t xml:space="preserve">' </w:t>
      </w:r>
      <w:r>
        <w:rPr>
          <w:rFonts w:hint="eastAsia"/>
          <w:rtl/>
        </w:rPr>
        <w:t>א</w:t>
      </w:r>
      <w:r>
        <w:rPr>
          <w:rtl/>
        </w:rPr>
        <w:t xml:space="preserve">' </w:t>
      </w:r>
      <w:r>
        <w:rPr>
          <w:rFonts w:hint="eastAsia"/>
          <w:rtl/>
        </w:rPr>
        <w:t>סב</w:t>
      </w:r>
      <w:r>
        <w:rPr>
          <w:rtl/>
        </w:rPr>
        <w:t>"</w:t>
      </w:r>
      <w:r>
        <w:rPr>
          <w:rFonts w:hint="eastAsia"/>
          <w:rtl/>
        </w:rPr>
        <w:t>ל</w:t>
      </w:r>
      <w:r>
        <w:rPr>
          <w:rtl/>
        </w:rPr>
        <w:t xml:space="preserve"> </w:t>
      </w:r>
      <w:r>
        <w:rPr>
          <w:rFonts w:hint="eastAsia"/>
          <w:rtl/>
        </w:rPr>
        <w:t>דנשיאות</w:t>
      </w:r>
      <w:r>
        <w:rPr>
          <w:rtl/>
        </w:rPr>
        <w:t xml:space="preserve"> </w:t>
      </w:r>
      <w:r>
        <w:rPr>
          <w:rFonts w:hint="eastAsia"/>
          <w:rtl/>
        </w:rPr>
        <w:t>כפים</w:t>
      </w:r>
      <w:r>
        <w:rPr>
          <w:rtl/>
        </w:rPr>
        <w:t xml:space="preserve"> </w:t>
      </w:r>
      <w:r>
        <w:rPr>
          <w:rFonts w:hint="eastAsia"/>
          <w:rtl/>
        </w:rPr>
        <w:t>במדינה</w:t>
      </w:r>
      <w:r>
        <w:rPr>
          <w:rtl/>
        </w:rPr>
        <w:t xml:space="preserve"> </w:t>
      </w:r>
      <w:r>
        <w:rPr>
          <w:rFonts w:hint="eastAsia"/>
          <w:rtl/>
        </w:rPr>
        <w:t>אינה</w:t>
      </w:r>
      <w:r>
        <w:rPr>
          <w:rtl/>
        </w:rPr>
        <w:t xml:space="preserve"> </w:t>
      </w:r>
      <w:r>
        <w:rPr>
          <w:rFonts w:hint="eastAsia"/>
          <w:rtl/>
        </w:rPr>
        <w:t>מעכב</w:t>
      </w:r>
      <w:r>
        <w:rPr>
          <w:rtl/>
        </w:rPr>
        <w:t>.</w:t>
      </w:r>
    </w:p>
    <w:p w14:paraId="16BF1B67" w14:textId="77777777" w:rsidR="00657259" w:rsidRDefault="00657259" w:rsidP="00E60D97">
      <w:pPr>
        <w:pStyle w:val="a3"/>
        <w:rPr>
          <w:rtl/>
        </w:rPr>
      </w:pPr>
      <w:r>
        <w:rPr>
          <w:rFonts w:hint="eastAsia"/>
          <w:rtl/>
        </w:rPr>
        <w:t>ועי</w:t>
      </w:r>
      <w:r>
        <w:rPr>
          <w:rtl/>
        </w:rPr>
        <w:t xml:space="preserve">' </w:t>
      </w:r>
      <w:r>
        <w:rPr>
          <w:rFonts w:hint="eastAsia"/>
          <w:rtl/>
        </w:rPr>
        <w:t>בשו</w:t>
      </w:r>
      <w:r>
        <w:rPr>
          <w:rtl/>
        </w:rPr>
        <w:t>"</w:t>
      </w:r>
      <w:r>
        <w:rPr>
          <w:rFonts w:hint="eastAsia"/>
          <w:rtl/>
        </w:rPr>
        <w:t>ת</w:t>
      </w:r>
      <w:r>
        <w:rPr>
          <w:rtl/>
        </w:rPr>
        <w:t xml:space="preserve"> </w:t>
      </w:r>
      <w:r>
        <w:rPr>
          <w:rFonts w:hint="eastAsia"/>
          <w:rtl/>
        </w:rPr>
        <w:t>הר</w:t>
      </w:r>
      <w:r>
        <w:rPr>
          <w:rtl/>
        </w:rPr>
        <w:t xml:space="preserve"> </w:t>
      </w:r>
      <w:r>
        <w:rPr>
          <w:rFonts w:hint="eastAsia"/>
          <w:rtl/>
        </w:rPr>
        <w:t>צבי</w:t>
      </w:r>
      <w:r>
        <w:rPr>
          <w:rtl/>
        </w:rPr>
        <w:t xml:space="preserve"> </w:t>
      </w:r>
      <w:r>
        <w:rPr>
          <w:rFonts w:hint="eastAsia"/>
          <w:rtl/>
        </w:rPr>
        <w:t>או</w:t>
      </w:r>
      <w:r>
        <w:rPr>
          <w:rtl/>
        </w:rPr>
        <w:t>"</w:t>
      </w:r>
      <w:r>
        <w:rPr>
          <w:rFonts w:hint="eastAsia"/>
          <w:rtl/>
        </w:rPr>
        <w:t>ח</w:t>
      </w:r>
      <w:r>
        <w:rPr>
          <w:rtl/>
        </w:rPr>
        <w:t xml:space="preserve"> </w:t>
      </w:r>
      <w:r>
        <w:rPr>
          <w:rFonts w:hint="eastAsia"/>
          <w:rtl/>
        </w:rPr>
        <w:t>ח</w:t>
      </w:r>
      <w:r>
        <w:rPr>
          <w:rtl/>
        </w:rPr>
        <w:t>"</w:t>
      </w:r>
      <w:r>
        <w:rPr>
          <w:rFonts w:hint="eastAsia"/>
          <w:rtl/>
        </w:rPr>
        <w:t>א</w:t>
      </w:r>
      <w:r>
        <w:rPr>
          <w:rtl/>
        </w:rPr>
        <w:t xml:space="preserve"> </w:t>
      </w:r>
      <w:r>
        <w:rPr>
          <w:rFonts w:hint="eastAsia"/>
          <w:rtl/>
        </w:rPr>
        <w:t>סי</w:t>
      </w:r>
      <w:r>
        <w:rPr>
          <w:rtl/>
        </w:rPr>
        <w:t xml:space="preserve">' </w:t>
      </w:r>
      <w:r>
        <w:rPr>
          <w:rFonts w:hint="eastAsia"/>
          <w:rtl/>
        </w:rPr>
        <w:t>ס</w:t>
      </w:r>
      <w:r>
        <w:rPr>
          <w:rtl/>
        </w:rPr>
        <w:t>"</w:t>
      </w:r>
      <w:r>
        <w:rPr>
          <w:rFonts w:hint="eastAsia"/>
          <w:rtl/>
        </w:rPr>
        <w:t>ב</w:t>
      </w:r>
      <w:r>
        <w:rPr>
          <w:rtl/>
        </w:rPr>
        <w:t xml:space="preserve"> </w:t>
      </w:r>
      <w:r>
        <w:rPr>
          <w:rFonts w:hint="eastAsia"/>
          <w:rtl/>
        </w:rPr>
        <w:t>שכתב</w:t>
      </w:r>
      <w:r>
        <w:rPr>
          <w:rtl/>
        </w:rPr>
        <w:t xml:space="preserve"> </w:t>
      </w:r>
      <w:r>
        <w:rPr>
          <w:rFonts w:hint="eastAsia"/>
          <w:rtl/>
        </w:rPr>
        <w:t>שחכ</w:t>
      </w:r>
      <w:r>
        <w:rPr>
          <w:rtl/>
        </w:rPr>
        <w:t>"</w:t>
      </w:r>
      <w:r>
        <w:rPr>
          <w:rFonts w:hint="eastAsia"/>
          <w:rtl/>
        </w:rPr>
        <w:t>א</w:t>
      </w:r>
      <w:r>
        <w:rPr>
          <w:rtl/>
        </w:rPr>
        <w:t xml:space="preserve"> </w:t>
      </w:r>
      <w:r>
        <w:rPr>
          <w:rFonts w:hint="eastAsia"/>
          <w:rtl/>
        </w:rPr>
        <w:t>העיר</w:t>
      </w:r>
      <w:r>
        <w:rPr>
          <w:rtl/>
        </w:rPr>
        <w:t xml:space="preserve"> </w:t>
      </w:r>
      <w:r>
        <w:rPr>
          <w:rFonts w:hint="eastAsia"/>
          <w:rtl/>
        </w:rPr>
        <w:t>לו</w:t>
      </w:r>
      <w:r>
        <w:rPr>
          <w:rtl/>
        </w:rPr>
        <w:t xml:space="preserve"> </w:t>
      </w:r>
      <w:r>
        <w:rPr>
          <w:rFonts w:hint="eastAsia"/>
          <w:rtl/>
        </w:rPr>
        <w:t>דמדברי</w:t>
      </w:r>
      <w:r>
        <w:rPr>
          <w:rtl/>
        </w:rPr>
        <w:t xml:space="preserve"> </w:t>
      </w:r>
      <w:r>
        <w:rPr>
          <w:rFonts w:hint="eastAsia"/>
          <w:rtl/>
        </w:rPr>
        <w:t>אדה</w:t>
      </w:r>
      <w:r>
        <w:rPr>
          <w:rtl/>
        </w:rPr>
        <w:t>"</w:t>
      </w:r>
      <w:r>
        <w:rPr>
          <w:rFonts w:hint="eastAsia"/>
          <w:rtl/>
        </w:rPr>
        <w:t>ז</w:t>
      </w:r>
      <w:r>
        <w:rPr>
          <w:rtl/>
        </w:rPr>
        <w:t xml:space="preserve"> </w:t>
      </w:r>
      <w:r>
        <w:rPr>
          <w:rFonts w:hint="eastAsia"/>
          <w:rtl/>
        </w:rPr>
        <w:t>בשו</w:t>
      </w:r>
      <w:r>
        <w:rPr>
          <w:rtl/>
        </w:rPr>
        <w:t>"</w:t>
      </w:r>
      <w:r>
        <w:rPr>
          <w:rFonts w:hint="eastAsia"/>
          <w:rtl/>
        </w:rPr>
        <w:t>ע</w:t>
      </w:r>
      <w:r>
        <w:rPr>
          <w:rtl/>
        </w:rPr>
        <w:t xml:space="preserve"> </w:t>
      </w:r>
      <w:r>
        <w:rPr>
          <w:rFonts w:hint="eastAsia"/>
          <w:rtl/>
        </w:rPr>
        <w:t>מוכח</w:t>
      </w:r>
      <w:r>
        <w:rPr>
          <w:rtl/>
        </w:rPr>
        <w:t xml:space="preserve"> </w:t>
      </w:r>
      <w:r>
        <w:rPr>
          <w:rFonts w:hint="eastAsia"/>
          <w:rtl/>
        </w:rPr>
        <w:t>דאפילו</w:t>
      </w:r>
      <w:r>
        <w:rPr>
          <w:rtl/>
        </w:rPr>
        <w:t xml:space="preserve"> </w:t>
      </w:r>
      <w:r>
        <w:rPr>
          <w:rFonts w:hint="eastAsia"/>
          <w:rtl/>
        </w:rPr>
        <w:t>דברים</w:t>
      </w:r>
      <w:r>
        <w:rPr>
          <w:rtl/>
        </w:rPr>
        <w:t xml:space="preserve"> </w:t>
      </w:r>
      <w:r>
        <w:rPr>
          <w:rFonts w:hint="eastAsia"/>
          <w:rtl/>
        </w:rPr>
        <w:t>שאינם</w:t>
      </w:r>
      <w:r>
        <w:rPr>
          <w:rtl/>
        </w:rPr>
        <w:t xml:space="preserve"> </w:t>
      </w:r>
      <w:r>
        <w:rPr>
          <w:rFonts w:hint="eastAsia"/>
          <w:rtl/>
        </w:rPr>
        <w:t>מעכבים</w:t>
      </w:r>
      <w:r>
        <w:rPr>
          <w:rtl/>
        </w:rPr>
        <w:t xml:space="preserve"> </w:t>
      </w:r>
      <w:r>
        <w:rPr>
          <w:rFonts w:hint="eastAsia"/>
          <w:rtl/>
        </w:rPr>
        <w:t>בדיעבד</w:t>
      </w:r>
      <w:r>
        <w:rPr>
          <w:rtl/>
        </w:rPr>
        <w:t xml:space="preserve">, </w:t>
      </w:r>
      <w:r>
        <w:rPr>
          <w:rFonts w:hint="eastAsia"/>
          <w:rtl/>
        </w:rPr>
        <w:t>מ</w:t>
      </w:r>
      <w:r>
        <w:rPr>
          <w:rtl/>
        </w:rPr>
        <w:t>"</w:t>
      </w:r>
      <w:r>
        <w:rPr>
          <w:rFonts w:hint="eastAsia"/>
          <w:rtl/>
        </w:rPr>
        <w:t>מ</w:t>
      </w:r>
      <w:r>
        <w:rPr>
          <w:rtl/>
        </w:rPr>
        <w:t xml:space="preserve"> </w:t>
      </w:r>
      <w:r>
        <w:rPr>
          <w:rFonts w:hint="eastAsia"/>
          <w:rtl/>
        </w:rPr>
        <w:t>כיון</w:t>
      </w:r>
      <w:r>
        <w:rPr>
          <w:rtl/>
        </w:rPr>
        <w:t xml:space="preserve"> </w:t>
      </w:r>
      <w:r>
        <w:rPr>
          <w:rFonts w:hint="eastAsia"/>
          <w:rtl/>
        </w:rPr>
        <w:t>שצריכים</w:t>
      </w:r>
      <w:r>
        <w:rPr>
          <w:rtl/>
        </w:rPr>
        <w:t xml:space="preserve"> </w:t>
      </w:r>
      <w:r>
        <w:rPr>
          <w:rFonts w:hint="eastAsia"/>
          <w:rtl/>
        </w:rPr>
        <w:t>אותם</w:t>
      </w:r>
      <w:r>
        <w:rPr>
          <w:rtl/>
        </w:rPr>
        <w:t xml:space="preserve"> </w:t>
      </w:r>
      <w:r>
        <w:rPr>
          <w:rFonts w:hint="eastAsia"/>
          <w:rtl/>
        </w:rPr>
        <w:t>לכתחילה</w:t>
      </w:r>
      <w:r>
        <w:rPr>
          <w:rtl/>
        </w:rPr>
        <w:t xml:space="preserve">, </w:t>
      </w:r>
      <w:r>
        <w:rPr>
          <w:rFonts w:hint="eastAsia"/>
          <w:rtl/>
        </w:rPr>
        <w:t>אם</w:t>
      </w:r>
      <w:r>
        <w:rPr>
          <w:rtl/>
        </w:rPr>
        <w:t xml:space="preserve"> </w:t>
      </w:r>
      <w:r>
        <w:rPr>
          <w:rFonts w:hint="eastAsia"/>
          <w:rtl/>
        </w:rPr>
        <w:t>מוסיף</w:t>
      </w:r>
      <w:r>
        <w:rPr>
          <w:rtl/>
        </w:rPr>
        <w:t xml:space="preserve"> </w:t>
      </w:r>
      <w:r>
        <w:rPr>
          <w:rFonts w:hint="eastAsia"/>
          <w:rtl/>
        </w:rPr>
        <w:t>בלעדם</w:t>
      </w:r>
      <w:r>
        <w:rPr>
          <w:rtl/>
        </w:rPr>
        <w:t xml:space="preserve"> </w:t>
      </w:r>
      <w:r>
        <w:rPr>
          <w:rFonts w:hint="eastAsia"/>
          <w:rtl/>
        </w:rPr>
        <w:t>אינו</w:t>
      </w:r>
      <w:r>
        <w:rPr>
          <w:rtl/>
        </w:rPr>
        <w:t xml:space="preserve"> </w:t>
      </w:r>
      <w:r>
        <w:rPr>
          <w:rFonts w:hint="eastAsia"/>
          <w:rtl/>
        </w:rPr>
        <w:t>עובר</w:t>
      </w:r>
      <w:r>
        <w:rPr>
          <w:rtl/>
        </w:rPr>
        <w:t xml:space="preserve"> </w:t>
      </w:r>
      <w:r>
        <w:rPr>
          <w:rFonts w:hint="eastAsia"/>
          <w:rtl/>
        </w:rPr>
        <w:t>בבל</w:t>
      </w:r>
      <w:r>
        <w:rPr>
          <w:rtl/>
        </w:rPr>
        <w:t xml:space="preserve"> </w:t>
      </w:r>
      <w:r>
        <w:rPr>
          <w:rFonts w:hint="eastAsia"/>
          <w:rtl/>
        </w:rPr>
        <w:t>תוסיף</w:t>
      </w:r>
      <w:r>
        <w:rPr>
          <w:rtl/>
        </w:rPr>
        <w:t xml:space="preserve">, </w:t>
      </w:r>
      <w:r>
        <w:rPr>
          <w:rFonts w:hint="eastAsia"/>
          <w:rtl/>
        </w:rPr>
        <w:t>שהרי</w:t>
      </w:r>
      <w:r>
        <w:rPr>
          <w:rtl/>
        </w:rPr>
        <w:t xml:space="preserve"> </w:t>
      </w:r>
      <w:r>
        <w:rPr>
          <w:rFonts w:hint="eastAsia"/>
          <w:rtl/>
        </w:rPr>
        <w:t>בסעי</w:t>
      </w:r>
      <w:r>
        <w:rPr>
          <w:rtl/>
        </w:rPr>
        <w:t xml:space="preserve">' </w:t>
      </w:r>
      <w:r>
        <w:rPr>
          <w:rFonts w:hint="eastAsia"/>
          <w:rtl/>
        </w:rPr>
        <w:t>כ</w:t>
      </w:r>
      <w:r>
        <w:rPr>
          <w:rtl/>
        </w:rPr>
        <w:t>"</w:t>
      </w:r>
      <w:r>
        <w:rPr>
          <w:rFonts w:hint="eastAsia"/>
          <w:rtl/>
        </w:rPr>
        <w:t>ג</w:t>
      </w:r>
      <w:r>
        <w:rPr>
          <w:rtl/>
        </w:rPr>
        <w:t xml:space="preserve"> </w:t>
      </w:r>
      <w:r>
        <w:rPr>
          <w:rFonts w:hint="eastAsia"/>
          <w:rtl/>
        </w:rPr>
        <w:t>כתב</w:t>
      </w:r>
      <w:r>
        <w:rPr>
          <w:rtl/>
        </w:rPr>
        <w:t xml:space="preserve"> </w:t>
      </w:r>
      <w:r>
        <w:rPr>
          <w:rFonts w:hint="eastAsia"/>
          <w:rtl/>
        </w:rPr>
        <w:t>אדה</w:t>
      </w:r>
      <w:r>
        <w:rPr>
          <w:rtl/>
        </w:rPr>
        <w:t>"</w:t>
      </w:r>
      <w:r>
        <w:rPr>
          <w:rFonts w:hint="eastAsia"/>
          <w:rtl/>
        </w:rPr>
        <w:t>ז</w:t>
      </w:r>
      <w:r>
        <w:rPr>
          <w:rtl/>
        </w:rPr>
        <w:t xml:space="preserve"> </w:t>
      </w:r>
      <w:r>
        <w:rPr>
          <w:rFonts w:hint="eastAsia"/>
          <w:rtl/>
        </w:rPr>
        <w:t>דפנים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ובסעי</w:t>
      </w:r>
      <w:r>
        <w:rPr>
          <w:rtl/>
        </w:rPr>
        <w:t xml:space="preserve">' </w:t>
      </w:r>
      <w:r>
        <w:rPr>
          <w:rFonts w:hint="eastAsia"/>
          <w:rtl/>
        </w:rPr>
        <w:t>מ</w:t>
      </w:r>
      <w:r>
        <w:rPr>
          <w:rtl/>
        </w:rPr>
        <w:t xml:space="preserve">' </w:t>
      </w:r>
      <w:r>
        <w:rPr>
          <w:rFonts w:hint="eastAsia"/>
          <w:rtl/>
        </w:rPr>
        <w:t>לגבי</w:t>
      </w:r>
      <w:r>
        <w:rPr>
          <w:rtl/>
        </w:rPr>
        <w:t xml:space="preserve"> </w:t>
      </w:r>
      <w:r>
        <w:rPr>
          <w:rFonts w:hint="eastAsia"/>
          <w:rtl/>
        </w:rPr>
        <w:t>ברכת</w:t>
      </w:r>
      <w:r>
        <w:rPr>
          <w:rtl/>
        </w:rPr>
        <w:t xml:space="preserve"> </w:t>
      </w:r>
      <w:r>
        <w:rPr>
          <w:rFonts w:hint="eastAsia"/>
          <w:rtl/>
        </w:rPr>
        <w:t>השקיפה</w:t>
      </w:r>
      <w:r>
        <w:rPr>
          <w:rtl/>
        </w:rPr>
        <w:t xml:space="preserve"> </w:t>
      </w:r>
      <w:r>
        <w:rPr>
          <w:rFonts w:hint="eastAsia"/>
          <w:rtl/>
        </w:rPr>
        <w:t>כתב</w:t>
      </w:r>
      <w:r>
        <w:rPr>
          <w:rtl/>
        </w:rPr>
        <w:t xml:space="preserve"> </w:t>
      </w:r>
      <w:r>
        <w:rPr>
          <w:rFonts w:hint="eastAsia"/>
          <w:rtl/>
        </w:rPr>
        <w:t>דכיון</w:t>
      </w:r>
      <w:r>
        <w:rPr>
          <w:rtl/>
        </w:rPr>
        <w:t xml:space="preserve"> </w:t>
      </w:r>
      <w:r>
        <w:rPr>
          <w:rFonts w:hint="eastAsia"/>
          <w:rtl/>
        </w:rPr>
        <w:t>שכבר</w:t>
      </w:r>
      <w:r>
        <w:rPr>
          <w:rtl/>
        </w:rPr>
        <w:t xml:space="preserve"> </w:t>
      </w:r>
      <w:r>
        <w:rPr>
          <w:rFonts w:hint="eastAsia"/>
          <w:rtl/>
        </w:rPr>
        <w:t>פשטו</w:t>
      </w:r>
      <w:r>
        <w:rPr>
          <w:rtl/>
        </w:rPr>
        <w:t xml:space="preserve"> </w:t>
      </w:r>
      <w:r>
        <w:rPr>
          <w:rFonts w:hint="eastAsia"/>
          <w:rtl/>
        </w:rPr>
        <w:t>כפיהם</w:t>
      </w:r>
      <w:r>
        <w:rPr>
          <w:rtl/>
        </w:rPr>
        <w:t xml:space="preserve"> </w:t>
      </w:r>
      <w:r>
        <w:rPr>
          <w:rFonts w:hint="eastAsia"/>
          <w:rtl/>
        </w:rPr>
        <w:t>והחזירו</w:t>
      </w:r>
      <w:r>
        <w:rPr>
          <w:rtl/>
        </w:rPr>
        <w:t xml:space="preserve"> </w:t>
      </w:r>
      <w:r>
        <w:rPr>
          <w:rFonts w:hint="eastAsia"/>
          <w:rtl/>
        </w:rPr>
        <w:t>פניהם</w:t>
      </w:r>
      <w:r>
        <w:rPr>
          <w:rtl/>
        </w:rPr>
        <w:t xml:space="preserve"> </w:t>
      </w:r>
      <w:r>
        <w:rPr>
          <w:rFonts w:hint="eastAsia"/>
          <w:rtl/>
        </w:rPr>
        <w:t>אינו</w:t>
      </w:r>
      <w:r>
        <w:rPr>
          <w:rtl/>
        </w:rPr>
        <w:t xml:space="preserve"> </w:t>
      </w:r>
      <w:r>
        <w:rPr>
          <w:rFonts w:hint="eastAsia"/>
          <w:rtl/>
        </w:rPr>
        <w:t>עובר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עכ</w:t>
      </w:r>
      <w:r>
        <w:rPr>
          <w:rtl/>
        </w:rPr>
        <w:t>"</w:t>
      </w:r>
      <w:r>
        <w:rPr>
          <w:rFonts w:hint="eastAsia"/>
          <w:rtl/>
        </w:rPr>
        <w:t>ד</w:t>
      </w:r>
      <w:r>
        <w:rPr>
          <w:rtl/>
        </w:rPr>
        <w:t xml:space="preserve">, </w:t>
      </w:r>
      <w:r>
        <w:rPr>
          <w:rFonts w:hint="eastAsia"/>
          <w:rtl/>
        </w:rPr>
        <w:t>וראה</w:t>
      </w:r>
      <w:r>
        <w:rPr>
          <w:rtl/>
        </w:rPr>
        <w:t xml:space="preserve"> </w:t>
      </w:r>
      <w:r>
        <w:rPr>
          <w:rFonts w:hint="eastAsia"/>
          <w:rtl/>
        </w:rPr>
        <w:t>גם</w:t>
      </w:r>
      <w:r>
        <w:rPr>
          <w:rtl/>
        </w:rPr>
        <w:t xml:space="preserve"> </w:t>
      </w:r>
      <w:r>
        <w:rPr>
          <w:rFonts w:hint="eastAsia"/>
          <w:rtl/>
        </w:rPr>
        <w:t>בס</w:t>
      </w:r>
      <w:r>
        <w:rPr>
          <w:rtl/>
        </w:rPr>
        <w:t xml:space="preserve">' </w:t>
      </w:r>
      <w:r>
        <w:rPr>
          <w:rFonts w:hint="eastAsia"/>
          <w:rtl/>
        </w:rPr>
        <w:t>משנה</w:t>
      </w:r>
      <w:r>
        <w:rPr>
          <w:rtl/>
        </w:rPr>
        <w:t xml:space="preserve"> </w:t>
      </w:r>
      <w:r>
        <w:rPr>
          <w:rFonts w:hint="eastAsia"/>
          <w:rtl/>
        </w:rPr>
        <w:t>הלכה</w:t>
      </w:r>
      <w:r>
        <w:rPr>
          <w:rtl/>
        </w:rPr>
        <w:t xml:space="preserve"> </w:t>
      </w:r>
      <w:r>
        <w:rPr>
          <w:rFonts w:hint="eastAsia"/>
          <w:rtl/>
        </w:rPr>
        <w:t>או</w:t>
      </w:r>
      <w:r>
        <w:rPr>
          <w:rtl/>
        </w:rPr>
        <w:t>"</w:t>
      </w:r>
      <w:r>
        <w:rPr>
          <w:rFonts w:hint="eastAsia"/>
          <w:rtl/>
        </w:rPr>
        <w:t>ח</w:t>
      </w:r>
      <w:r>
        <w:rPr>
          <w:rtl/>
        </w:rPr>
        <w:t xml:space="preserve"> </w:t>
      </w:r>
      <w:r>
        <w:rPr>
          <w:rFonts w:hint="eastAsia"/>
          <w:rtl/>
        </w:rPr>
        <w:t>שם</w:t>
      </w:r>
      <w:r>
        <w:rPr>
          <w:rtl/>
        </w:rPr>
        <w:t>, (</w:t>
      </w:r>
      <w:r>
        <w:rPr>
          <w:rFonts w:hint="eastAsia"/>
          <w:rtl/>
        </w:rPr>
        <w:t>וסברא</w:t>
      </w:r>
      <w:r>
        <w:rPr>
          <w:rtl/>
        </w:rPr>
        <w:t xml:space="preserve"> </w:t>
      </w:r>
      <w:r>
        <w:rPr>
          <w:rFonts w:hint="eastAsia"/>
          <w:rtl/>
        </w:rPr>
        <w:t>זו</w:t>
      </w:r>
      <w:r>
        <w:rPr>
          <w:rtl/>
        </w:rPr>
        <w:t xml:space="preserve"> </w:t>
      </w:r>
      <w:r>
        <w:rPr>
          <w:rFonts w:hint="eastAsia"/>
          <w:rtl/>
        </w:rPr>
        <w:t>הוזכר</w:t>
      </w:r>
      <w:r>
        <w:rPr>
          <w:rtl/>
        </w:rPr>
        <w:t xml:space="preserve"> </w:t>
      </w:r>
      <w:r>
        <w:rPr>
          <w:rFonts w:hint="eastAsia"/>
          <w:rtl/>
        </w:rPr>
        <w:t>גם</w:t>
      </w:r>
      <w:r>
        <w:rPr>
          <w:rtl/>
        </w:rPr>
        <w:t xml:space="preserve"> </w:t>
      </w:r>
      <w:r>
        <w:rPr>
          <w:rFonts w:hint="eastAsia"/>
          <w:rtl/>
        </w:rPr>
        <w:t>בהרשימה</w:t>
      </w:r>
      <w:r>
        <w:rPr>
          <w:rtl/>
        </w:rPr>
        <w:t xml:space="preserve"> </w:t>
      </w:r>
      <w:r>
        <w:rPr>
          <w:rFonts w:hint="eastAsia"/>
          <w:rtl/>
        </w:rPr>
        <w:t>כאן</w:t>
      </w:r>
      <w:r>
        <w:rPr>
          <w:rtl/>
        </w:rPr>
        <w:t xml:space="preserve">), </w:t>
      </w:r>
      <w:r>
        <w:rPr>
          <w:rFonts w:hint="eastAsia"/>
          <w:rtl/>
        </w:rPr>
        <w:t>ובזה</w:t>
      </w:r>
      <w:r>
        <w:rPr>
          <w:rtl/>
        </w:rPr>
        <w:t xml:space="preserve"> </w:t>
      </w:r>
      <w:r>
        <w:rPr>
          <w:rFonts w:hint="eastAsia"/>
          <w:rtl/>
        </w:rPr>
        <w:t>יש</w:t>
      </w:r>
      <w:r>
        <w:rPr>
          <w:rtl/>
        </w:rPr>
        <w:t xml:space="preserve"> </w:t>
      </w:r>
      <w:r>
        <w:rPr>
          <w:rFonts w:hint="eastAsia"/>
          <w:rtl/>
        </w:rPr>
        <w:t>לומר</w:t>
      </w:r>
      <w:r>
        <w:rPr>
          <w:rtl/>
        </w:rPr>
        <w:t xml:space="preserve"> </w:t>
      </w:r>
      <w:r>
        <w:rPr>
          <w:rFonts w:hint="eastAsia"/>
          <w:rtl/>
        </w:rPr>
        <w:t>דמדהזכיר</w:t>
      </w:r>
      <w:r>
        <w:rPr>
          <w:rtl/>
        </w:rPr>
        <w:t xml:space="preserve"> </w:t>
      </w:r>
      <w:r>
        <w:rPr>
          <w:rFonts w:hint="eastAsia"/>
          <w:rtl/>
        </w:rPr>
        <w:t>אדה</w:t>
      </w:r>
      <w:r>
        <w:rPr>
          <w:rtl/>
        </w:rPr>
        <w:t>"</w:t>
      </w:r>
      <w:r>
        <w:rPr>
          <w:rFonts w:hint="eastAsia"/>
          <w:rtl/>
        </w:rPr>
        <w:t>ז</w:t>
      </w:r>
      <w:r>
        <w:rPr>
          <w:rtl/>
        </w:rPr>
        <w:t xml:space="preserve"> </w:t>
      </w:r>
      <w:r>
        <w:rPr>
          <w:rFonts w:hint="eastAsia"/>
          <w:rtl/>
        </w:rPr>
        <w:t>לגבי</w:t>
      </w:r>
      <w:r>
        <w:rPr>
          <w:rtl/>
        </w:rPr>
        <w:t xml:space="preserve"> </w:t>
      </w:r>
      <w:r>
        <w:rPr>
          <w:rFonts w:hint="eastAsia"/>
          <w:rtl/>
        </w:rPr>
        <w:t>ברכת</w:t>
      </w:r>
      <w:r>
        <w:rPr>
          <w:rtl/>
        </w:rPr>
        <w:t xml:space="preserve"> </w:t>
      </w:r>
      <w:r>
        <w:rPr>
          <w:rFonts w:hint="eastAsia"/>
          <w:rtl/>
        </w:rPr>
        <w:t>השקיפה</w:t>
      </w:r>
      <w:r>
        <w:rPr>
          <w:rtl/>
        </w:rPr>
        <w:t xml:space="preserve"> </w:t>
      </w:r>
      <w:r>
        <w:rPr>
          <w:rFonts w:hint="eastAsia"/>
          <w:rtl/>
        </w:rPr>
        <w:t>גם</w:t>
      </w:r>
      <w:r>
        <w:rPr>
          <w:rtl/>
        </w:rPr>
        <w:t xml:space="preserve"> </w:t>
      </w:r>
      <w:r>
        <w:rPr>
          <w:rFonts w:hint="eastAsia"/>
          <w:rtl/>
        </w:rPr>
        <w:t>הענין</w:t>
      </w:r>
      <w:r>
        <w:rPr>
          <w:rtl/>
        </w:rPr>
        <w:t xml:space="preserve"> </w:t>
      </w:r>
      <w:r>
        <w:rPr>
          <w:rFonts w:hint="eastAsia"/>
          <w:rtl/>
        </w:rPr>
        <w:t>ד</w:t>
      </w:r>
      <w:r>
        <w:rPr>
          <w:rtl/>
        </w:rPr>
        <w:t>"</w:t>
      </w:r>
      <w:r>
        <w:rPr>
          <w:rFonts w:hint="eastAsia"/>
          <w:bCs/>
          <w:rtl/>
        </w:rPr>
        <w:t>החזירו</w:t>
      </w:r>
      <w:r>
        <w:rPr>
          <w:bCs/>
          <w:rtl/>
        </w:rPr>
        <w:t xml:space="preserve"> </w:t>
      </w:r>
      <w:r>
        <w:rPr>
          <w:rFonts w:hint="eastAsia"/>
          <w:bCs/>
          <w:rtl/>
        </w:rPr>
        <w:t>פניהם</w:t>
      </w:r>
      <w:r>
        <w:rPr>
          <w:rtl/>
        </w:rPr>
        <w:t xml:space="preserve">", </w:t>
      </w:r>
      <w:r>
        <w:rPr>
          <w:rFonts w:hint="eastAsia"/>
          <w:rtl/>
        </w:rPr>
        <w:t>אף</w:t>
      </w:r>
      <w:r>
        <w:rPr>
          <w:rtl/>
        </w:rPr>
        <w:t xml:space="preserve"> </w:t>
      </w:r>
      <w:r>
        <w:rPr>
          <w:rFonts w:hint="eastAsia"/>
          <w:rtl/>
        </w:rPr>
        <w:t>שזה</w:t>
      </w:r>
      <w:r>
        <w:rPr>
          <w:rtl/>
        </w:rPr>
        <w:t xml:space="preserve"> </w:t>
      </w:r>
      <w:r>
        <w:rPr>
          <w:rFonts w:hint="eastAsia"/>
          <w:rtl/>
        </w:rPr>
        <w:t>אינו</w:t>
      </w:r>
      <w:r>
        <w:rPr>
          <w:rtl/>
        </w:rPr>
        <w:t xml:space="preserve"> </w:t>
      </w:r>
      <w:r>
        <w:rPr>
          <w:rFonts w:hint="eastAsia"/>
          <w:rtl/>
        </w:rPr>
        <w:t>מעכב</w:t>
      </w:r>
      <w:r>
        <w:rPr>
          <w:rtl/>
        </w:rPr>
        <w:t xml:space="preserve">, </w:t>
      </w:r>
      <w:r>
        <w:rPr>
          <w:rFonts w:hint="eastAsia"/>
          <w:rtl/>
        </w:rPr>
        <w:t>מוכח</w:t>
      </w:r>
      <w:r>
        <w:rPr>
          <w:rtl/>
        </w:rPr>
        <w:t xml:space="preserve"> </w:t>
      </w:r>
      <w:r>
        <w:rPr>
          <w:rFonts w:hint="eastAsia"/>
          <w:rtl/>
        </w:rPr>
        <w:t>דגם</w:t>
      </w:r>
      <w:r>
        <w:rPr>
          <w:rtl/>
        </w:rPr>
        <w:t xml:space="preserve"> </w:t>
      </w:r>
      <w:r>
        <w:rPr>
          <w:rFonts w:hint="eastAsia"/>
          <w:rtl/>
        </w:rPr>
        <w:t>זה</w:t>
      </w:r>
      <w:r>
        <w:rPr>
          <w:rtl/>
        </w:rPr>
        <w:t xml:space="preserve"> </w:t>
      </w:r>
      <w:r>
        <w:rPr>
          <w:rFonts w:hint="eastAsia"/>
          <w:rtl/>
        </w:rPr>
        <w:t>לבד</w:t>
      </w:r>
      <w:r>
        <w:rPr>
          <w:rtl/>
        </w:rPr>
        <w:t xml:space="preserve"> </w:t>
      </w:r>
      <w:r>
        <w:rPr>
          <w:rFonts w:hint="eastAsia"/>
          <w:rtl/>
        </w:rPr>
        <w:t>מספיק</w:t>
      </w:r>
      <w:r>
        <w:rPr>
          <w:rtl/>
        </w:rPr>
        <w:t xml:space="preserve"> </w:t>
      </w:r>
      <w:r>
        <w:rPr>
          <w:rFonts w:hint="eastAsia"/>
          <w:rtl/>
        </w:rPr>
        <w:t>שלא</w:t>
      </w:r>
      <w:r>
        <w:rPr>
          <w:rtl/>
        </w:rPr>
        <w:t xml:space="preserve"> </w:t>
      </w:r>
      <w:r>
        <w:rPr>
          <w:rFonts w:hint="eastAsia"/>
          <w:rtl/>
        </w:rPr>
        <w:t>יעבור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אבל</w:t>
      </w:r>
      <w:r>
        <w:rPr>
          <w:rtl/>
        </w:rPr>
        <w:t xml:space="preserve"> </w:t>
      </w:r>
      <w:r>
        <w:rPr>
          <w:rFonts w:hint="eastAsia"/>
          <w:rtl/>
        </w:rPr>
        <w:t>לפי</w:t>
      </w:r>
      <w:r>
        <w:rPr>
          <w:rtl/>
        </w:rPr>
        <w:t xml:space="preserve"> </w:t>
      </w:r>
      <w:r>
        <w:rPr>
          <w:rFonts w:hint="eastAsia"/>
          <w:rtl/>
        </w:rPr>
        <w:t>המבואר</w:t>
      </w:r>
      <w:r>
        <w:rPr>
          <w:rtl/>
        </w:rPr>
        <w:t xml:space="preserve"> </w:t>
      </w:r>
      <w:r>
        <w:rPr>
          <w:rFonts w:hint="eastAsia"/>
          <w:rtl/>
        </w:rPr>
        <w:t>בהרשימה</w:t>
      </w:r>
      <w:r>
        <w:rPr>
          <w:rtl/>
        </w:rPr>
        <w:t xml:space="preserve"> </w:t>
      </w:r>
      <w:r>
        <w:rPr>
          <w:rFonts w:hint="eastAsia"/>
          <w:rtl/>
        </w:rPr>
        <w:t>דאפ</w:t>
      </w:r>
      <w:r>
        <w:rPr>
          <w:rtl/>
        </w:rPr>
        <w:t>"</w:t>
      </w:r>
      <w:r>
        <w:rPr>
          <w:rFonts w:hint="eastAsia"/>
          <w:rtl/>
        </w:rPr>
        <w:t>ל</w:t>
      </w:r>
      <w:r>
        <w:rPr>
          <w:rtl/>
        </w:rPr>
        <w:t xml:space="preserve"> </w:t>
      </w:r>
      <w:r>
        <w:rPr>
          <w:rFonts w:hint="eastAsia"/>
          <w:rtl/>
        </w:rPr>
        <w:t>דזה</w:t>
      </w:r>
      <w:r>
        <w:rPr>
          <w:rtl/>
        </w:rPr>
        <w:t xml:space="preserve"> </w:t>
      </w:r>
      <w:r>
        <w:rPr>
          <w:rFonts w:hint="eastAsia"/>
          <w:rtl/>
        </w:rPr>
        <w:t>קאי</w:t>
      </w:r>
      <w:r>
        <w:rPr>
          <w:rtl/>
        </w:rPr>
        <w:t xml:space="preserve"> </w:t>
      </w:r>
      <w:r>
        <w:rPr>
          <w:rFonts w:hint="eastAsia"/>
          <w:rtl/>
        </w:rPr>
        <w:t>לפי</w:t>
      </w:r>
      <w:r>
        <w:rPr>
          <w:rtl/>
        </w:rPr>
        <w:t xml:space="preserve"> </w:t>
      </w:r>
      <w:r>
        <w:rPr>
          <w:rFonts w:hint="eastAsia"/>
          <w:rtl/>
        </w:rPr>
        <w:t>צד</w:t>
      </w:r>
      <w:r>
        <w:rPr>
          <w:rtl/>
        </w:rPr>
        <w:t xml:space="preserve"> </w:t>
      </w:r>
      <w:r>
        <w:rPr>
          <w:rFonts w:hint="eastAsia"/>
          <w:rtl/>
        </w:rPr>
        <w:t>הספק</w:t>
      </w:r>
      <w:r>
        <w:rPr>
          <w:rtl/>
        </w:rPr>
        <w:t xml:space="preserve"> </w:t>
      </w:r>
      <w:r>
        <w:rPr>
          <w:rFonts w:hint="eastAsia"/>
          <w:rtl/>
        </w:rPr>
        <w:t>דפנים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bCs/>
          <w:rtl/>
        </w:rPr>
        <w:t>מעכב</w:t>
      </w:r>
      <w:r>
        <w:rPr>
          <w:rtl/>
        </w:rPr>
        <w:t xml:space="preserve"> </w:t>
      </w:r>
      <w:r>
        <w:rPr>
          <w:rFonts w:hint="eastAsia"/>
          <w:rtl/>
        </w:rPr>
        <w:t>שוב</w:t>
      </w:r>
      <w:r>
        <w:rPr>
          <w:rtl/>
        </w:rPr>
        <w:t xml:space="preserve"> </w:t>
      </w:r>
      <w:r>
        <w:rPr>
          <w:rFonts w:hint="eastAsia"/>
          <w:rtl/>
        </w:rPr>
        <w:t>יש</w:t>
      </w:r>
      <w:r>
        <w:rPr>
          <w:rtl/>
        </w:rPr>
        <w:t xml:space="preserve"> </w:t>
      </w:r>
      <w:r>
        <w:rPr>
          <w:rFonts w:hint="eastAsia"/>
          <w:rtl/>
        </w:rPr>
        <w:t>לדחות</w:t>
      </w:r>
      <w:r>
        <w:rPr>
          <w:rtl/>
        </w:rPr>
        <w:t xml:space="preserve"> </w:t>
      </w:r>
      <w:r>
        <w:rPr>
          <w:rFonts w:hint="eastAsia"/>
          <w:rtl/>
        </w:rPr>
        <w:t>ראי</w:t>
      </w:r>
      <w:r>
        <w:rPr>
          <w:rtl/>
        </w:rPr>
        <w:t xml:space="preserve">' </w:t>
      </w:r>
      <w:r>
        <w:rPr>
          <w:rFonts w:hint="eastAsia"/>
          <w:rtl/>
        </w:rPr>
        <w:t>זו</w:t>
      </w:r>
      <w:r>
        <w:rPr>
          <w:rtl/>
        </w:rPr>
        <w:t xml:space="preserve">, </w:t>
      </w:r>
      <w:r>
        <w:rPr>
          <w:rFonts w:hint="eastAsia"/>
          <w:rtl/>
        </w:rPr>
        <w:t>ואכתי</w:t>
      </w:r>
      <w:r>
        <w:rPr>
          <w:rtl/>
        </w:rPr>
        <w:t xml:space="preserve"> </w:t>
      </w:r>
      <w:r>
        <w:rPr>
          <w:rFonts w:hint="eastAsia"/>
          <w:rtl/>
        </w:rPr>
        <w:t>יל</w:t>
      </w:r>
      <w:r>
        <w:rPr>
          <w:rtl/>
        </w:rPr>
        <w:t>"</w:t>
      </w:r>
      <w:r>
        <w:rPr>
          <w:rFonts w:hint="eastAsia"/>
          <w:rtl/>
        </w:rPr>
        <w:t>ע</w:t>
      </w:r>
      <w:r>
        <w:rPr>
          <w:rtl/>
        </w:rPr>
        <w:t xml:space="preserve"> </w:t>
      </w:r>
      <w:r>
        <w:rPr>
          <w:rFonts w:hint="eastAsia"/>
          <w:rtl/>
        </w:rPr>
        <w:t>בהנ</w:t>
      </w:r>
      <w:r>
        <w:rPr>
          <w:rtl/>
        </w:rPr>
        <w:t>"</w:t>
      </w:r>
      <w:r>
        <w:rPr>
          <w:rFonts w:hint="eastAsia"/>
          <w:rtl/>
        </w:rPr>
        <w:t>ל</w:t>
      </w:r>
      <w:r>
        <w:rPr>
          <w:rtl/>
        </w:rPr>
        <w:t xml:space="preserve"> </w:t>
      </w:r>
      <w:r>
        <w:rPr>
          <w:rFonts w:hint="eastAsia"/>
          <w:rtl/>
        </w:rPr>
        <w:t>דאיך</w:t>
      </w:r>
      <w:r>
        <w:rPr>
          <w:rtl/>
        </w:rPr>
        <w:t xml:space="preserve"> </w:t>
      </w:r>
      <w:r>
        <w:rPr>
          <w:rFonts w:hint="eastAsia"/>
          <w:rtl/>
        </w:rPr>
        <w:t>אפ</w:t>
      </w:r>
      <w:r>
        <w:rPr>
          <w:rtl/>
        </w:rPr>
        <w:t>"</w:t>
      </w:r>
      <w:r>
        <w:rPr>
          <w:rFonts w:hint="eastAsia"/>
          <w:rtl/>
        </w:rPr>
        <w:t>ל</w:t>
      </w:r>
      <w:r>
        <w:rPr>
          <w:rtl/>
        </w:rPr>
        <w:t xml:space="preserve"> </w:t>
      </w:r>
      <w:r>
        <w:rPr>
          <w:rFonts w:hint="eastAsia"/>
          <w:rtl/>
        </w:rPr>
        <w:t>דהספק</w:t>
      </w:r>
      <w:r>
        <w:rPr>
          <w:rtl/>
        </w:rPr>
        <w:t xml:space="preserve"> </w:t>
      </w:r>
      <w:r>
        <w:rPr>
          <w:rFonts w:hint="eastAsia"/>
          <w:rtl/>
        </w:rPr>
        <w:t>לגבי</w:t>
      </w:r>
      <w:r>
        <w:rPr>
          <w:rtl/>
        </w:rPr>
        <w:t xml:space="preserve"> </w:t>
      </w:r>
      <w:r>
        <w:rPr>
          <w:rFonts w:hint="eastAsia"/>
          <w:rtl/>
        </w:rPr>
        <w:t>השקיפה</w:t>
      </w:r>
      <w:r>
        <w:rPr>
          <w:rtl/>
        </w:rPr>
        <w:t xml:space="preserve"> </w:t>
      </w:r>
      <w:r>
        <w:rPr>
          <w:rFonts w:hint="eastAsia"/>
          <w:rtl/>
        </w:rPr>
        <w:t>תלוי</w:t>
      </w:r>
      <w:r>
        <w:rPr>
          <w:rtl/>
        </w:rPr>
        <w:t xml:space="preserve"> </w:t>
      </w:r>
      <w:r>
        <w:rPr>
          <w:rFonts w:hint="eastAsia"/>
          <w:rtl/>
        </w:rPr>
        <w:t>בסעי</w:t>
      </w:r>
      <w:r>
        <w:rPr>
          <w:rtl/>
        </w:rPr>
        <w:t xml:space="preserve">' </w:t>
      </w:r>
      <w:r>
        <w:rPr>
          <w:rFonts w:hint="eastAsia"/>
          <w:rtl/>
        </w:rPr>
        <w:t>כ</w:t>
      </w:r>
      <w:r>
        <w:rPr>
          <w:rtl/>
        </w:rPr>
        <w:t>"</w:t>
      </w:r>
      <w:r>
        <w:rPr>
          <w:rFonts w:hint="eastAsia"/>
          <w:rtl/>
        </w:rPr>
        <w:t>ג</w:t>
      </w:r>
      <w:r>
        <w:rPr>
          <w:rtl/>
        </w:rPr>
        <w:t xml:space="preserve"> </w:t>
      </w:r>
      <w:r>
        <w:rPr>
          <w:rFonts w:hint="eastAsia"/>
          <w:rtl/>
        </w:rPr>
        <w:t>אם</w:t>
      </w:r>
      <w:r>
        <w:rPr>
          <w:rtl/>
        </w:rPr>
        <w:t xml:space="preserve"> </w:t>
      </w:r>
      <w:r>
        <w:rPr>
          <w:rFonts w:hint="eastAsia"/>
          <w:rtl/>
        </w:rPr>
        <w:t>פנים</w:t>
      </w:r>
      <w:r>
        <w:rPr>
          <w:rtl/>
        </w:rPr>
        <w:t xml:space="preserve"> </w:t>
      </w:r>
      <w:r>
        <w:rPr>
          <w:rFonts w:hint="eastAsia"/>
          <w:rtl/>
        </w:rPr>
        <w:t>אל</w:t>
      </w:r>
      <w:r>
        <w:rPr>
          <w:rtl/>
        </w:rPr>
        <w:t xml:space="preserve"> </w:t>
      </w:r>
      <w:r>
        <w:rPr>
          <w:rFonts w:hint="eastAsia"/>
          <w:rtl/>
        </w:rPr>
        <w:t>פנים</w:t>
      </w:r>
      <w:r>
        <w:rPr>
          <w:rtl/>
        </w:rPr>
        <w:t xml:space="preserve"> </w:t>
      </w:r>
      <w:r>
        <w:rPr>
          <w:rFonts w:hint="eastAsia"/>
          <w:rtl/>
        </w:rPr>
        <w:t>מעכב</w:t>
      </w:r>
      <w:r>
        <w:rPr>
          <w:rtl/>
        </w:rPr>
        <w:t xml:space="preserve">, </w:t>
      </w:r>
      <w:r>
        <w:rPr>
          <w:rFonts w:hint="eastAsia"/>
          <w:rtl/>
        </w:rPr>
        <w:t>הרי</w:t>
      </w:r>
      <w:r>
        <w:rPr>
          <w:rtl/>
        </w:rPr>
        <w:t xml:space="preserve"> </w:t>
      </w:r>
      <w:r>
        <w:rPr>
          <w:rFonts w:hint="eastAsia"/>
          <w:bCs/>
          <w:rtl/>
        </w:rPr>
        <w:t>נשיאת</w:t>
      </w:r>
      <w:r>
        <w:rPr>
          <w:bCs/>
          <w:rtl/>
        </w:rPr>
        <w:t xml:space="preserve"> </w:t>
      </w:r>
      <w:r>
        <w:rPr>
          <w:rFonts w:hint="eastAsia"/>
          <w:bCs/>
          <w:rtl/>
        </w:rPr>
        <w:t>כפים</w:t>
      </w:r>
      <w:r>
        <w:rPr>
          <w:bCs/>
          <w:rtl/>
        </w:rPr>
        <w:t xml:space="preserve"> </w:t>
      </w:r>
      <w:r>
        <w:rPr>
          <w:rFonts w:hint="eastAsia"/>
          <w:rtl/>
        </w:rPr>
        <w:t>ודאי</w:t>
      </w:r>
      <w:r>
        <w:rPr>
          <w:rtl/>
        </w:rPr>
        <w:t xml:space="preserve"> </w:t>
      </w:r>
      <w:r>
        <w:rPr>
          <w:rFonts w:hint="eastAsia"/>
          <w:rtl/>
        </w:rPr>
        <w:t>מעכב</w:t>
      </w:r>
      <w:r>
        <w:rPr>
          <w:rtl/>
        </w:rPr>
        <w:t>.</w:t>
      </w:r>
    </w:p>
    <w:p w14:paraId="3C8AF544" w14:textId="77777777" w:rsidR="00657259" w:rsidRPr="00C451C7" w:rsidRDefault="00657259" w:rsidP="00E60D97">
      <w:pPr>
        <w:pStyle w:val="11"/>
        <w:rPr>
          <w:rtl/>
        </w:rPr>
      </w:pPr>
      <w:r w:rsidRPr="00C451C7">
        <w:rPr>
          <w:rFonts w:hint="cs"/>
          <w:rtl/>
        </w:rPr>
        <w:t>בירך בשם אדנות</w:t>
      </w:r>
    </w:p>
    <w:p w14:paraId="39F00A0B" w14:textId="77777777" w:rsidR="00657259" w:rsidRDefault="00657259" w:rsidP="00E60D97">
      <w:pPr>
        <w:pStyle w:val="a3"/>
        <w:rPr>
          <w:rtl/>
        </w:rPr>
      </w:pPr>
      <w:r>
        <w:rPr>
          <w:rFonts w:hint="eastAsia"/>
          <w:rtl/>
        </w:rPr>
        <w:t>ג</w:t>
      </w:r>
      <w:r>
        <w:rPr>
          <w:rtl/>
        </w:rPr>
        <w:t xml:space="preserve">) </w:t>
      </w:r>
      <w:r>
        <w:rPr>
          <w:rFonts w:hint="eastAsia"/>
          <w:rtl/>
        </w:rPr>
        <w:t>במ</w:t>
      </w:r>
      <w:r>
        <w:rPr>
          <w:rtl/>
        </w:rPr>
        <w:t>"</w:t>
      </w:r>
      <w:r>
        <w:rPr>
          <w:rFonts w:hint="eastAsia"/>
          <w:rtl/>
        </w:rPr>
        <w:t>ש</w:t>
      </w:r>
      <w:r>
        <w:rPr>
          <w:rtl/>
        </w:rPr>
        <w:t xml:space="preserve"> </w:t>
      </w:r>
      <w:r>
        <w:rPr>
          <w:rFonts w:hint="eastAsia"/>
          <w:rtl/>
        </w:rPr>
        <w:t>בהרשימה</w:t>
      </w:r>
      <w:r>
        <w:rPr>
          <w:rtl/>
        </w:rPr>
        <w:t xml:space="preserve"> </w:t>
      </w:r>
      <w:r>
        <w:rPr>
          <w:rFonts w:hint="eastAsia"/>
          <w:rtl/>
        </w:rPr>
        <w:t>דבכדי</w:t>
      </w:r>
      <w:r>
        <w:rPr>
          <w:rtl/>
        </w:rPr>
        <w:t xml:space="preserve"> </w:t>
      </w:r>
      <w:r>
        <w:rPr>
          <w:rFonts w:hint="eastAsia"/>
          <w:rtl/>
        </w:rPr>
        <w:t>שיעבור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צריך</w:t>
      </w:r>
      <w:r>
        <w:rPr>
          <w:rtl/>
        </w:rPr>
        <w:t xml:space="preserve"> </w:t>
      </w:r>
      <w:r>
        <w:rPr>
          <w:rFonts w:hint="eastAsia"/>
          <w:rtl/>
        </w:rPr>
        <w:t>להוסיף</w:t>
      </w:r>
      <w:r>
        <w:rPr>
          <w:rtl/>
        </w:rPr>
        <w:t xml:space="preserve"> </w:t>
      </w:r>
      <w:r>
        <w:rPr>
          <w:rFonts w:hint="eastAsia"/>
          <w:rtl/>
        </w:rPr>
        <w:t>ברכה</w:t>
      </w:r>
      <w:r>
        <w:rPr>
          <w:rtl/>
        </w:rPr>
        <w:t xml:space="preserve"> </w:t>
      </w:r>
      <w:r>
        <w:rPr>
          <w:rFonts w:hint="eastAsia"/>
          <w:rtl/>
        </w:rPr>
        <w:t>בשם</w:t>
      </w:r>
      <w:r>
        <w:rPr>
          <w:rtl/>
        </w:rPr>
        <w:t xml:space="preserve"> </w:t>
      </w:r>
      <w:r>
        <w:rPr>
          <w:rFonts w:hint="eastAsia"/>
          <w:rtl/>
        </w:rPr>
        <w:t>המיוחד</w:t>
      </w:r>
      <w:r>
        <w:rPr>
          <w:rtl/>
        </w:rPr>
        <w:t xml:space="preserve"> </w:t>
      </w:r>
      <w:r>
        <w:rPr>
          <w:rFonts w:hint="eastAsia"/>
          <w:rtl/>
        </w:rPr>
        <w:t>דוקא</w:t>
      </w:r>
      <w:r>
        <w:rPr>
          <w:rtl/>
        </w:rPr>
        <w:t xml:space="preserve"> </w:t>
      </w:r>
      <w:r>
        <w:rPr>
          <w:rFonts w:hint="eastAsia"/>
          <w:rtl/>
        </w:rPr>
        <w:t>כיון</w:t>
      </w:r>
      <w:r>
        <w:rPr>
          <w:rtl/>
        </w:rPr>
        <w:t xml:space="preserve"> </w:t>
      </w:r>
      <w:r>
        <w:rPr>
          <w:rFonts w:hint="eastAsia"/>
          <w:rtl/>
        </w:rPr>
        <w:t>שזהו</w:t>
      </w:r>
      <w:r>
        <w:rPr>
          <w:rtl/>
        </w:rPr>
        <w:t xml:space="preserve"> </w:t>
      </w:r>
      <w:r>
        <w:rPr>
          <w:rFonts w:hint="eastAsia"/>
          <w:rtl/>
        </w:rPr>
        <w:t>בדוקא</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ושלכן</w:t>
      </w:r>
      <w:r>
        <w:rPr>
          <w:rtl/>
        </w:rPr>
        <w:t xml:space="preserve"> </w:t>
      </w:r>
      <w:r>
        <w:rPr>
          <w:rFonts w:hint="eastAsia"/>
          <w:rtl/>
        </w:rPr>
        <w:t>נקט</w:t>
      </w:r>
      <w:r>
        <w:rPr>
          <w:rtl/>
        </w:rPr>
        <w:t xml:space="preserve"> </w:t>
      </w:r>
      <w:r>
        <w:rPr>
          <w:rFonts w:hint="eastAsia"/>
          <w:rtl/>
        </w:rPr>
        <w:t>פסוק</w:t>
      </w:r>
      <w:r>
        <w:rPr>
          <w:rtl/>
        </w:rPr>
        <w:t xml:space="preserve"> </w:t>
      </w:r>
      <w:r>
        <w:rPr>
          <w:rFonts w:hint="eastAsia"/>
          <w:rtl/>
        </w:rPr>
        <w:t>זה</w:t>
      </w:r>
      <w:r>
        <w:rPr>
          <w:rtl/>
        </w:rPr>
        <w:t xml:space="preserve"> </w:t>
      </w:r>
      <w:r>
        <w:rPr>
          <w:rFonts w:hint="eastAsia"/>
          <w:rtl/>
        </w:rPr>
        <w:t>ד</w:t>
      </w:r>
      <w:r>
        <w:rPr>
          <w:rtl/>
        </w:rPr>
        <w:t>"</w:t>
      </w:r>
      <w:r>
        <w:rPr>
          <w:rFonts w:hint="eastAsia"/>
          <w:rtl/>
        </w:rPr>
        <w:t>ה</w:t>
      </w:r>
      <w:r>
        <w:rPr>
          <w:rtl/>
        </w:rPr>
        <w:t>"</w:t>
      </w:r>
      <w:r>
        <w:rPr>
          <w:rFonts w:hint="eastAsia"/>
          <w:rtl/>
        </w:rPr>
        <w:t>א</w:t>
      </w:r>
      <w:r>
        <w:rPr>
          <w:rtl/>
        </w:rPr>
        <w:t xml:space="preserve"> </w:t>
      </w:r>
      <w:r>
        <w:rPr>
          <w:rFonts w:hint="eastAsia"/>
          <w:rtl/>
        </w:rPr>
        <w:t>יוסף</w:t>
      </w:r>
      <w:r>
        <w:rPr>
          <w:rtl/>
        </w:rPr>
        <w:t xml:space="preserve"> </w:t>
      </w:r>
      <w:r>
        <w:rPr>
          <w:rFonts w:hint="eastAsia"/>
          <w:rtl/>
        </w:rPr>
        <w:t>עליכם</w:t>
      </w:r>
      <w:r>
        <w:rPr>
          <w:rtl/>
        </w:rPr>
        <w:t xml:space="preserve"> </w:t>
      </w:r>
      <w:r>
        <w:rPr>
          <w:rFonts w:hint="eastAsia"/>
          <w:rtl/>
        </w:rPr>
        <w:t>וגו</w:t>
      </w:r>
      <w:r>
        <w:rPr>
          <w:rtl/>
        </w:rPr>
        <w:t xml:space="preserve">'", </w:t>
      </w:r>
      <w:r>
        <w:rPr>
          <w:rFonts w:hint="eastAsia"/>
          <w:rtl/>
        </w:rPr>
        <w:t>ראה</w:t>
      </w:r>
      <w:r>
        <w:rPr>
          <w:rtl/>
        </w:rPr>
        <w:t xml:space="preserve"> </w:t>
      </w:r>
      <w:r>
        <w:rPr>
          <w:rFonts w:hint="eastAsia"/>
          <w:rtl/>
        </w:rPr>
        <w:t>גם</w:t>
      </w:r>
      <w:r>
        <w:rPr>
          <w:rtl/>
        </w:rPr>
        <w:t xml:space="preserve"> </w:t>
      </w:r>
      <w:r>
        <w:rPr>
          <w:rFonts w:hint="eastAsia"/>
          <w:rtl/>
        </w:rPr>
        <w:t>בס</w:t>
      </w:r>
      <w:r>
        <w:rPr>
          <w:rtl/>
        </w:rPr>
        <w:t xml:space="preserve">' </w:t>
      </w:r>
      <w:r>
        <w:rPr>
          <w:rFonts w:hint="eastAsia"/>
          <w:rtl/>
        </w:rPr>
        <w:t>אמרי</w:t>
      </w:r>
      <w:r>
        <w:rPr>
          <w:rtl/>
        </w:rPr>
        <w:t xml:space="preserve"> </w:t>
      </w:r>
      <w:r>
        <w:rPr>
          <w:rFonts w:hint="eastAsia"/>
          <w:rtl/>
        </w:rPr>
        <w:t>דוד</w:t>
      </w:r>
      <w:r>
        <w:rPr>
          <w:rtl/>
        </w:rPr>
        <w:t xml:space="preserve"> </w:t>
      </w:r>
      <w:r>
        <w:rPr>
          <w:rFonts w:hint="eastAsia"/>
          <w:rtl/>
        </w:rPr>
        <w:t>הלכות</w:t>
      </w:r>
      <w:r>
        <w:rPr>
          <w:rtl/>
        </w:rPr>
        <w:t xml:space="preserve"> </w:t>
      </w:r>
      <w:r>
        <w:rPr>
          <w:rFonts w:hint="eastAsia"/>
          <w:rtl/>
        </w:rPr>
        <w:t>תפלה</w:t>
      </w:r>
      <w:r>
        <w:rPr>
          <w:rtl/>
        </w:rPr>
        <w:t xml:space="preserve"> </w:t>
      </w:r>
      <w:r>
        <w:rPr>
          <w:rFonts w:hint="eastAsia"/>
          <w:rtl/>
        </w:rPr>
        <w:t>סי</w:t>
      </w:r>
      <w:r>
        <w:rPr>
          <w:rtl/>
        </w:rPr>
        <w:t xml:space="preserve">' </w:t>
      </w:r>
      <w:r>
        <w:rPr>
          <w:rFonts w:hint="eastAsia"/>
          <w:rtl/>
        </w:rPr>
        <w:t>כ</w:t>
      </w:r>
      <w:r>
        <w:rPr>
          <w:rtl/>
        </w:rPr>
        <w:t>"</w:t>
      </w:r>
      <w:r>
        <w:rPr>
          <w:rFonts w:hint="eastAsia"/>
          <w:rtl/>
        </w:rPr>
        <w:t>ז</w:t>
      </w:r>
      <w:r>
        <w:rPr>
          <w:rtl/>
        </w:rPr>
        <w:t xml:space="preserve"> </w:t>
      </w:r>
      <w:r>
        <w:rPr>
          <w:rFonts w:hint="eastAsia"/>
          <w:rtl/>
        </w:rPr>
        <w:t>שתירץ</w:t>
      </w:r>
      <w:r>
        <w:rPr>
          <w:rtl/>
        </w:rPr>
        <w:t xml:space="preserve"> </w:t>
      </w:r>
      <w:r>
        <w:rPr>
          <w:rFonts w:hint="eastAsia"/>
          <w:rtl/>
        </w:rPr>
        <w:t>כן</w:t>
      </w:r>
      <w:r>
        <w:rPr>
          <w:rtl/>
        </w:rPr>
        <w:t xml:space="preserve">, </w:t>
      </w:r>
      <w:r>
        <w:rPr>
          <w:rFonts w:hint="eastAsia"/>
          <w:rtl/>
        </w:rPr>
        <w:t>דכיון</w:t>
      </w:r>
      <w:r>
        <w:rPr>
          <w:rtl/>
        </w:rPr>
        <w:t xml:space="preserve"> </w:t>
      </w:r>
      <w:r>
        <w:rPr>
          <w:rFonts w:hint="eastAsia"/>
          <w:rtl/>
        </w:rPr>
        <w:t>דכתיב</w:t>
      </w:r>
      <w:r>
        <w:rPr>
          <w:rtl/>
        </w:rPr>
        <w:t xml:space="preserve"> "</w:t>
      </w:r>
      <w:r>
        <w:rPr>
          <w:rFonts w:hint="eastAsia"/>
          <w:rtl/>
        </w:rPr>
        <w:t>ושמו</w:t>
      </w:r>
      <w:r>
        <w:rPr>
          <w:rtl/>
        </w:rPr>
        <w:t xml:space="preserve"> </w:t>
      </w:r>
      <w:r>
        <w:rPr>
          <w:rFonts w:hint="eastAsia"/>
          <w:rtl/>
        </w:rPr>
        <w:t>את</w:t>
      </w:r>
      <w:r>
        <w:rPr>
          <w:rtl/>
        </w:rPr>
        <w:t xml:space="preserve"> </w:t>
      </w:r>
      <w:r>
        <w:rPr>
          <w:rFonts w:hint="eastAsia"/>
          <w:rtl/>
        </w:rPr>
        <w:t>שמי</w:t>
      </w:r>
      <w:r>
        <w:rPr>
          <w:rtl/>
        </w:rPr>
        <w:t xml:space="preserve"> </w:t>
      </w:r>
      <w:r>
        <w:rPr>
          <w:rFonts w:hint="eastAsia"/>
          <w:rtl/>
        </w:rPr>
        <w:t>וגו</w:t>
      </w:r>
      <w:r>
        <w:rPr>
          <w:rtl/>
        </w:rPr>
        <w:t xml:space="preserve">'" </w:t>
      </w:r>
      <w:r>
        <w:rPr>
          <w:rFonts w:hint="eastAsia"/>
          <w:rtl/>
        </w:rPr>
        <w:t>הנה</w:t>
      </w:r>
      <w:r>
        <w:rPr>
          <w:rtl/>
        </w:rPr>
        <w:t xml:space="preserve"> </w:t>
      </w:r>
      <w:r>
        <w:rPr>
          <w:rFonts w:hint="eastAsia"/>
          <w:rtl/>
        </w:rPr>
        <w:t>הזכרת</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הוה</w:t>
      </w:r>
      <w:r>
        <w:rPr>
          <w:rtl/>
        </w:rPr>
        <w:t xml:space="preserve"> </w:t>
      </w:r>
      <w:r>
        <w:rPr>
          <w:rFonts w:hint="eastAsia"/>
          <w:rtl/>
        </w:rPr>
        <w:t>מעצם</w:t>
      </w:r>
      <w:r>
        <w:rPr>
          <w:rtl/>
        </w:rPr>
        <w:t xml:space="preserve"> </w:t>
      </w:r>
      <w:r>
        <w:rPr>
          <w:rFonts w:hint="eastAsia"/>
          <w:rtl/>
        </w:rPr>
        <w:t>הברכה</w:t>
      </w:r>
      <w:r>
        <w:rPr>
          <w:rtl/>
        </w:rPr>
        <w:t xml:space="preserve">, </w:t>
      </w:r>
      <w:r>
        <w:rPr>
          <w:rFonts w:hint="eastAsia"/>
          <w:rtl/>
        </w:rPr>
        <w:t>ולכן</w:t>
      </w:r>
      <w:r>
        <w:rPr>
          <w:rtl/>
        </w:rPr>
        <w:t xml:space="preserve"> </w:t>
      </w:r>
      <w:r>
        <w:rPr>
          <w:rFonts w:hint="eastAsia"/>
          <w:rtl/>
        </w:rPr>
        <w:t>רק</w:t>
      </w:r>
      <w:r>
        <w:rPr>
          <w:rtl/>
        </w:rPr>
        <w:t xml:space="preserve"> </w:t>
      </w:r>
      <w:r>
        <w:rPr>
          <w:rFonts w:hint="eastAsia"/>
          <w:rtl/>
        </w:rPr>
        <w:t>באופן</w:t>
      </w:r>
      <w:r>
        <w:rPr>
          <w:rtl/>
        </w:rPr>
        <w:t xml:space="preserve"> </w:t>
      </w:r>
      <w:r>
        <w:rPr>
          <w:rFonts w:hint="eastAsia"/>
          <w:rtl/>
        </w:rPr>
        <w:t>זה</w:t>
      </w:r>
      <w:r>
        <w:rPr>
          <w:rtl/>
        </w:rPr>
        <w:t xml:space="preserve"> </w:t>
      </w:r>
      <w:r>
        <w:rPr>
          <w:rFonts w:hint="eastAsia"/>
          <w:rtl/>
        </w:rPr>
        <w:t>שייך</w:t>
      </w:r>
      <w:r>
        <w:rPr>
          <w:rtl/>
        </w:rPr>
        <w:t xml:space="preserve"> </w:t>
      </w:r>
      <w:r>
        <w:rPr>
          <w:rFonts w:hint="eastAsia"/>
          <w:rtl/>
        </w:rPr>
        <w:t>שעובר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עיי</w:t>
      </w:r>
      <w:r>
        <w:rPr>
          <w:rtl/>
        </w:rPr>
        <w:t>"</w:t>
      </w:r>
      <w:r>
        <w:rPr>
          <w:rFonts w:hint="eastAsia"/>
          <w:rtl/>
        </w:rPr>
        <w:t>ש</w:t>
      </w:r>
      <w:r>
        <w:rPr>
          <w:rtl/>
        </w:rPr>
        <w:t xml:space="preserve"> </w:t>
      </w:r>
      <w:r>
        <w:rPr>
          <w:rFonts w:hint="eastAsia"/>
          <w:rtl/>
        </w:rPr>
        <w:t>עוד</w:t>
      </w:r>
      <w:r>
        <w:rPr>
          <w:rtl/>
        </w:rPr>
        <w:t xml:space="preserve"> </w:t>
      </w:r>
      <w:r>
        <w:rPr>
          <w:rFonts w:hint="eastAsia"/>
          <w:rtl/>
        </w:rPr>
        <w:t>מ</w:t>
      </w:r>
      <w:r>
        <w:rPr>
          <w:rtl/>
        </w:rPr>
        <w:t>"</w:t>
      </w:r>
      <w:r>
        <w:rPr>
          <w:rFonts w:hint="eastAsia"/>
          <w:rtl/>
        </w:rPr>
        <w:t>ש</w:t>
      </w:r>
      <w:r>
        <w:rPr>
          <w:rtl/>
        </w:rPr>
        <w:t xml:space="preserve"> </w:t>
      </w:r>
      <w:r>
        <w:rPr>
          <w:rFonts w:hint="eastAsia"/>
          <w:rtl/>
        </w:rPr>
        <w:t>בענין</w:t>
      </w:r>
      <w:r>
        <w:rPr>
          <w:rtl/>
        </w:rPr>
        <w:t xml:space="preserve"> </w:t>
      </w:r>
      <w:r>
        <w:rPr>
          <w:rFonts w:hint="eastAsia"/>
          <w:rtl/>
        </w:rPr>
        <w:t>זה</w:t>
      </w:r>
      <w:r>
        <w:rPr>
          <w:rtl/>
        </w:rPr>
        <w:t>.</w:t>
      </w:r>
    </w:p>
    <w:p w14:paraId="48BE27C1" w14:textId="77777777" w:rsidR="00657259" w:rsidRDefault="00657259" w:rsidP="00E60D97">
      <w:pPr>
        <w:pStyle w:val="a3"/>
        <w:rPr>
          <w:rtl/>
        </w:rPr>
      </w:pPr>
      <w:r>
        <w:rPr>
          <w:rFonts w:hint="eastAsia"/>
          <w:rtl/>
        </w:rPr>
        <w:t>והנה</w:t>
      </w:r>
      <w:r>
        <w:rPr>
          <w:rtl/>
        </w:rPr>
        <w:t xml:space="preserve"> </w:t>
      </w:r>
      <w:r>
        <w:rPr>
          <w:rFonts w:hint="eastAsia"/>
          <w:rtl/>
        </w:rPr>
        <w:t>בהגרי</w:t>
      </w:r>
      <w:r>
        <w:rPr>
          <w:rtl/>
        </w:rPr>
        <w:t>"</w:t>
      </w:r>
      <w:r>
        <w:rPr>
          <w:rFonts w:hint="eastAsia"/>
          <w:rtl/>
        </w:rPr>
        <w:t>ז</w:t>
      </w:r>
      <w:r>
        <w:rPr>
          <w:rtl/>
        </w:rPr>
        <w:t xml:space="preserve"> </w:t>
      </w:r>
      <w:r>
        <w:rPr>
          <w:rFonts w:hint="eastAsia"/>
          <w:rtl/>
        </w:rPr>
        <w:t>על</w:t>
      </w:r>
      <w:r>
        <w:rPr>
          <w:rtl/>
        </w:rPr>
        <w:t xml:space="preserve"> </w:t>
      </w:r>
      <w:r>
        <w:rPr>
          <w:rFonts w:hint="eastAsia"/>
          <w:rtl/>
        </w:rPr>
        <w:t>הרמב</w:t>
      </w:r>
      <w:r>
        <w:rPr>
          <w:rtl/>
        </w:rPr>
        <w:t>"</w:t>
      </w:r>
      <w:r>
        <w:rPr>
          <w:rFonts w:hint="eastAsia"/>
          <w:rtl/>
        </w:rPr>
        <w:t>ם</w:t>
      </w:r>
      <w:r>
        <w:rPr>
          <w:rtl/>
        </w:rPr>
        <w:t xml:space="preserve"> (</w:t>
      </w:r>
      <w:r>
        <w:rPr>
          <w:rFonts w:hint="eastAsia"/>
          <w:rtl/>
        </w:rPr>
        <w:t>הל</w:t>
      </w:r>
      <w:r>
        <w:rPr>
          <w:rtl/>
        </w:rPr>
        <w:t xml:space="preserve">' </w:t>
      </w:r>
      <w:r>
        <w:rPr>
          <w:rFonts w:hint="eastAsia"/>
          <w:rtl/>
        </w:rPr>
        <w:t>ע</w:t>
      </w:r>
      <w:r>
        <w:rPr>
          <w:rtl/>
        </w:rPr>
        <w:t>"</w:t>
      </w:r>
      <w:r>
        <w:rPr>
          <w:rFonts w:hint="eastAsia"/>
          <w:rtl/>
        </w:rPr>
        <w:t>ז</w:t>
      </w:r>
      <w:r>
        <w:rPr>
          <w:rtl/>
        </w:rPr>
        <w:t xml:space="preserve"> </w:t>
      </w:r>
      <w:r>
        <w:rPr>
          <w:rFonts w:hint="eastAsia"/>
          <w:rtl/>
        </w:rPr>
        <w:t>פ</w:t>
      </w:r>
      <w:r>
        <w:rPr>
          <w:rtl/>
        </w:rPr>
        <w:t>"</w:t>
      </w:r>
      <w:r>
        <w:rPr>
          <w:rFonts w:hint="eastAsia"/>
          <w:rtl/>
        </w:rPr>
        <w:t>ב</w:t>
      </w:r>
      <w:r>
        <w:rPr>
          <w:rtl/>
        </w:rPr>
        <w:t xml:space="preserve"> </w:t>
      </w:r>
      <w:r>
        <w:rPr>
          <w:rFonts w:hint="eastAsia"/>
          <w:rtl/>
        </w:rPr>
        <w:t>ה</w:t>
      </w:r>
      <w:r>
        <w:rPr>
          <w:rtl/>
        </w:rPr>
        <w:t>"</w:t>
      </w:r>
      <w:r>
        <w:rPr>
          <w:rFonts w:hint="eastAsia"/>
          <w:rtl/>
        </w:rPr>
        <w:t>ז</w:t>
      </w:r>
      <w:r>
        <w:rPr>
          <w:rtl/>
        </w:rPr>
        <w:t xml:space="preserve">) </w:t>
      </w:r>
      <w:r>
        <w:rPr>
          <w:rFonts w:hint="eastAsia"/>
          <w:rtl/>
        </w:rPr>
        <w:t>ביאר</w:t>
      </w:r>
      <w:r>
        <w:rPr>
          <w:rtl/>
        </w:rPr>
        <w:t xml:space="preserve"> </w:t>
      </w:r>
      <w:r>
        <w:rPr>
          <w:rFonts w:hint="eastAsia"/>
          <w:rtl/>
        </w:rPr>
        <w:t>שהרמב</w:t>
      </w:r>
      <w:r>
        <w:rPr>
          <w:rtl/>
        </w:rPr>
        <w:t>"</w:t>
      </w:r>
      <w:r>
        <w:rPr>
          <w:rFonts w:hint="eastAsia"/>
          <w:rtl/>
        </w:rPr>
        <w:t>ם</w:t>
      </w:r>
      <w:r>
        <w:rPr>
          <w:rtl/>
        </w:rPr>
        <w:t xml:space="preserve"> </w:t>
      </w:r>
      <w:r>
        <w:rPr>
          <w:rFonts w:hint="eastAsia"/>
          <w:rtl/>
        </w:rPr>
        <w:t>סב</w:t>
      </w:r>
      <w:r>
        <w:rPr>
          <w:rtl/>
        </w:rPr>
        <w:t>"</w:t>
      </w:r>
      <w:r>
        <w:rPr>
          <w:rFonts w:hint="eastAsia"/>
          <w:rtl/>
        </w:rPr>
        <w:t>ל</w:t>
      </w:r>
      <w:r>
        <w:rPr>
          <w:rtl/>
        </w:rPr>
        <w:t xml:space="preserve"> </w:t>
      </w:r>
      <w:r>
        <w:rPr>
          <w:rFonts w:hint="eastAsia"/>
          <w:rtl/>
        </w:rPr>
        <w:t>בהא</w:t>
      </w:r>
      <w:r>
        <w:rPr>
          <w:rtl/>
        </w:rPr>
        <w:t xml:space="preserve"> </w:t>
      </w:r>
      <w:r>
        <w:rPr>
          <w:rFonts w:hint="eastAsia"/>
          <w:rtl/>
        </w:rPr>
        <w:t>דאמרינן</w:t>
      </w:r>
      <w:r>
        <w:rPr>
          <w:rtl/>
        </w:rPr>
        <w:t xml:space="preserve"> </w:t>
      </w:r>
      <w:r>
        <w:rPr>
          <w:rFonts w:hint="eastAsia"/>
          <w:rtl/>
        </w:rPr>
        <w:lastRenderedPageBreak/>
        <w:t>בקידושין</w:t>
      </w:r>
      <w:r>
        <w:rPr>
          <w:rtl/>
        </w:rPr>
        <w:t xml:space="preserve"> </w:t>
      </w:r>
      <w:r>
        <w:rPr>
          <w:rFonts w:hint="eastAsia"/>
          <w:rtl/>
        </w:rPr>
        <w:t>עא</w:t>
      </w:r>
      <w:r>
        <w:rPr>
          <w:rtl/>
        </w:rPr>
        <w:t>,</w:t>
      </w:r>
      <w:r>
        <w:rPr>
          <w:rFonts w:hint="eastAsia"/>
          <w:rtl/>
        </w:rPr>
        <w:t>א</w:t>
      </w:r>
      <w:r>
        <w:rPr>
          <w:rtl/>
        </w:rPr>
        <w:t xml:space="preserve">, </w:t>
      </w:r>
      <w:r>
        <w:rPr>
          <w:rFonts w:hint="eastAsia"/>
          <w:rtl/>
        </w:rPr>
        <w:t>כתיב</w:t>
      </w:r>
      <w:r>
        <w:rPr>
          <w:rtl/>
        </w:rPr>
        <w:t xml:space="preserve"> </w:t>
      </w:r>
      <w:r>
        <w:rPr>
          <w:rFonts w:hint="eastAsia"/>
          <w:rtl/>
        </w:rPr>
        <w:t>זה</w:t>
      </w:r>
      <w:r>
        <w:rPr>
          <w:rtl/>
        </w:rPr>
        <w:t xml:space="preserve"> </w:t>
      </w:r>
      <w:r>
        <w:rPr>
          <w:rFonts w:hint="eastAsia"/>
          <w:rtl/>
        </w:rPr>
        <w:t>שמי</w:t>
      </w:r>
      <w:r>
        <w:rPr>
          <w:rtl/>
        </w:rPr>
        <w:t xml:space="preserve"> </w:t>
      </w:r>
      <w:r>
        <w:rPr>
          <w:rFonts w:hint="eastAsia"/>
          <w:rtl/>
        </w:rPr>
        <w:t>וכתיב</w:t>
      </w:r>
      <w:r>
        <w:rPr>
          <w:rtl/>
        </w:rPr>
        <w:t xml:space="preserve"> </w:t>
      </w:r>
      <w:r>
        <w:rPr>
          <w:rFonts w:hint="eastAsia"/>
          <w:rtl/>
        </w:rPr>
        <w:t>זה</w:t>
      </w:r>
      <w:r>
        <w:rPr>
          <w:rtl/>
        </w:rPr>
        <w:t xml:space="preserve"> </w:t>
      </w:r>
      <w:r>
        <w:rPr>
          <w:rFonts w:hint="eastAsia"/>
          <w:rtl/>
        </w:rPr>
        <w:t>זכרי</w:t>
      </w:r>
      <w:r>
        <w:rPr>
          <w:rtl/>
        </w:rPr>
        <w:t xml:space="preserve"> </w:t>
      </w:r>
      <w:r>
        <w:rPr>
          <w:rFonts w:hint="eastAsia"/>
          <w:rtl/>
        </w:rPr>
        <w:t>כו</w:t>
      </w:r>
      <w:r>
        <w:rPr>
          <w:rtl/>
        </w:rPr>
        <w:t xml:space="preserve">' </w:t>
      </w:r>
      <w:r>
        <w:rPr>
          <w:rFonts w:hint="eastAsia"/>
          <w:rtl/>
        </w:rPr>
        <w:t>לא</w:t>
      </w:r>
      <w:r>
        <w:rPr>
          <w:rtl/>
        </w:rPr>
        <w:t xml:space="preserve"> </w:t>
      </w:r>
      <w:r>
        <w:rPr>
          <w:rFonts w:hint="eastAsia"/>
          <w:rtl/>
        </w:rPr>
        <w:t>כשאני</w:t>
      </w:r>
      <w:r>
        <w:rPr>
          <w:rtl/>
        </w:rPr>
        <w:t xml:space="preserve"> </w:t>
      </w:r>
      <w:r>
        <w:rPr>
          <w:rFonts w:hint="eastAsia"/>
          <w:rtl/>
        </w:rPr>
        <w:t>נכתב</w:t>
      </w:r>
      <w:r>
        <w:rPr>
          <w:rtl/>
        </w:rPr>
        <w:t xml:space="preserve"> </w:t>
      </w:r>
      <w:r>
        <w:rPr>
          <w:rFonts w:hint="eastAsia"/>
          <w:rtl/>
        </w:rPr>
        <w:t>אני</w:t>
      </w:r>
      <w:r>
        <w:rPr>
          <w:rtl/>
        </w:rPr>
        <w:t xml:space="preserve"> </w:t>
      </w:r>
      <w:r>
        <w:rPr>
          <w:rFonts w:hint="eastAsia"/>
          <w:rtl/>
        </w:rPr>
        <w:t>נקרא</w:t>
      </w:r>
      <w:r>
        <w:rPr>
          <w:rtl/>
        </w:rPr>
        <w:t xml:space="preserve">, </w:t>
      </w:r>
      <w:r>
        <w:rPr>
          <w:rFonts w:hint="eastAsia"/>
          <w:rtl/>
        </w:rPr>
        <w:t>נכתב</w:t>
      </w:r>
      <w:r>
        <w:rPr>
          <w:rtl/>
        </w:rPr>
        <w:t xml:space="preserve"> </w:t>
      </w:r>
      <w:r>
        <w:rPr>
          <w:rFonts w:hint="eastAsia"/>
          <w:rtl/>
        </w:rPr>
        <w:t>אני</w:t>
      </w:r>
      <w:r>
        <w:rPr>
          <w:rtl/>
        </w:rPr>
        <w:t xml:space="preserve"> </w:t>
      </w:r>
      <w:r>
        <w:rPr>
          <w:rFonts w:hint="eastAsia"/>
          <w:rtl/>
        </w:rPr>
        <w:t>וכו</w:t>
      </w:r>
      <w:r>
        <w:rPr>
          <w:rtl/>
        </w:rPr>
        <w:t xml:space="preserve">' </w:t>
      </w:r>
      <w:r>
        <w:rPr>
          <w:rFonts w:hint="eastAsia"/>
          <w:rtl/>
        </w:rPr>
        <w:t>ונקרא</w:t>
      </w:r>
      <w:r>
        <w:rPr>
          <w:rtl/>
        </w:rPr>
        <w:t xml:space="preserve"> </w:t>
      </w:r>
      <w:r>
        <w:rPr>
          <w:rFonts w:hint="eastAsia"/>
          <w:rtl/>
        </w:rPr>
        <w:t>בא</w:t>
      </w:r>
      <w:r>
        <w:rPr>
          <w:rtl/>
        </w:rPr>
        <w:t>-</w:t>
      </w:r>
      <w:r>
        <w:rPr>
          <w:rFonts w:hint="eastAsia"/>
          <w:rtl/>
        </w:rPr>
        <w:t>ד</w:t>
      </w:r>
      <w:r>
        <w:rPr>
          <w:rtl/>
        </w:rPr>
        <w:t xml:space="preserve">, </w:t>
      </w:r>
      <w:r>
        <w:rPr>
          <w:rFonts w:hint="eastAsia"/>
          <w:rtl/>
        </w:rPr>
        <w:t>נאמר</w:t>
      </w:r>
      <w:r>
        <w:rPr>
          <w:rtl/>
        </w:rPr>
        <w:t xml:space="preserve"> </w:t>
      </w:r>
      <w:r>
        <w:rPr>
          <w:rFonts w:hint="eastAsia"/>
          <w:rtl/>
        </w:rPr>
        <w:t>בזה</w:t>
      </w:r>
      <w:r>
        <w:rPr>
          <w:rtl/>
        </w:rPr>
        <w:t xml:space="preserve"> </w:t>
      </w:r>
      <w:r>
        <w:rPr>
          <w:rFonts w:hint="eastAsia"/>
          <w:rtl/>
        </w:rPr>
        <w:t>דינא</w:t>
      </w:r>
      <w:r>
        <w:rPr>
          <w:rtl/>
        </w:rPr>
        <w:t xml:space="preserve">, </w:t>
      </w:r>
      <w:r>
        <w:rPr>
          <w:rFonts w:hint="eastAsia"/>
          <w:rtl/>
        </w:rPr>
        <w:t>דהקריאה</w:t>
      </w:r>
      <w:r>
        <w:rPr>
          <w:rtl/>
        </w:rPr>
        <w:t xml:space="preserve"> </w:t>
      </w:r>
      <w:r>
        <w:rPr>
          <w:rFonts w:hint="eastAsia"/>
          <w:rtl/>
        </w:rPr>
        <w:t>של</w:t>
      </w:r>
      <w:r>
        <w:rPr>
          <w:rtl/>
        </w:rPr>
        <w:t xml:space="preserve"> </w:t>
      </w:r>
      <w:r>
        <w:rPr>
          <w:rFonts w:hint="eastAsia"/>
          <w:rtl/>
        </w:rPr>
        <w:t>אדנות</w:t>
      </w:r>
      <w:r>
        <w:rPr>
          <w:rtl/>
        </w:rPr>
        <w:t xml:space="preserve"> </w:t>
      </w:r>
      <w:r>
        <w:rPr>
          <w:rFonts w:hint="eastAsia"/>
          <w:rtl/>
        </w:rPr>
        <w:t>היא</w:t>
      </w:r>
      <w:r>
        <w:rPr>
          <w:rtl/>
        </w:rPr>
        <w:t xml:space="preserve"> </w:t>
      </w:r>
      <w:r>
        <w:rPr>
          <w:rFonts w:hint="eastAsia"/>
          <w:rtl/>
        </w:rPr>
        <w:t>גם</w:t>
      </w:r>
      <w:r>
        <w:rPr>
          <w:rtl/>
        </w:rPr>
        <w:t xml:space="preserve"> </w:t>
      </w:r>
      <w:r>
        <w:rPr>
          <w:rFonts w:hint="eastAsia"/>
          <w:rtl/>
        </w:rPr>
        <w:t>קריאה</w:t>
      </w:r>
      <w:r>
        <w:rPr>
          <w:rtl/>
        </w:rPr>
        <w:t xml:space="preserve"> </w:t>
      </w:r>
      <w:r>
        <w:rPr>
          <w:rFonts w:hint="eastAsia"/>
          <w:rtl/>
        </w:rPr>
        <w:t>של</w:t>
      </w:r>
      <w:r>
        <w:rPr>
          <w:rtl/>
        </w:rPr>
        <w:t xml:space="preserve"> </w:t>
      </w:r>
      <w:r>
        <w:rPr>
          <w:rFonts w:hint="eastAsia"/>
          <w:rtl/>
        </w:rPr>
        <w:t>שם</w:t>
      </w:r>
      <w:r>
        <w:rPr>
          <w:rtl/>
        </w:rPr>
        <w:t xml:space="preserve"> </w:t>
      </w:r>
      <w:r>
        <w:rPr>
          <w:rFonts w:hint="eastAsia"/>
          <w:rtl/>
        </w:rPr>
        <w:t>הוי</w:t>
      </w:r>
      <w:r>
        <w:rPr>
          <w:rtl/>
        </w:rPr>
        <w:t xml:space="preserve">', </w:t>
      </w:r>
      <w:r>
        <w:rPr>
          <w:rFonts w:hint="eastAsia"/>
          <w:rtl/>
        </w:rPr>
        <w:t>וא</w:t>
      </w:r>
      <w:r>
        <w:rPr>
          <w:rtl/>
        </w:rPr>
        <w:t>"</w:t>
      </w:r>
      <w:r>
        <w:rPr>
          <w:rFonts w:hint="eastAsia"/>
          <w:rtl/>
        </w:rPr>
        <w:t>כ</w:t>
      </w:r>
      <w:r>
        <w:rPr>
          <w:rtl/>
        </w:rPr>
        <w:t xml:space="preserve"> </w:t>
      </w:r>
      <w:r>
        <w:rPr>
          <w:rFonts w:hint="eastAsia"/>
          <w:rtl/>
        </w:rPr>
        <w:t>אף</w:t>
      </w:r>
      <w:r>
        <w:rPr>
          <w:rtl/>
        </w:rPr>
        <w:t xml:space="preserve"> </w:t>
      </w:r>
      <w:r>
        <w:rPr>
          <w:rFonts w:hint="eastAsia"/>
          <w:rtl/>
        </w:rPr>
        <w:t>דעצם</w:t>
      </w:r>
      <w:r>
        <w:rPr>
          <w:rtl/>
        </w:rPr>
        <w:t xml:space="preserve"> </w:t>
      </w:r>
      <w:r>
        <w:rPr>
          <w:rFonts w:hint="eastAsia"/>
          <w:rtl/>
        </w:rPr>
        <w:t>השם</w:t>
      </w:r>
      <w:r>
        <w:rPr>
          <w:rtl/>
        </w:rPr>
        <w:t xml:space="preserve"> </w:t>
      </w:r>
      <w:r>
        <w:rPr>
          <w:rFonts w:hint="eastAsia"/>
          <w:rtl/>
        </w:rPr>
        <w:t>של</w:t>
      </w:r>
      <w:r>
        <w:rPr>
          <w:rtl/>
        </w:rPr>
        <w:t xml:space="preserve"> </w:t>
      </w:r>
      <w:r>
        <w:rPr>
          <w:rFonts w:hint="eastAsia"/>
          <w:rtl/>
        </w:rPr>
        <w:t>אדנות</w:t>
      </w:r>
      <w:r>
        <w:rPr>
          <w:rtl/>
        </w:rPr>
        <w:t xml:space="preserve"> </w:t>
      </w:r>
      <w:r>
        <w:rPr>
          <w:rFonts w:hint="eastAsia"/>
          <w:rtl/>
        </w:rPr>
        <w:t>לאו</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הוא</w:t>
      </w:r>
      <w:r>
        <w:rPr>
          <w:rtl/>
        </w:rPr>
        <w:t xml:space="preserve">, </w:t>
      </w:r>
      <w:r>
        <w:rPr>
          <w:rFonts w:hint="eastAsia"/>
          <w:rtl/>
        </w:rPr>
        <w:t>אבל</w:t>
      </w:r>
      <w:r>
        <w:rPr>
          <w:rtl/>
        </w:rPr>
        <w:t xml:space="preserve"> </w:t>
      </w:r>
      <w:r>
        <w:rPr>
          <w:rFonts w:hint="eastAsia"/>
          <w:rtl/>
        </w:rPr>
        <w:t>עכ</w:t>
      </w:r>
      <w:r>
        <w:rPr>
          <w:rtl/>
        </w:rPr>
        <w:t>"</w:t>
      </w:r>
      <w:r>
        <w:rPr>
          <w:rFonts w:hint="eastAsia"/>
          <w:rtl/>
        </w:rPr>
        <w:t>פ</w:t>
      </w:r>
      <w:r>
        <w:rPr>
          <w:rtl/>
        </w:rPr>
        <w:t xml:space="preserve"> </w:t>
      </w:r>
      <w:r>
        <w:rPr>
          <w:rFonts w:hint="eastAsia"/>
          <w:rtl/>
        </w:rPr>
        <w:t>בזה</w:t>
      </w:r>
      <w:r>
        <w:rPr>
          <w:rtl/>
        </w:rPr>
        <w:t xml:space="preserve"> </w:t>
      </w:r>
      <w:r>
        <w:rPr>
          <w:rFonts w:hint="eastAsia"/>
          <w:rtl/>
        </w:rPr>
        <w:t>שפירש</w:t>
      </w:r>
      <w:r>
        <w:rPr>
          <w:rtl/>
        </w:rPr>
        <w:t xml:space="preserve"> </w:t>
      </w:r>
      <w:r>
        <w:rPr>
          <w:rFonts w:hint="eastAsia"/>
          <w:rtl/>
        </w:rPr>
        <w:t>להשם</w:t>
      </w:r>
      <w:r>
        <w:rPr>
          <w:rtl/>
        </w:rPr>
        <w:t xml:space="preserve"> </w:t>
      </w:r>
      <w:r>
        <w:rPr>
          <w:rFonts w:hint="eastAsia"/>
          <w:rtl/>
        </w:rPr>
        <w:t>דאדנות</w:t>
      </w:r>
      <w:r>
        <w:rPr>
          <w:rtl/>
        </w:rPr>
        <w:t xml:space="preserve"> </w:t>
      </w:r>
      <w:r>
        <w:rPr>
          <w:rFonts w:hint="eastAsia"/>
          <w:rtl/>
        </w:rPr>
        <w:t>מקרי</w:t>
      </w:r>
      <w:r>
        <w:rPr>
          <w:rtl/>
        </w:rPr>
        <w:t xml:space="preserve"> </w:t>
      </w:r>
      <w:r>
        <w:rPr>
          <w:rFonts w:hint="eastAsia"/>
          <w:rtl/>
        </w:rPr>
        <w:t>שפירש</w:t>
      </w:r>
      <w:r>
        <w:rPr>
          <w:rtl/>
        </w:rPr>
        <w:t xml:space="preserve"> </w:t>
      </w:r>
      <w:r>
        <w:rPr>
          <w:rFonts w:hint="eastAsia"/>
          <w:rtl/>
        </w:rPr>
        <w:t>גם</w:t>
      </w:r>
      <w:r>
        <w:rPr>
          <w:rtl/>
        </w:rPr>
        <w:t xml:space="preserve"> </w:t>
      </w:r>
      <w:r>
        <w:rPr>
          <w:rFonts w:hint="eastAsia"/>
          <w:rtl/>
        </w:rPr>
        <w:t>להשם</w:t>
      </w:r>
      <w:r>
        <w:rPr>
          <w:rtl/>
        </w:rPr>
        <w:t xml:space="preserve"> </w:t>
      </w:r>
      <w:r>
        <w:rPr>
          <w:rFonts w:hint="eastAsia"/>
          <w:rtl/>
        </w:rPr>
        <w:t>המיוחד</w:t>
      </w:r>
      <w:r>
        <w:rPr>
          <w:rtl/>
        </w:rPr>
        <w:t xml:space="preserve">, </w:t>
      </w:r>
      <w:r>
        <w:rPr>
          <w:rFonts w:hint="eastAsia"/>
          <w:rtl/>
        </w:rPr>
        <w:t>שזו</w:t>
      </w:r>
      <w:r>
        <w:rPr>
          <w:rtl/>
        </w:rPr>
        <w:t xml:space="preserve"> </w:t>
      </w:r>
      <w:r>
        <w:rPr>
          <w:rFonts w:hint="eastAsia"/>
          <w:rtl/>
        </w:rPr>
        <w:t>היא</w:t>
      </w:r>
      <w:r>
        <w:rPr>
          <w:rtl/>
        </w:rPr>
        <w:t xml:space="preserve"> </w:t>
      </w:r>
      <w:r>
        <w:rPr>
          <w:rFonts w:hint="eastAsia"/>
          <w:rtl/>
        </w:rPr>
        <w:t>קריאתו</w:t>
      </w:r>
      <w:r>
        <w:rPr>
          <w:rtl/>
        </w:rPr>
        <w:t xml:space="preserve">, </w:t>
      </w:r>
      <w:r>
        <w:rPr>
          <w:rFonts w:hint="eastAsia"/>
          <w:rtl/>
        </w:rPr>
        <w:t>ולהכי</w:t>
      </w:r>
      <w:r>
        <w:rPr>
          <w:rtl/>
        </w:rPr>
        <w:t xml:space="preserve"> </w:t>
      </w:r>
      <w:r>
        <w:rPr>
          <w:rFonts w:hint="eastAsia"/>
          <w:rtl/>
        </w:rPr>
        <w:t>חייב</w:t>
      </w:r>
      <w:r>
        <w:rPr>
          <w:rtl/>
        </w:rPr>
        <w:t xml:space="preserve"> </w:t>
      </w:r>
      <w:r>
        <w:rPr>
          <w:rFonts w:hint="eastAsia"/>
          <w:rtl/>
        </w:rPr>
        <w:t>בו</w:t>
      </w:r>
      <w:r>
        <w:rPr>
          <w:rtl/>
        </w:rPr>
        <w:t xml:space="preserve"> </w:t>
      </w:r>
      <w:r>
        <w:rPr>
          <w:rFonts w:hint="eastAsia"/>
          <w:rtl/>
        </w:rPr>
        <w:t>במגדף</w:t>
      </w:r>
      <w:r>
        <w:rPr>
          <w:rtl/>
        </w:rPr>
        <w:t xml:space="preserve">, </w:t>
      </w:r>
      <w:r>
        <w:rPr>
          <w:rFonts w:hint="eastAsia"/>
          <w:rtl/>
        </w:rPr>
        <w:t>דהרי</w:t>
      </w:r>
      <w:r>
        <w:rPr>
          <w:rtl/>
        </w:rPr>
        <w:t xml:space="preserve"> </w:t>
      </w:r>
      <w:r>
        <w:rPr>
          <w:rFonts w:hint="eastAsia"/>
          <w:rtl/>
        </w:rPr>
        <w:t>זה</w:t>
      </w:r>
      <w:r>
        <w:rPr>
          <w:rtl/>
        </w:rPr>
        <w:t xml:space="preserve"> </w:t>
      </w:r>
      <w:r>
        <w:rPr>
          <w:rFonts w:hint="eastAsia"/>
          <w:rtl/>
        </w:rPr>
        <w:t>בכלל</w:t>
      </w:r>
      <w:r>
        <w:rPr>
          <w:rtl/>
        </w:rPr>
        <w:t xml:space="preserve"> </w:t>
      </w:r>
      <w:r>
        <w:rPr>
          <w:rFonts w:hint="eastAsia"/>
          <w:rtl/>
        </w:rPr>
        <w:t>ונוקב</w:t>
      </w:r>
      <w:r>
        <w:rPr>
          <w:rtl/>
        </w:rPr>
        <w:t xml:space="preserve"> </w:t>
      </w:r>
      <w:r>
        <w:rPr>
          <w:rFonts w:hint="eastAsia"/>
          <w:rtl/>
        </w:rPr>
        <w:t>שם</w:t>
      </w:r>
      <w:r>
        <w:rPr>
          <w:rtl/>
        </w:rPr>
        <w:t xml:space="preserve"> </w:t>
      </w:r>
      <w:r>
        <w:rPr>
          <w:rFonts w:hint="eastAsia"/>
          <w:rtl/>
        </w:rPr>
        <w:t>ה</w:t>
      </w:r>
      <w:r>
        <w:rPr>
          <w:rtl/>
        </w:rPr>
        <w:t xml:space="preserve">', </w:t>
      </w:r>
      <w:r>
        <w:rPr>
          <w:rFonts w:hint="eastAsia"/>
          <w:rtl/>
        </w:rPr>
        <w:t>דכך</w:t>
      </w:r>
      <w:r>
        <w:rPr>
          <w:rtl/>
        </w:rPr>
        <w:t xml:space="preserve"> </w:t>
      </w:r>
      <w:r>
        <w:rPr>
          <w:rFonts w:hint="eastAsia"/>
          <w:rtl/>
        </w:rPr>
        <w:t>היא</w:t>
      </w:r>
      <w:r>
        <w:rPr>
          <w:rtl/>
        </w:rPr>
        <w:t xml:space="preserve"> </w:t>
      </w:r>
      <w:r>
        <w:rPr>
          <w:rFonts w:hint="eastAsia"/>
          <w:rtl/>
        </w:rPr>
        <w:t>נקיבתו</w:t>
      </w:r>
      <w:r>
        <w:rPr>
          <w:rtl/>
        </w:rPr>
        <w:t xml:space="preserve"> </w:t>
      </w:r>
      <w:r>
        <w:rPr>
          <w:rFonts w:hint="eastAsia"/>
          <w:rtl/>
        </w:rPr>
        <w:t>של</w:t>
      </w:r>
      <w:r>
        <w:rPr>
          <w:rtl/>
        </w:rPr>
        <w:t xml:space="preserve"> </w:t>
      </w:r>
      <w:r>
        <w:rPr>
          <w:rFonts w:hint="eastAsia"/>
          <w:rtl/>
        </w:rPr>
        <w:t>שם</w:t>
      </w:r>
      <w:r>
        <w:rPr>
          <w:rtl/>
        </w:rPr>
        <w:t xml:space="preserve"> </w:t>
      </w:r>
      <w:r>
        <w:rPr>
          <w:rFonts w:hint="eastAsia"/>
          <w:rtl/>
        </w:rPr>
        <w:t>זה</w:t>
      </w:r>
      <w:r>
        <w:rPr>
          <w:rtl/>
        </w:rPr>
        <w:t xml:space="preserve"> </w:t>
      </w:r>
      <w:r>
        <w:rPr>
          <w:rFonts w:hint="eastAsia"/>
          <w:rtl/>
        </w:rPr>
        <w:t>לענין</w:t>
      </w:r>
      <w:r>
        <w:rPr>
          <w:rtl/>
        </w:rPr>
        <w:t xml:space="preserve"> </w:t>
      </w:r>
      <w:r>
        <w:rPr>
          <w:rFonts w:hint="eastAsia"/>
          <w:rtl/>
        </w:rPr>
        <w:t>הקריאה</w:t>
      </w:r>
      <w:r>
        <w:rPr>
          <w:rtl/>
        </w:rPr>
        <w:t xml:space="preserve">, </w:t>
      </w:r>
      <w:r>
        <w:rPr>
          <w:rFonts w:hint="eastAsia"/>
          <w:rtl/>
        </w:rPr>
        <w:t>ולכן</w:t>
      </w:r>
      <w:r>
        <w:rPr>
          <w:rtl/>
        </w:rPr>
        <w:t xml:space="preserve"> </w:t>
      </w:r>
      <w:r>
        <w:rPr>
          <w:rFonts w:hint="eastAsia"/>
          <w:rtl/>
        </w:rPr>
        <w:t>סב</w:t>
      </w:r>
      <w:r>
        <w:rPr>
          <w:rtl/>
        </w:rPr>
        <w:t>"</w:t>
      </w:r>
      <w:r>
        <w:rPr>
          <w:rFonts w:hint="eastAsia"/>
          <w:rtl/>
        </w:rPr>
        <w:t>ל</w:t>
      </w:r>
      <w:r>
        <w:rPr>
          <w:rtl/>
        </w:rPr>
        <w:t xml:space="preserve"> </w:t>
      </w:r>
      <w:r>
        <w:rPr>
          <w:rFonts w:hint="eastAsia"/>
          <w:rtl/>
        </w:rPr>
        <w:t>להרמב</w:t>
      </w:r>
      <w:r>
        <w:rPr>
          <w:rtl/>
        </w:rPr>
        <w:t>"</w:t>
      </w:r>
      <w:r>
        <w:rPr>
          <w:rFonts w:hint="eastAsia"/>
          <w:rtl/>
        </w:rPr>
        <w:t>ם</w:t>
      </w:r>
      <w:r>
        <w:rPr>
          <w:rtl/>
        </w:rPr>
        <w:t xml:space="preserve"> </w:t>
      </w:r>
      <w:r>
        <w:rPr>
          <w:rFonts w:hint="eastAsia"/>
          <w:rtl/>
        </w:rPr>
        <w:t>דעל</w:t>
      </w:r>
      <w:r>
        <w:rPr>
          <w:rtl/>
        </w:rPr>
        <w:t xml:space="preserve"> </w:t>
      </w:r>
      <w:r>
        <w:rPr>
          <w:rFonts w:hint="eastAsia"/>
          <w:rtl/>
        </w:rPr>
        <w:t>שניהם</w:t>
      </w:r>
      <w:r>
        <w:rPr>
          <w:rtl/>
        </w:rPr>
        <w:t xml:space="preserve"> </w:t>
      </w:r>
      <w:r>
        <w:rPr>
          <w:rFonts w:hint="eastAsia"/>
          <w:rtl/>
        </w:rPr>
        <w:t>הוא</w:t>
      </w:r>
      <w:r>
        <w:rPr>
          <w:rtl/>
        </w:rPr>
        <w:t xml:space="preserve"> </w:t>
      </w:r>
      <w:r>
        <w:rPr>
          <w:rFonts w:hint="eastAsia"/>
          <w:rtl/>
        </w:rPr>
        <w:t>נסקל</w:t>
      </w:r>
      <w:r>
        <w:rPr>
          <w:rtl/>
        </w:rPr>
        <w:t xml:space="preserve">, </w:t>
      </w:r>
      <w:r>
        <w:rPr>
          <w:rFonts w:hint="eastAsia"/>
          <w:rtl/>
        </w:rPr>
        <w:t>דבין</w:t>
      </w:r>
      <w:r>
        <w:rPr>
          <w:rtl/>
        </w:rPr>
        <w:t xml:space="preserve"> </w:t>
      </w:r>
      <w:r>
        <w:rPr>
          <w:rFonts w:hint="eastAsia"/>
          <w:rtl/>
        </w:rPr>
        <w:t>כך</w:t>
      </w:r>
      <w:r>
        <w:rPr>
          <w:rtl/>
        </w:rPr>
        <w:t xml:space="preserve"> </w:t>
      </w:r>
      <w:r>
        <w:rPr>
          <w:rFonts w:hint="eastAsia"/>
          <w:rtl/>
        </w:rPr>
        <w:t>ובין</w:t>
      </w:r>
      <w:r>
        <w:rPr>
          <w:rtl/>
        </w:rPr>
        <w:t xml:space="preserve"> </w:t>
      </w:r>
      <w:r>
        <w:rPr>
          <w:rFonts w:hint="eastAsia"/>
          <w:rtl/>
        </w:rPr>
        <w:t>כך</w:t>
      </w:r>
      <w:r>
        <w:rPr>
          <w:rtl/>
        </w:rPr>
        <w:t xml:space="preserve"> </w:t>
      </w:r>
      <w:r>
        <w:rPr>
          <w:rFonts w:hint="eastAsia"/>
          <w:rtl/>
        </w:rPr>
        <w:t>הרי</w:t>
      </w:r>
      <w:r>
        <w:rPr>
          <w:rtl/>
        </w:rPr>
        <w:t xml:space="preserve"> </w:t>
      </w:r>
      <w:r>
        <w:rPr>
          <w:rFonts w:hint="eastAsia"/>
          <w:rtl/>
        </w:rPr>
        <w:t>פירש</w:t>
      </w:r>
      <w:r>
        <w:rPr>
          <w:rtl/>
        </w:rPr>
        <w:t xml:space="preserve"> </w:t>
      </w:r>
      <w:r>
        <w:rPr>
          <w:rFonts w:hint="eastAsia"/>
          <w:rtl/>
        </w:rPr>
        <w:t>להשם</w:t>
      </w:r>
      <w:r>
        <w:rPr>
          <w:rtl/>
        </w:rPr>
        <w:t xml:space="preserve"> </w:t>
      </w:r>
      <w:r>
        <w:rPr>
          <w:rFonts w:hint="eastAsia"/>
          <w:rtl/>
        </w:rPr>
        <w:t>המיוחד</w:t>
      </w:r>
      <w:r>
        <w:rPr>
          <w:rtl/>
        </w:rPr>
        <w:t xml:space="preserve"> </w:t>
      </w:r>
      <w:r>
        <w:rPr>
          <w:rFonts w:hint="eastAsia"/>
          <w:rtl/>
        </w:rPr>
        <w:t>שהוא</w:t>
      </w:r>
      <w:r>
        <w:rPr>
          <w:rtl/>
        </w:rPr>
        <w:t xml:space="preserve"> </w:t>
      </w:r>
      <w:r>
        <w:rPr>
          <w:rFonts w:hint="eastAsia"/>
          <w:rtl/>
        </w:rPr>
        <w:t>שם</w:t>
      </w:r>
      <w:r>
        <w:rPr>
          <w:rtl/>
        </w:rPr>
        <w:t xml:space="preserve"> </w:t>
      </w:r>
      <w:r>
        <w:rPr>
          <w:rFonts w:hint="eastAsia"/>
          <w:rtl/>
        </w:rPr>
        <w:t>הוי</w:t>
      </w:r>
      <w:r>
        <w:rPr>
          <w:rtl/>
        </w:rPr>
        <w:t xml:space="preserve">', </w:t>
      </w:r>
      <w:r>
        <w:rPr>
          <w:rFonts w:hint="eastAsia"/>
          <w:rtl/>
        </w:rPr>
        <w:t>וממשיך</w:t>
      </w:r>
      <w:r>
        <w:rPr>
          <w:rtl/>
        </w:rPr>
        <w:t xml:space="preserve"> </w:t>
      </w:r>
      <w:r>
        <w:rPr>
          <w:rFonts w:hint="eastAsia"/>
          <w:rtl/>
        </w:rPr>
        <w:t>שם</w:t>
      </w:r>
      <w:r>
        <w:rPr>
          <w:rtl/>
        </w:rPr>
        <w:t xml:space="preserve"> </w:t>
      </w:r>
      <w:r>
        <w:rPr>
          <w:rFonts w:hint="eastAsia"/>
          <w:rtl/>
        </w:rPr>
        <w:t>שגם</w:t>
      </w:r>
      <w:r>
        <w:rPr>
          <w:rtl/>
        </w:rPr>
        <w:t xml:space="preserve"> </w:t>
      </w:r>
      <w:r>
        <w:rPr>
          <w:rFonts w:hint="eastAsia"/>
          <w:rtl/>
        </w:rPr>
        <w:t>החולקים</w:t>
      </w:r>
      <w:r>
        <w:rPr>
          <w:rtl/>
        </w:rPr>
        <w:t xml:space="preserve"> </w:t>
      </w:r>
      <w:r>
        <w:rPr>
          <w:rFonts w:hint="eastAsia"/>
          <w:rtl/>
        </w:rPr>
        <w:t>על</w:t>
      </w:r>
      <w:r>
        <w:rPr>
          <w:rtl/>
        </w:rPr>
        <w:t xml:space="preserve"> </w:t>
      </w:r>
      <w:r>
        <w:rPr>
          <w:rFonts w:hint="eastAsia"/>
          <w:rtl/>
        </w:rPr>
        <w:t>הרמב</w:t>
      </w:r>
      <w:r>
        <w:rPr>
          <w:rtl/>
        </w:rPr>
        <w:t>"</w:t>
      </w:r>
      <w:r>
        <w:rPr>
          <w:rFonts w:hint="eastAsia"/>
          <w:rtl/>
        </w:rPr>
        <w:t>ם</w:t>
      </w:r>
      <w:r>
        <w:rPr>
          <w:rtl/>
        </w:rPr>
        <w:t xml:space="preserve"> </w:t>
      </w:r>
      <w:r>
        <w:rPr>
          <w:rFonts w:hint="eastAsia"/>
          <w:rtl/>
        </w:rPr>
        <w:t>וסב</w:t>
      </w:r>
      <w:r>
        <w:rPr>
          <w:rtl/>
        </w:rPr>
        <w:t>"</w:t>
      </w:r>
      <w:r>
        <w:rPr>
          <w:rFonts w:hint="eastAsia"/>
          <w:rtl/>
        </w:rPr>
        <w:t>ל</w:t>
      </w:r>
      <w:r>
        <w:rPr>
          <w:rtl/>
        </w:rPr>
        <w:t xml:space="preserve"> </w:t>
      </w:r>
      <w:r>
        <w:rPr>
          <w:rFonts w:hint="eastAsia"/>
          <w:rtl/>
        </w:rPr>
        <w:t>דאינו</w:t>
      </w:r>
      <w:r>
        <w:rPr>
          <w:rtl/>
        </w:rPr>
        <w:t xml:space="preserve"> </w:t>
      </w:r>
      <w:r>
        <w:rPr>
          <w:rFonts w:hint="eastAsia"/>
          <w:rtl/>
        </w:rPr>
        <w:t>נסקל</w:t>
      </w:r>
      <w:r>
        <w:rPr>
          <w:rtl/>
        </w:rPr>
        <w:t xml:space="preserve"> </w:t>
      </w:r>
      <w:r>
        <w:rPr>
          <w:rFonts w:hint="eastAsia"/>
          <w:rtl/>
        </w:rPr>
        <w:t>על</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סב</w:t>
      </w:r>
      <w:r>
        <w:rPr>
          <w:rtl/>
        </w:rPr>
        <w:t>"</w:t>
      </w:r>
      <w:r>
        <w:rPr>
          <w:rFonts w:hint="eastAsia"/>
          <w:rtl/>
        </w:rPr>
        <w:t>ל</w:t>
      </w:r>
      <w:r>
        <w:rPr>
          <w:rtl/>
        </w:rPr>
        <w:t xml:space="preserve"> </w:t>
      </w:r>
      <w:r>
        <w:rPr>
          <w:rFonts w:hint="eastAsia"/>
          <w:rtl/>
        </w:rPr>
        <w:t>כהנ</w:t>
      </w:r>
      <w:r>
        <w:rPr>
          <w:rtl/>
        </w:rPr>
        <w:t>"</w:t>
      </w:r>
      <w:r>
        <w:rPr>
          <w:rFonts w:hint="eastAsia"/>
          <w:rtl/>
        </w:rPr>
        <w:t>ל</w:t>
      </w:r>
      <w:r>
        <w:rPr>
          <w:rtl/>
        </w:rPr>
        <w:t xml:space="preserve">, </w:t>
      </w:r>
      <w:r>
        <w:rPr>
          <w:rFonts w:hint="eastAsia"/>
          <w:rtl/>
        </w:rPr>
        <w:t>דקריאתו</w:t>
      </w:r>
      <w:r>
        <w:rPr>
          <w:rtl/>
        </w:rPr>
        <w:t xml:space="preserve"> </w:t>
      </w:r>
      <w:r>
        <w:rPr>
          <w:rFonts w:hint="eastAsia"/>
          <w:rtl/>
        </w:rPr>
        <w:t>של</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הוא</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אלא</w:t>
      </w:r>
      <w:r>
        <w:rPr>
          <w:rtl/>
        </w:rPr>
        <w:t xml:space="preserve"> </w:t>
      </w:r>
      <w:r>
        <w:rPr>
          <w:rFonts w:hint="eastAsia"/>
          <w:rtl/>
        </w:rPr>
        <w:t>דסבירא</w:t>
      </w:r>
      <w:r>
        <w:rPr>
          <w:rtl/>
        </w:rPr>
        <w:t xml:space="preserve"> </w:t>
      </w:r>
      <w:r>
        <w:rPr>
          <w:rFonts w:hint="eastAsia"/>
          <w:rtl/>
        </w:rPr>
        <w:t>להו</w:t>
      </w:r>
      <w:r>
        <w:rPr>
          <w:rtl/>
        </w:rPr>
        <w:t xml:space="preserve"> </w:t>
      </w:r>
      <w:r>
        <w:rPr>
          <w:rFonts w:hint="eastAsia"/>
          <w:rtl/>
        </w:rPr>
        <w:t>דמתי</w:t>
      </w:r>
      <w:r>
        <w:rPr>
          <w:rtl/>
        </w:rPr>
        <w:t xml:space="preserve"> </w:t>
      </w:r>
      <w:r>
        <w:rPr>
          <w:rFonts w:hint="eastAsia"/>
          <w:rtl/>
        </w:rPr>
        <w:t>יש</w:t>
      </w:r>
      <w:r>
        <w:rPr>
          <w:rtl/>
        </w:rPr>
        <w:t xml:space="preserve"> </w:t>
      </w:r>
      <w:r>
        <w:rPr>
          <w:rFonts w:hint="eastAsia"/>
          <w:rtl/>
        </w:rPr>
        <w:t>בהקריאה</w:t>
      </w:r>
      <w:r>
        <w:rPr>
          <w:rtl/>
        </w:rPr>
        <w:t xml:space="preserve"> </w:t>
      </w:r>
      <w:r>
        <w:rPr>
          <w:rFonts w:hint="eastAsia"/>
          <w:rtl/>
        </w:rPr>
        <w:t>קריאה</w:t>
      </w:r>
      <w:r>
        <w:rPr>
          <w:rtl/>
        </w:rPr>
        <w:t xml:space="preserve"> </w:t>
      </w:r>
      <w:r>
        <w:rPr>
          <w:rFonts w:hint="eastAsia"/>
          <w:rtl/>
        </w:rPr>
        <w:t>של</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רק</w:t>
      </w:r>
      <w:r>
        <w:rPr>
          <w:rtl/>
        </w:rPr>
        <w:t xml:space="preserve"> </w:t>
      </w:r>
      <w:r>
        <w:rPr>
          <w:rFonts w:hint="eastAsia"/>
          <w:rtl/>
        </w:rPr>
        <w:t>כשקורא</w:t>
      </w:r>
      <w:r>
        <w:rPr>
          <w:rtl/>
        </w:rPr>
        <w:t xml:space="preserve"> </w:t>
      </w:r>
      <w:r>
        <w:rPr>
          <w:rFonts w:hint="eastAsia"/>
          <w:rtl/>
        </w:rPr>
        <w:t>מה</w:t>
      </w:r>
      <w:r>
        <w:rPr>
          <w:rtl/>
        </w:rPr>
        <w:t xml:space="preserve"> </w:t>
      </w:r>
      <w:r>
        <w:rPr>
          <w:rFonts w:hint="eastAsia"/>
          <w:rtl/>
        </w:rPr>
        <w:t>שכתוב</w:t>
      </w:r>
      <w:r>
        <w:rPr>
          <w:rtl/>
        </w:rPr>
        <w:t xml:space="preserve"> </w:t>
      </w:r>
      <w:r>
        <w:rPr>
          <w:rFonts w:hint="eastAsia"/>
          <w:rtl/>
        </w:rPr>
        <w:t>בשם</w:t>
      </w:r>
      <w:r>
        <w:rPr>
          <w:rtl/>
        </w:rPr>
        <w:t xml:space="preserve"> </w:t>
      </w:r>
      <w:r>
        <w:rPr>
          <w:rFonts w:hint="eastAsia"/>
          <w:rtl/>
        </w:rPr>
        <w:t>הוי</w:t>
      </w:r>
      <w:r>
        <w:rPr>
          <w:rtl/>
        </w:rPr>
        <w:t xml:space="preserve">' </w:t>
      </w:r>
      <w:r>
        <w:rPr>
          <w:rFonts w:hint="eastAsia"/>
          <w:rtl/>
        </w:rPr>
        <w:t>כמו</w:t>
      </w:r>
      <w:r>
        <w:rPr>
          <w:rtl/>
        </w:rPr>
        <w:t xml:space="preserve"> </w:t>
      </w:r>
      <w:r>
        <w:rPr>
          <w:rFonts w:hint="eastAsia"/>
          <w:rtl/>
        </w:rPr>
        <w:t>בברכת</w:t>
      </w:r>
      <w:r>
        <w:rPr>
          <w:rtl/>
        </w:rPr>
        <w:t xml:space="preserve"> </w:t>
      </w:r>
      <w:r>
        <w:rPr>
          <w:rFonts w:hint="eastAsia"/>
          <w:rtl/>
        </w:rPr>
        <w:t>כהנים</w:t>
      </w:r>
      <w:r>
        <w:rPr>
          <w:rtl/>
        </w:rPr>
        <w:t xml:space="preserve"> </w:t>
      </w:r>
      <w:r>
        <w:rPr>
          <w:rFonts w:hint="eastAsia"/>
          <w:rtl/>
        </w:rPr>
        <w:t>שכתוב</w:t>
      </w:r>
      <w:r>
        <w:rPr>
          <w:rtl/>
        </w:rPr>
        <w:t xml:space="preserve"> </w:t>
      </w:r>
      <w:r>
        <w:rPr>
          <w:rFonts w:hint="eastAsia"/>
          <w:rtl/>
        </w:rPr>
        <w:t>שם</w:t>
      </w:r>
      <w:r>
        <w:rPr>
          <w:rtl/>
        </w:rPr>
        <w:t xml:space="preserve"> </w:t>
      </w:r>
      <w:r>
        <w:rPr>
          <w:rFonts w:hint="eastAsia"/>
          <w:rtl/>
        </w:rPr>
        <w:t>הוי</w:t>
      </w:r>
      <w:r>
        <w:rPr>
          <w:rtl/>
        </w:rPr>
        <w:t xml:space="preserve">', </w:t>
      </w:r>
      <w:r>
        <w:rPr>
          <w:rFonts w:hint="eastAsia"/>
          <w:rtl/>
        </w:rPr>
        <w:t>דבזה</w:t>
      </w:r>
      <w:r>
        <w:rPr>
          <w:rtl/>
        </w:rPr>
        <w:t xml:space="preserve"> </w:t>
      </w:r>
      <w:r>
        <w:rPr>
          <w:rFonts w:hint="eastAsia"/>
          <w:rtl/>
        </w:rPr>
        <w:t>יש</w:t>
      </w:r>
      <w:r>
        <w:rPr>
          <w:rtl/>
        </w:rPr>
        <w:t xml:space="preserve"> </w:t>
      </w:r>
      <w:r>
        <w:rPr>
          <w:rFonts w:hint="eastAsia"/>
          <w:rtl/>
        </w:rPr>
        <w:t>הדין</w:t>
      </w:r>
      <w:r>
        <w:rPr>
          <w:rtl/>
        </w:rPr>
        <w:t xml:space="preserve"> </w:t>
      </w:r>
      <w:r>
        <w:rPr>
          <w:rFonts w:hint="eastAsia"/>
          <w:rtl/>
        </w:rPr>
        <w:t>דהוה</w:t>
      </w:r>
      <w:r>
        <w:rPr>
          <w:rtl/>
        </w:rPr>
        <w:t xml:space="preserve"> </w:t>
      </w:r>
      <w:r>
        <w:rPr>
          <w:rFonts w:hint="eastAsia"/>
          <w:rtl/>
        </w:rPr>
        <w:t>כקורא</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אבל</w:t>
      </w:r>
      <w:r>
        <w:rPr>
          <w:rtl/>
        </w:rPr>
        <w:t xml:space="preserve"> </w:t>
      </w:r>
      <w:r>
        <w:rPr>
          <w:rFonts w:hint="eastAsia"/>
          <w:rtl/>
        </w:rPr>
        <w:t>לענין</w:t>
      </w:r>
      <w:r>
        <w:rPr>
          <w:rtl/>
        </w:rPr>
        <w:t xml:space="preserve"> </w:t>
      </w:r>
      <w:r>
        <w:rPr>
          <w:rFonts w:hint="eastAsia"/>
          <w:rtl/>
        </w:rPr>
        <w:t>מגדף</w:t>
      </w:r>
      <w:r>
        <w:rPr>
          <w:rtl/>
        </w:rPr>
        <w:t xml:space="preserve"> </w:t>
      </w:r>
      <w:r>
        <w:rPr>
          <w:rFonts w:hint="eastAsia"/>
          <w:rtl/>
        </w:rPr>
        <w:t>שמזכיר</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מדילי</w:t>
      </w:r>
      <w:r>
        <w:rPr>
          <w:rtl/>
        </w:rPr>
        <w:t xml:space="preserve">', </w:t>
      </w:r>
      <w:r>
        <w:rPr>
          <w:rFonts w:hint="eastAsia"/>
          <w:rtl/>
        </w:rPr>
        <w:t>לא</w:t>
      </w:r>
      <w:r>
        <w:rPr>
          <w:rtl/>
        </w:rPr>
        <w:t xml:space="preserve"> </w:t>
      </w:r>
      <w:r>
        <w:rPr>
          <w:rFonts w:hint="eastAsia"/>
          <w:rtl/>
        </w:rPr>
        <w:t>חל</w:t>
      </w:r>
      <w:r>
        <w:rPr>
          <w:rtl/>
        </w:rPr>
        <w:t xml:space="preserve"> </w:t>
      </w:r>
      <w:r>
        <w:rPr>
          <w:rFonts w:hint="eastAsia"/>
          <w:rtl/>
        </w:rPr>
        <w:t>בזה</w:t>
      </w:r>
      <w:r>
        <w:rPr>
          <w:rtl/>
        </w:rPr>
        <w:t xml:space="preserve"> </w:t>
      </w:r>
      <w:r>
        <w:rPr>
          <w:rFonts w:hint="eastAsia"/>
          <w:rtl/>
        </w:rPr>
        <w:t>קריאה</w:t>
      </w:r>
      <w:r>
        <w:rPr>
          <w:rtl/>
        </w:rPr>
        <w:t xml:space="preserve"> </w:t>
      </w:r>
      <w:r>
        <w:rPr>
          <w:rFonts w:hint="eastAsia"/>
          <w:rtl/>
        </w:rPr>
        <w:t>דשם</w:t>
      </w:r>
      <w:r>
        <w:rPr>
          <w:rtl/>
        </w:rPr>
        <w:t xml:space="preserve"> </w:t>
      </w:r>
      <w:r>
        <w:rPr>
          <w:rFonts w:hint="eastAsia"/>
          <w:rtl/>
        </w:rPr>
        <w:t>הוי</w:t>
      </w:r>
      <w:r>
        <w:rPr>
          <w:rtl/>
        </w:rPr>
        <w:t xml:space="preserve">' </w:t>
      </w:r>
      <w:r>
        <w:rPr>
          <w:rFonts w:hint="eastAsia"/>
          <w:rtl/>
        </w:rPr>
        <w:t>עיי</w:t>
      </w:r>
      <w:r>
        <w:rPr>
          <w:rtl/>
        </w:rPr>
        <w:t>"</w:t>
      </w:r>
      <w:r>
        <w:rPr>
          <w:rFonts w:hint="eastAsia"/>
          <w:rtl/>
        </w:rPr>
        <w:t>ש</w:t>
      </w:r>
      <w:r>
        <w:rPr>
          <w:rtl/>
        </w:rPr>
        <w:t xml:space="preserve">. </w:t>
      </w:r>
      <w:r>
        <w:rPr>
          <w:rFonts w:hint="eastAsia"/>
          <w:rtl/>
        </w:rPr>
        <w:t>יוצא</w:t>
      </w:r>
      <w:r>
        <w:rPr>
          <w:rtl/>
        </w:rPr>
        <w:t xml:space="preserve"> </w:t>
      </w:r>
      <w:r>
        <w:rPr>
          <w:rFonts w:hint="eastAsia"/>
          <w:rtl/>
        </w:rPr>
        <w:t>מדבריו</w:t>
      </w:r>
      <w:r>
        <w:rPr>
          <w:rtl/>
        </w:rPr>
        <w:t xml:space="preserve"> </w:t>
      </w:r>
      <w:r>
        <w:rPr>
          <w:rFonts w:hint="eastAsia"/>
          <w:rtl/>
        </w:rPr>
        <w:t>שלהרמב</w:t>
      </w:r>
      <w:r>
        <w:rPr>
          <w:rtl/>
        </w:rPr>
        <w:t>"</w:t>
      </w:r>
      <w:r>
        <w:rPr>
          <w:rFonts w:hint="eastAsia"/>
          <w:rtl/>
        </w:rPr>
        <w:t>ם</w:t>
      </w:r>
      <w:r>
        <w:rPr>
          <w:rtl/>
        </w:rPr>
        <w:t xml:space="preserve"> </w:t>
      </w:r>
      <w:r>
        <w:rPr>
          <w:rFonts w:hint="eastAsia"/>
          <w:rtl/>
        </w:rPr>
        <w:t>אף</w:t>
      </w:r>
      <w:r>
        <w:rPr>
          <w:rtl/>
        </w:rPr>
        <w:t xml:space="preserve"> </w:t>
      </w:r>
      <w:r>
        <w:rPr>
          <w:rFonts w:hint="eastAsia"/>
          <w:rtl/>
        </w:rPr>
        <w:t>כשהוא</w:t>
      </w:r>
      <w:r>
        <w:rPr>
          <w:rtl/>
        </w:rPr>
        <w:t xml:space="preserve"> </w:t>
      </w:r>
      <w:r>
        <w:rPr>
          <w:rFonts w:hint="eastAsia"/>
          <w:rtl/>
        </w:rPr>
        <w:t>קורא</w:t>
      </w:r>
      <w:r>
        <w:rPr>
          <w:rtl/>
        </w:rPr>
        <w:t xml:space="preserve"> </w:t>
      </w:r>
      <w:r>
        <w:rPr>
          <w:rFonts w:hint="eastAsia"/>
          <w:rtl/>
        </w:rPr>
        <w:t>מדיליה</w:t>
      </w:r>
      <w:r>
        <w:rPr>
          <w:rtl/>
        </w:rPr>
        <w:t xml:space="preserve"> </w:t>
      </w:r>
      <w:r>
        <w:rPr>
          <w:rFonts w:hint="eastAsia"/>
          <w:rtl/>
        </w:rPr>
        <w:t>בשם</w:t>
      </w:r>
      <w:r>
        <w:rPr>
          <w:rtl/>
        </w:rPr>
        <w:t xml:space="preserve"> </w:t>
      </w:r>
      <w:r>
        <w:rPr>
          <w:rFonts w:hint="eastAsia"/>
          <w:rtl/>
        </w:rPr>
        <w:t>אדנות</w:t>
      </w:r>
      <w:r>
        <w:rPr>
          <w:rtl/>
        </w:rPr>
        <w:t xml:space="preserve"> </w:t>
      </w:r>
      <w:r>
        <w:rPr>
          <w:rFonts w:hint="eastAsia"/>
          <w:rtl/>
        </w:rPr>
        <w:t>ה</w:t>
      </w:r>
      <w:r>
        <w:rPr>
          <w:rtl/>
        </w:rPr>
        <w:t>"</w:t>
      </w:r>
      <w:r>
        <w:rPr>
          <w:rFonts w:hint="eastAsia"/>
          <w:rtl/>
        </w:rPr>
        <w:t>ז</w:t>
      </w:r>
      <w:r>
        <w:rPr>
          <w:rtl/>
        </w:rPr>
        <w:t xml:space="preserve"> </w:t>
      </w:r>
      <w:r>
        <w:rPr>
          <w:rFonts w:hint="eastAsia"/>
          <w:rtl/>
        </w:rPr>
        <w:t>כאילו</w:t>
      </w:r>
      <w:r>
        <w:rPr>
          <w:rtl/>
        </w:rPr>
        <w:t xml:space="preserve"> </w:t>
      </w:r>
      <w:r>
        <w:rPr>
          <w:rFonts w:hint="eastAsia"/>
          <w:rtl/>
        </w:rPr>
        <w:t>מזכיר</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והחולקים</w:t>
      </w:r>
      <w:r>
        <w:rPr>
          <w:rtl/>
        </w:rPr>
        <w:t xml:space="preserve"> </w:t>
      </w:r>
      <w:r>
        <w:rPr>
          <w:rFonts w:hint="eastAsia"/>
          <w:rtl/>
        </w:rPr>
        <w:t>על</w:t>
      </w:r>
      <w:r>
        <w:rPr>
          <w:rtl/>
        </w:rPr>
        <w:t xml:space="preserve"> </w:t>
      </w:r>
      <w:r>
        <w:rPr>
          <w:rFonts w:hint="eastAsia"/>
          <w:rtl/>
        </w:rPr>
        <w:t>הרמב</w:t>
      </w:r>
      <w:r>
        <w:rPr>
          <w:rtl/>
        </w:rPr>
        <w:t>"</w:t>
      </w:r>
      <w:r>
        <w:rPr>
          <w:rFonts w:hint="eastAsia"/>
          <w:rtl/>
        </w:rPr>
        <w:t>ם</w:t>
      </w:r>
      <w:r>
        <w:rPr>
          <w:rtl/>
        </w:rPr>
        <w:t xml:space="preserve"> </w:t>
      </w:r>
      <w:r>
        <w:rPr>
          <w:rFonts w:hint="eastAsia"/>
          <w:rtl/>
        </w:rPr>
        <w:t>סב</w:t>
      </w:r>
      <w:r>
        <w:rPr>
          <w:rtl/>
        </w:rPr>
        <w:t>"</w:t>
      </w:r>
      <w:r>
        <w:rPr>
          <w:rFonts w:hint="eastAsia"/>
          <w:rtl/>
        </w:rPr>
        <w:t>ל</w:t>
      </w:r>
      <w:r>
        <w:rPr>
          <w:rtl/>
        </w:rPr>
        <w:t xml:space="preserve"> </w:t>
      </w:r>
      <w:r>
        <w:rPr>
          <w:rFonts w:hint="eastAsia"/>
          <w:rtl/>
        </w:rPr>
        <w:t>דרק</w:t>
      </w:r>
      <w:r>
        <w:rPr>
          <w:rtl/>
        </w:rPr>
        <w:t xml:space="preserve"> </w:t>
      </w:r>
      <w:r>
        <w:rPr>
          <w:rFonts w:hint="eastAsia"/>
          <w:rtl/>
        </w:rPr>
        <w:t>כשקורא</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ממ</w:t>
      </w:r>
      <w:r>
        <w:rPr>
          <w:rtl/>
        </w:rPr>
        <w:t>"</w:t>
      </w:r>
      <w:r>
        <w:rPr>
          <w:rFonts w:hint="eastAsia"/>
          <w:rtl/>
        </w:rPr>
        <w:t>ש</w:t>
      </w:r>
      <w:r>
        <w:rPr>
          <w:rtl/>
        </w:rPr>
        <w:t xml:space="preserve"> </w:t>
      </w:r>
      <w:r>
        <w:rPr>
          <w:rFonts w:hint="eastAsia"/>
          <w:rtl/>
        </w:rPr>
        <w:t>בקרא</w:t>
      </w:r>
      <w:r>
        <w:rPr>
          <w:rtl/>
        </w:rPr>
        <w:t xml:space="preserve"> </w:t>
      </w:r>
      <w:r>
        <w:rPr>
          <w:rFonts w:hint="eastAsia"/>
          <w:rtl/>
        </w:rPr>
        <w:t>ה</w:t>
      </w:r>
      <w:r>
        <w:rPr>
          <w:rtl/>
        </w:rPr>
        <w:t>"</w:t>
      </w:r>
      <w:r>
        <w:rPr>
          <w:rFonts w:hint="eastAsia"/>
          <w:rtl/>
        </w:rPr>
        <w:t>ז</w:t>
      </w:r>
      <w:r>
        <w:rPr>
          <w:rtl/>
        </w:rPr>
        <w:t xml:space="preserve"> </w:t>
      </w:r>
      <w:r>
        <w:rPr>
          <w:rFonts w:hint="eastAsia"/>
          <w:rtl/>
        </w:rPr>
        <w:t>כאילו</w:t>
      </w:r>
      <w:r>
        <w:rPr>
          <w:rtl/>
        </w:rPr>
        <w:t xml:space="preserve"> </w:t>
      </w:r>
      <w:r>
        <w:rPr>
          <w:rFonts w:hint="eastAsia"/>
          <w:rtl/>
        </w:rPr>
        <w:t>מזכיר</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אבל</w:t>
      </w:r>
      <w:r>
        <w:rPr>
          <w:rtl/>
        </w:rPr>
        <w:t xml:space="preserve"> </w:t>
      </w:r>
      <w:r>
        <w:rPr>
          <w:rFonts w:hint="eastAsia"/>
          <w:rtl/>
        </w:rPr>
        <w:t>כשקורא</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מדילי</w:t>
      </w:r>
      <w:r>
        <w:rPr>
          <w:rtl/>
        </w:rPr>
        <w:t xml:space="preserve">' </w:t>
      </w:r>
      <w:r>
        <w:rPr>
          <w:rFonts w:hint="eastAsia"/>
          <w:rtl/>
        </w:rPr>
        <w:t>לא</w:t>
      </w:r>
      <w:r>
        <w:rPr>
          <w:rtl/>
        </w:rPr>
        <w:t xml:space="preserve"> </w:t>
      </w:r>
      <w:r>
        <w:rPr>
          <w:rFonts w:hint="eastAsia"/>
          <w:rtl/>
        </w:rPr>
        <w:t>חל</w:t>
      </w:r>
      <w:r>
        <w:rPr>
          <w:rtl/>
        </w:rPr>
        <w:t xml:space="preserve"> </w:t>
      </w:r>
      <w:r>
        <w:rPr>
          <w:rFonts w:hint="eastAsia"/>
          <w:rtl/>
        </w:rPr>
        <w:t>ע</w:t>
      </w:r>
      <w:r>
        <w:rPr>
          <w:rtl/>
        </w:rPr>
        <w:t>"</w:t>
      </w:r>
      <w:r>
        <w:rPr>
          <w:rFonts w:hint="eastAsia"/>
          <w:rtl/>
        </w:rPr>
        <w:t>ז</w:t>
      </w:r>
      <w:r>
        <w:rPr>
          <w:rtl/>
        </w:rPr>
        <w:t xml:space="preserve"> </w:t>
      </w:r>
      <w:r>
        <w:rPr>
          <w:rFonts w:hint="eastAsia"/>
          <w:rtl/>
        </w:rPr>
        <w:t>שם</w:t>
      </w:r>
      <w:r>
        <w:rPr>
          <w:rtl/>
        </w:rPr>
        <w:t xml:space="preserve"> </w:t>
      </w:r>
      <w:r>
        <w:rPr>
          <w:rFonts w:hint="eastAsia"/>
          <w:rtl/>
        </w:rPr>
        <w:t>המיוחד</w:t>
      </w:r>
      <w:r>
        <w:rPr>
          <w:rtl/>
        </w:rPr>
        <w:t>.</w:t>
      </w:r>
    </w:p>
    <w:p w14:paraId="67967955" w14:textId="08E103BC" w:rsidR="00657259" w:rsidRPr="00AC647C" w:rsidRDefault="00657259" w:rsidP="00E60D97">
      <w:pPr>
        <w:pStyle w:val="a3"/>
        <w:rPr>
          <w:rFonts w:hint="cs"/>
        </w:rPr>
      </w:pPr>
      <w:r>
        <w:rPr>
          <w:rFonts w:hint="eastAsia"/>
          <w:rtl/>
        </w:rPr>
        <w:t>ולפי</w:t>
      </w:r>
      <w:r>
        <w:rPr>
          <w:rtl/>
        </w:rPr>
        <w:t xml:space="preserve"> </w:t>
      </w:r>
      <w:r>
        <w:rPr>
          <w:rFonts w:hint="eastAsia"/>
          <w:rtl/>
        </w:rPr>
        <w:t>מ</w:t>
      </w:r>
      <w:r>
        <w:rPr>
          <w:rtl/>
        </w:rPr>
        <w:t>"</w:t>
      </w:r>
      <w:r>
        <w:rPr>
          <w:rFonts w:hint="eastAsia"/>
          <w:rtl/>
        </w:rPr>
        <w:t>ש</w:t>
      </w:r>
      <w:r>
        <w:rPr>
          <w:rtl/>
        </w:rPr>
        <w:t xml:space="preserve"> </w:t>
      </w:r>
      <w:r>
        <w:rPr>
          <w:rFonts w:hint="eastAsia"/>
          <w:rtl/>
        </w:rPr>
        <w:t>בהרשימה</w:t>
      </w:r>
      <w:r>
        <w:rPr>
          <w:rtl/>
        </w:rPr>
        <w:t xml:space="preserve"> </w:t>
      </w:r>
      <w:r>
        <w:rPr>
          <w:rFonts w:hint="eastAsia"/>
          <w:rtl/>
        </w:rPr>
        <w:t>כנ</w:t>
      </w:r>
      <w:r>
        <w:rPr>
          <w:rtl/>
        </w:rPr>
        <w:t>"</w:t>
      </w:r>
      <w:r>
        <w:rPr>
          <w:rFonts w:hint="eastAsia"/>
          <w:rtl/>
        </w:rPr>
        <w:t>ל</w:t>
      </w:r>
      <w:r>
        <w:rPr>
          <w:rtl/>
        </w:rPr>
        <w:t xml:space="preserve">, </w:t>
      </w:r>
      <w:r>
        <w:rPr>
          <w:rFonts w:hint="eastAsia"/>
          <w:rtl/>
        </w:rPr>
        <w:t>דבכדי</w:t>
      </w:r>
      <w:r>
        <w:rPr>
          <w:rtl/>
        </w:rPr>
        <w:t xml:space="preserve"> </w:t>
      </w:r>
      <w:r>
        <w:rPr>
          <w:rFonts w:hint="eastAsia"/>
          <w:rtl/>
        </w:rPr>
        <w:t>שיעבור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צריך</w:t>
      </w:r>
      <w:r>
        <w:rPr>
          <w:rtl/>
        </w:rPr>
        <w:t xml:space="preserve"> </w:t>
      </w:r>
      <w:r>
        <w:rPr>
          <w:rFonts w:hint="eastAsia"/>
          <w:rtl/>
        </w:rPr>
        <w:t>להזכיר</w:t>
      </w:r>
      <w:r>
        <w:rPr>
          <w:rtl/>
        </w:rPr>
        <w:t xml:space="preserve"> </w:t>
      </w:r>
      <w:r>
        <w:rPr>
          <w:rFonts w:hint="eastAsia"/>
          <w:rtl/>
        </w:rPr>
        <w:t>שם</w:t>
      </w:r>
      <w:r>
        <w:rPr>
          <w:rtl/>
        </w:rPr>
        <w:t xml:space="preserve"> </w:t>
      </w:r>
      <w:r>
        <w:rPr>
          <w:rFonts w:hint="eastAsia"/>
          <w:rtl/>
        </w:rPr>
        <w:t>המיוחד</w:t>
      </w:r>
      <w:r>
        <w:rPr>
          <w:rtl/>
        </w:rPr>
        <w:t xml:space="preserve"> </w:t>
      </w:r>
      <w:r>
        <w:rPr>
          <w:rFonts w:hint="eastAsia"/>
          <w:rtl/>
        </w:rPr>
        <w:t>דוקא</w:t>
      </w:r>
      <w:r>
        <w:rPr>
          <w:rtl/>
        </w:rPr>
        <w:t xml:space="preserve">, </w:t>
      </w:r>
      <w:r>
        <w:rPr>
          <w:rFonts w:hint="eastAsia"/>
          <w:rtl/>
        </w:rPr>
        <w:t>י</w:t>
      </w:r>
      <w:r>
        <w:rPr>
          <w:rtl/>
        </w:rPr>
        <w:t>"</w:t>
      </w:r>
      <w:r>
        <w:rPr>
          <w:rFonts w:hint="eastAsia"/>
          <w:rtl/>
        </w:rPr>
        <w:t>ל</w:t>
      </w:r>
      <w:r>
        <w:rPr>
          <w:rtl/>
        </w:rPr>
        <w:t xml:space="preserve"> </w:t>
      </w:r>
      <w:r>
        <w:rPr>
          <w:rFonts w:hint="eastAsia"/>
          <w:rtl/>
        </w:rPr>
        <w:t>דיוצא</w:t>
      </w:r>
      <w:r>
        <w:rPr>
          <w:rtl/>
        </w:rPr>
        <w:t xml:space="preserve"> </w:t>
      </w:r>
      <w:r>
        <w:rPr>
          <w:rFonts w:hint="eastAsia"/>
          <w:rtl/>
        </w:rPr>
        <w:t>נפק</w:t>
      </w:r>
      <w:r>
        <w:rPr>
          <w:rtl/>
        </w:rPr>
        <w:t>"</w:t>
      </w:r>
      <w:r>
        <w:rPr>
          <w:rFonts w:hint="eastAsia"/>
          <w:rtl/>
        </w:rPr>
        <w:t>מ</w:t>
      </w:r>
      <w:r>
        <w:rPr>
          <w:rtl/>
        </w:rPr>
        <w:t xml:space="preserve"> </w:t>
      </w:r>
      <w:r>
        <w:rPr>
          <w:rFonts w:hint="eastAsia"/>
          <w:rtl/>
        </w:rPr>
        <w:t>כאן</w:t>
      </w:r>
      <w:r>
        <w:rPr>
          <w:rtl/>
        </w:rPr>
        <w:t xml:space="preserve"> </w:t>
      </w:r>
      <w:r>
        <w:rPr>
          <w:rFonts w:hint="eastAsia"/>
          <w:rtl/>
        </w:rPr>
        <w:t>לדינא</w:t>
      </w:r>
      <w:r>
        <w:rPr>
          <w:rtl/>
        </w:rPr>
        <w:t xml:space="preserve"> </w:t>
      </w:r>
      <w:r>
        <w:rPr>
          <w:rFonts w:hint="eastAsia"/>
          <w:rtl/>
        </w:rPr>
        <w:t>בנוגע</w:t>
      </w:r>
      <w:r>
        <w:rPr>
          <w:rtl/>
        </w:rPr>
        <w:t xml:space="preserve"> </w:t>
      </w:r>
      <w:r>
        <w:rPr>
          <w:rFonts w:hint="eastAsia"/>
          <w:rtl/>
        </w:rPr>
        <w:t>לבל</w:t>
      </w:r>
      <w:r>
        <w:rPr>
          <w:rtl/>
        </w:rPr>
        <w:t xml:space="preserve"> </w:t>
      </w:r>
      <w:r>
        <w:rPr>
          <w:rFonts w:hint="eastAsia"/>
          <w:rtl/>
        </w:rPr>
        <w:t>תוסיף</w:t>
      </w:r>
      <w:r>
        <w:rPr>
          <w:rtl/>
        </w:rPr>
        <w:t xml:space="preserve">, </w:t>
      </w:r>
      <w:r>
        <w:rPr>
          <w:rFonts w:hint="eastAsia"/>
          <w:rtl/>
        </w:rPr>
        <w:t>באם</w:t>
      </w:r>
      <w:r>
        <w:rPr>
          <w:rtl/>
        </w:rPr>
        <w:t xml:space="preserve"> </w:t>
      </w:r>
      <w:r>
        <w:rPr>
          <w:rFonts w:hint="eastAsia"/>
          <w:rtl/>
        </w:rPr>
        <w:t>הכהן</w:t>
      </w:r>
      <w:r>
        <w:rPr>
          <w:rtl/>
        </w:rPr>
        <w:t xml:space="preserve"> </w:t>
      </w:r>
      <w:r>
        <w:rPr>
          <w:rFonts w:hint="eastAsia"/>
          <w:rtl/>
        </w:rPr>
        <w:t>הוסיף</w:t>
      </w:r>
      <w:r>
        <w:rPr>
          <w:rtl/>
        </w:rPr>
        <w:t xml:space="preserve"> </w:t>
      </w:r>
      <w:r>
        <w:rPr>
          <w:rFonts w:hint="eastAsia"/>
          <w:rtl/>
        </w:rPr>
        <w:t>ברכה</w:t>
      </w:r>
      <w:r>
        <w:rPr>
          <w:rtl/>
        </w:rPr>
        <w:t xml:space="preserve"> </w:t>
      </w:r>
      <w:r>
        <w:rPr>
          <w:rFonts w:hint="eastAsia"/>
          <w:rtl/>
        </w:rPr>
        <w:t>מדיליה</w:t>
      </w:r>
      <w:r>
        <w:rPr>
          <w:rtl/>
        </w:rPr>
        <w:t xml:space="preserve"> </w:t>
      </w:r>
      <w:r>
        <w:rPr>
          <w:rFonts w:hint="eastAsia"/>
          <w:rtl/>
        </w:rPr>
        <w:t>שאינה</w:t>
      </w:r>
      <w:r>
        <w:rPr>
          <w:rtl/>
        </w:rPr>
        <w:t xml:space="preserve"> </w:t>
      </w:r>
      <w:r>
        <w:rPr>
          <w:rFonts w:hint="eastAsia"/>
          <w:rtl/>
        </w:rPr>
        <w:t>כתובה</w:t>
      </w:r>
      <w:r>
        <w:rPr>
          <w:rtl/>
        </w:rPr>
        <w:t xml:space="preserve"> </w:t>
      </w:r>
      <w:r>
        <w:rPr>
          <w:rFonts w:hint="eastAsia"/>
          <w:rtl/>
        </w:rPr>
        <w:t>בתורה</w:t>
      </w:r>
      <w:r>
        <w:rPr>
          <w:rtl/>
        </w:rPr>
        <w:t xml:space="preserve"> </w:t>
      </w:r>
      <w:r>
        <w:rPr>
          <w:rFonts w:hint="eastAsia"/>
          <w:rtl/>
        </w:rPr>
        <w:t>והזכיר</w:t>
      </w:r>
      <w:r>
        <w:rPr>
          <w:rtl/>
        </w:rPr>
        <w:t xml:space="preserve"> </w:t>
      </w:r>
      <w:r>
        <w:rPr>
          <w:rFonts w:hint="eastAsia"/>
          <w:rtl/>
        </w:rPr>
        <w:t>שם</w:t>
      </w:r>
      <w:r>
        <w:rPr>
          <w:rtl/>
        </w:rPr>
        <w:t xml:space="preserve"> </w:t>
      </w:r>
      <w:r>
        <w:rPr>
          <w:rFonts w:hint="eastAsia"/>
          <w:rtl/>
        </w:rPr>
        <w:t>אדנות</w:t>
      </w:r>
      <w:r>
        <w:rPr>
          <w:rtl/>
        </w:rPr>
        <w:t xml:space="preserve">, </w:t>
      </w:r>
      <w:r>
        <w:rPr>
          <w:rFonts w:hint="eastAsia"/>
          <w:rtl/>
        </w:rPr>
        <w:t>דלפי</w:t>
      </w:r>
      <w:r>
        <w:rPr>
          <w:rtl/>
        </w:rPr>
        <w:t xml:space="preserve"> </w:t>
      </w:r>
      <w:r>
        <w:rPr>
          <w:rFonts w:hint="eastAsia"/>
          <w:rtl/>
        </w:rPr>
        <w:t>הרמב</w:t>
      </w:r>
      <w:r>
        <w:rPr>
          <w:rtl/>
        </w:rPr>
        <w:t>"</w:t>
      </w:r>
      <w:r>
        <w:rPr>
          <w:rFonts w:hint="eastAsia"/>
          <w:rtl/>
        </w:rPr>
        <w:t>ם</w:t>
      </w:r>
      <w:r>
        <w:rPr>
          <w:rtl/>
        </w:rPr>
        <w:t xml:space="preserve"> </w:t>
      </w:r>
      <w:r>
        <w:rPr>
          <w:rFonts w:hint="eastAsia"/>
          <w:rtl/>
        </w:rPr>
        <w:t>יוצא</w:t>
      </w:r>
      <w:r>
        <w:rPr>
          <w:rtl/>
        </w:rPr>
        <w:t xml:space="preserve"> </w:t>
      </w:r>
      <w:r>
        <w:rPr>
          <w:rFonts w:hint="eastAsia"/>
          <w:rtl/>
        </w:rPr>
        <w:t>שעובר</w:t>
      </w:r>
      <w:r>
        <w:rPr>
          <w:rtl/>
        </w:rPr>
        <w:t xml:space="preserve"> </w:t>
      </w:r>
      <w:r>
        <w:rPr>
          <w:rFonts w:hint="eastAsia"/>
          <w:rtl/>
        </w:rPr>
        <w:t>על</w:t>
      </w:r>
      <w:r>
        <w:rPr>
          <w:rtl/>
        </w:rPr>
        <w:t xml:space="preserve"> </w:t>
      </w:r>
      <w:r>
        <w:rPr>
          <w:rFonts w:hint="eastAsia"/>
          <w:rtl/>
        </w:rPr>
        <w:t>בל</w:t>
      </w:r>
      <w:r>
        <w:rPr>
          <w:rtl/>
        </w:rPr>
        <w:t xml:space="preserve"> </w:t>
      </w:r>
      <w:r>
        <w:rPr>
          <w:rFonts w:hint="eastAsia"/>
          <w:rtl/>
        </w:rPr>
        <w:t>תוסיף</w:t>
      </w:r>
      <w:r>
        <w:rPr>
          <w:rtl/>
        </w:rPr>
        <w:t xml:space="preserve"> </w:t>
      </w:r>
      <w:r>
        <w:rPr>
          <w:rFonts w:hint="eastAsia"/>
          <w:rtl/>
        </w:rPr>
        <w:t>דהוה</w:t>
      </w:r>
      <w:r>
        <w:rPr>
          <w:rtl/>
        </w:rPr>
        <w:t xml:space="preserve"> </w:t>
      </w:r>
      <w:r>
        <w:rPr>
          <w:rFonts w:hint="eastAsia"/>
          <w:rtl/>
        </w:rPr>
        <w:t>כאילו</w:t>
      </w:r>
      <w:r>
        <w:rPr>
          <w:rtl/>
        </w:rPr>
        <w:t xml:space="preserve"> </w:t>
      </w:r>
      <w:r>
        <w:rPr>
          <w:rFonts w:hint="eastAsia"/>
          <w:rtl/>
        </w:rPr>
        <w:t>בירך</w:t>
      </w:r>
      <w:r>
        <w:rPr>
          <w:rtl/>
        </w:rPr>
        <w:t xml:space="preserve"> </w:t>
      </w:r>
      <w:r>
        <w:rPr>
          <w:rFonts w:hint="eastAsia"/>
          <w:rtl/>
        </w:rPr>
        <w:t>בשם</w:t>
      </w:r>
      <w:r>
        <w:rPr>
          <w:rtl/>
        </w:rPr>
        <w:t xml:space="preserve"> </w:t>
      </w:r>
      <w:r>
        <w:rPr>
          <w:rFonts w:hint="eastAsia"/>
          <w:rtl/>
        </w:rPr>
        <w:t>המיוחד</w:t>
      </w:r>
      <w:r>
        <w:rPr>
          <w:rtl/>
        </w:rPr>
        <w:t xml:space="preserve"> </w:t>
      </w:r>
      <w:r>
        <w:rPr>
          <w:rFonts w:hint="eastAsia"/>
          <w:rtl/>
        </w:rPr>
        <w:t>משא</w:t>
      </w:r>
      <w:r>
        <w:rPr>
          <w:rtl/>
        </w:rPr>
        <w:t>"</w:t>
      </w:r>
      <w:r>
        <w:rPr>
          <w:rFonts w:hint="eastAsia"/>
          <w:rtl/>
        </w:rPr>
        <w:t>כ</w:t>
      </w:r>
      <w:r>
        <w:rPr>
          <w:rtl/>
        </w:rPr>
        <w:t xml:space="preserve"> </w:t>
      </w:r>
      <w:r>
        <w:rPr>
          <w:rFonts w:hint="eastAsia"/>
          <w:rtl/>
        </w:rPr>
        <w:t>להחולקים</w:t>
      </w:r>
      <w:r>
        <w:rPr>
          <w:rtl/>
        </w:rPr>
        <w:t xml:space="preserve"> </w:t>
      </w:r>
      <w:r>
        <w:rPr>
          <w:rFonts w:hint="eastAsia"/>
          <w:rtl/>
        </w:rPr>
        <w:t>לא</w:t>
      </w:r>
      <w:r>
        <w:rPr>
          <w:rtl/>
        </w:rPr>
        <w:t>.</w:t>
      </w:r>
    </w:p>
    <w:p w14:paraId="3CCCC109" w14:textId="25149584" w:rsidR="00C87279" w:rsidRDefault="00C87279" w:rsidP="00492226">
      <w:pPr>
        <w:pStyle w:val="M"/>
        <w:rPr>
          <w:rtl/>
        </w:rPr>
      </w:pPr>
      <w:bookmarkStart w:id="99" w:name="_Toc37260472"/>
      <w:bookmarkStart w:id="100" w:name="_Toc37636173"/>
      <w:bookmarkStart w:id="101" w:name="_Toc76700744"/>
      <w:bookmarkStart w:id="102" w:name="_Toc79110884"/>
      <w:bookmarkStart w:id="103" w:name="_Toc79118576"/>
      <w:r>
        <w:rPr>
          <w:noProof/>
        </w:rPr>
        <w:drawing>
          <wp:inline distT="0" distB="0" distL="0" distR="0" wp14:anchorId="054225EA" wp14:editId="55B544B1">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99"/>
      <w:bookmarkEnd w:id="100"/>
      <w:bookmarkEnd w:id="101"/>
      <w:bookmarkEnd w:id="102"/>
      <w:bookmarkEnd w:id="103"/>
    </w:p>
    <w:p w14:paraId="161644A6" w14:textId="21FA818D" w:rsidR="00F264A3" w:rsidRPr="006A1612" w:rsidRDefault="00F264A3" w:rsidP="00F264A3">
      <w:pPr>
        <w:pStyle w:val="a0"/>
        <w:bidi w:val="0"/>
        <w:rPr>
          <w:rtl/>
        </w:rPr>
      </w:pPr>
      <w:bookmarkStart w:id="104" w:name="_Toc81540390"/>
      <w:r w:rsidRPr="006A1612">
        <w:rPr>
          <w:rFonts w:hint="cs"/>
          <w:rtl/>
        </w:rPr>
        <w:t>כמה הערות קטנות במאמר ד"ה אני לדודי ה'תשכ"ו (מלוקט ד')</w:t>
      </w:r>
      <w:bookmarkEnd w:id="104"/>
    </w:p>
    <w:p w14:paraId="0F4CD597" w14:textId="16AC561B" w:rsidR="00F264A3" w:rsidRDefault="00E60D97" w:rsidP="0046124A">
      <w:pPr>
        <w:pStyle w:val="a"/>
        <w:rPr>
          <w:rtl/>
        </w:rPr>
      </w:pPr>
      <w:bookmarkStart w:id="105" w:name="_Toc81540391"/>
      <w:r>
        <w:rPr>
          <w:rFonts w:hint="cs"/>
          <w:rtl/>
        </w:rPr>
        <w:t xml:space="preserve">הרב </w:t>
      </w:r>
      <w:r w:rsidR="00F264A3">
        <w:rPr>
          <w:rFonts w:hint="cs"/>
          <w:rtl/>
        </w:rPr>
        <w:t>אברהם אלטר הלוי הבר</w:t>
      </w:r>
      <w:bookmarkEnd w:id="105"/>
    </w:p>
    <w:p w14:paraId="5C779144" w14:textId="2918CBA1" w:rsidR="00BE42E8" w:rsidRPr="00BE42E8" w:rsidRDefault="00BE42E8" w:rsidP="00BE42E8">
      <w:pPr>
        <w:pStyle w:val="a1"/>
        <w:bidi/>
        <w:jc w:val="right"/>
        <w:rPr>
          <w:rtl/>
        </w:rPr>
      </w:pPr>
      <w:r>
        <w:rPr>
          <w:rFonts w:hint="cs"/>
          <w:rtl/>
        </w:rPr>
        <w:t>משפיע בנחלת הר חב"ד</w:t>
      </w:r>
    </w:p>
    <w:p w14:paraId="11AABD20" w14:textId="77777777" w:rsidR="00F264A3" w:rsidRDefault="00F264A3" w:rsidP="00E60D97">
      <w:pPr>
        <w:pStyle w:val="a3"/>
        <w:rPr>
          <w:rtl/>
        </w:rPr>
      </w:pPr>
      <w:r w:rsidRPr="000B0652">
        <w:rPr>
          <w:rFonts w:hint="cs"/>
          <w:rtl/>
        </w:rPr>
        <w:t>א.</w:t>
      </w:r>
      <w:r>
        <w:rPr>
          <w:rFonts w:hint="cs"/>
          <w:rtl/>
        </w:rPr>
        <w:t xml:space="preserve"> </w:t>
      </w:r>
      <w:r w:rsidRPr="000B0652">
        <w:rPr>
          <w:rFonts w:hint="cs"/>
          <w:rtl/>
        </w:rPr>
        <w:t>באות ד' בהמאמר, אומר "שהחידוש בהגילוי דאלול ... (ש)בכדי לקבל הגילוי דאלול צריכה להיות רק הקבלת פני המלך</w:t>
      </w:r>
      <w:r>
        <w:rPr>
          <w:rFonts w:hint="cs"/>
          <w:rtl/>
        </w:rPr>
        <w:t>, דבנמשל הוא התעוררות הקבלת עול מלכות שמים".</w:t>
      </w:r>
    </w:p>
    <w:p w14:paraId="5E264219" w14:textId="77777777" w:rsidR="00F264A3" w:rsidRDefault="00F264A3" w:rsidP="00E60D97">
      <w:pPr>
        <w:pStyle w:val="a3"/>
        <w:rPr>
          <w:rtl/>
        </w:rPr>
      </w:pPr>
      <w:r>
        <w:rPr>
          <w:rFonts w:hint="cs"/>
          <w:rtl/>
        </w:rPr>
        <w:t>ולכאורה צע"ק, דלכאורה בהמשל דמלך בשדה, דכאו"א יכול להקביל את פני המלך, - הנה הרי פוגש אכן את המלך, אבל בהנמשל, הנה מבאר רק מה שהאדם עושה בשביל להקביל את פני המלך, שזהו שהוא מקבל ע"ע עול מלכות שמים, - אבל מהו הפירוש שהמלך מתגלה אליו כביכול כשהוא מקביל את פני המלך, והמלך מקבלו בסבר פנים יפות ומראה לו פנים שוחקות ?</w:t>
      </w:r>
    </w:p>
    <w:p w14:paraId="7CC2B23D" w14:textId="77777777" w:rsidR="00F264A3" w:rsidRDefault="00F264A3" w:rsidP="00E60D97">
      <w:pPr>
        <w:pStyle w:val="a3"/>
        <w:rPr>
          <w:rtl/>
        </w:rPr>
      </w:pPr>
      <w:r>
        <w:rPr>
          <w:rFonts w:hint="cs"/>
          <w:rtl/>
        </w:rPr>
        <w:lastRenderedPageBreak/>
        <w:t>ואולי יש לבאר עפ"י מ"ש בלקוטי תורה בד"ה זה (אני לדודי, שהוא היסוד של המאמר שלפנינו), וז"ל בלקוטי תורה "...יראת ה' ואהבתו אינו עשויה ונטוע בלב האדם מכח עצמו, כ"א מכח ההארה הנמשך אליו מלמעלה".</w:t>
      </w:r>
    </w:p>
    <w:p w14:paraId="543CC359" w14:textId="77777777" w:rsidR="00F264A3" w:rsidRDefault="00F264A3" w:rsidP="00E60D97">
      <w:pPr>
        <w:pStyle w:val="a3"/>
        <w:rPr>
          <w:rtl/>
        </w:rPr>
      </w:pPr>
      <w:r>
        <w:rPr>
          <w:rFonts w:hint="cs"/>
          <w:rtl/>
        </w:rPr>
        <w:t>ולכאורה הביאור בזה פשוט, דכיון שהאדם הוא גשמי ובעולם הזה הגשמי, הרי א"א שיהיה לו אהוי"ר לדבר רוחני שאינו רואה ואינו שומע ולא בשום חוש מכל החושים שלו, ולכן רק ע"י "ההארה הנמשך עליו מלמעלה" הרי מכח הארה זו בנפשו יכול שיהיה לו אהוי"ר להוי'.</w:t>
      </w:r>
    </w:p>
    <w:p w14:paraId="3A1F0A78" w14:textId="77777777" w:rsidR="00F264A3" w:rsidRDefault="00F264A3" w:rsidP="00E60D97">
      <w:pPr>
        <w:pStyle w:val="a3"/>
        <w:rPr>
          <w:rtl/>
        </w:rPr>
      </w:pPr>
      <w:r>
        <w:rPr>
          <w:rFonts w:hint="cs"/>
          <w:rtl/>
        </w:rPr>
        <w:t>ואם אכן זהו הביאור, - אפשר לבאר גם כאן.</w:t>
      </w:r>
    </w:p>
    <w:p w14:paraId="53E16EF7" w14:textId="77777777" w:rsidR="00F264A3" w:rsidRDefault="00F264A3" w:rsidP="00E60D97">
      <w:pPr>
        <w:pStyle w:val="a3"/>
        <w:rPr>
          <w:rtl/>
        </w:rPr>
      </w:pPr>
      <w:r>
        <w:rPr>
          <w:rFonts w:hint="cs"/>
          <w:rtl/>
        </w:rPr>
        <w:t>דמ"ש בהמאמר שלהקביל פניו זהו קבלת עול מלכות שמים, - הנה זהו עדיין קבעומ"ש בלי חיות והרגש, ורק קבלת עול פשוטה בלבד, - אך כיון שעי"ז ה"ה מקביל פני המלך, הנה אזי תומשך ההארה מלמעלה עליו, ואז תהי' לו קבלת עול מלכות שמים עם הרגש וחיות, ששמח לקבל עליו עול מלכות שמים.</w:t>
      </w:r>
    </w:p>
    <w:p w14:paraId="40C48862" w14:textId="368C1B2E" w:rsidR="00F264A3" w:rsidRDefault="00F264A3" w:rsidP="00E60D97">
      <w:pPr>
        <w:pStyle w:val="a3"/>
        <w:rPr>
          <w:rtl/>
        </w:rPr>
      </w:pPr>
      <w:r>
        <w:rPr>
          <w:rFonts w:hint="cs"/>
          <w:rtl/>
        </w:rPr>
        <w:t>וזהו הפירוש שהמלך מקבל את פניו בסבר פנים יפות ומראה לו פנים שוחקות.</w:t>
      </w:r>
    </w:p>
    <w:p w14:paraId="4EB0E1DB" w14:textId="77777777" w:rsidR="00F264A3" w:rsidRDefault="00F264A3" w:rsidP="00E60D97">
      <w:pPr>
        <w:pStyle w:val="a3"/>
        <w:rPr>
          <w:rtl/>
        </w:rPr>
      </w:pPr>
      <w:r>
        <w:rPr>
          <w:rFonts w:hint="cs"/>
          <w:rtl/>
        </w:rPr>
        <w:t>ב. בהמשך המאמר, באות וא"ו, שואל, "דע"י שהמלך מקבל את כולם בסבר פנים יפות, ובפרט ע"י שמראה פנים שוחקות לכולם (הרי) זה מעורר אותם לשוב בתשובה שלימה", וא"כ שואל מדוע זה נקרא "אני לדודי". ע"כ מתוכן דבריו.</w:t>
      </w:r>
    </w:p>
    <w:p w14:paraId="72D5689F" w14:textId="77777777" w:rsidR="00F264A3" w:rsidRDefault="00F264A3" w:rsidP="00E60D97">
      <w:pPr>
        <w:pStyle w:val="a3"/>
        <w:rPr>
          <w:rtl/>
        </w:rPr>
      </w:pPr>
      <w:r>
        <w:rPr>
          <w:rFonts w:hint="cs"/>
          <w:rtl/>
        </w:rPr>
        <w:t xml:space="preserve">ולכאורה צ"ע, הרי בהאות הקודם (אות ה') כתב דזה שהמלך מקבל אותו בסבר פנים יפות </w:t>
      </w:r>
      <w:r w:rsidRPr="005A7A86">
        <w:rPr>
          <w:rFonts w:hint="cs"/>
          <w:bCs/>
          <w:rtl/>
        </w:rPr>
        <w:t>הנה זה רק למי ש"מתעורר ברצון לתשובה",</w:t>
      </w:r>
      <w:r>
        <w:rPr>
          <w:rFonts w:hint="cs"/>
          <w:rtl/>
        </w:rPr>
        <w:t xml:space="preserve"> וא"כ כיון שההתחלה היא הרצון של האדם, א"כ אולי לכן זה נקרא "אני לדודי", ומהו השאלה.</w:t>
      </w:r>
    </w:p>
    <w:p w14:paraId="001B8258" w14:textId="77777777" w:rsidR="00F264A3" w:rsidRDefault="00F264A3" w:rsidP="00E60D97">
      <w:pPr>
        <w:pStyle w:val="a3"/>
        <w:rPr>
          <w:rtl/>
        </w:rPr>
      </w:pPr>
      <w:r>
        <w:rPr>
          <w:rFonts w:hint="cs"/>
          <w:rtl/>
        </w:rPr>
        <w:t>ואולי אפשר לומר, דכיון דזה ש"מתעורר ברצון לתשובה" הרי אי"ז עדיין למעשה, כי אי"ז בא עדיין לפועל, לכן א"א לקרוא לזה אני לדודי, ורק לאחר שהמלך מקבלו בסבר פנים יפות ומראה לו פנים שוחקות, שזה נותן לו הכח להתגבר על כל המניעות ועכובים ולשוב בתשובה שלימה, (כפי שכותב בהמאמר), הנה רק אז אפשר לקרוא לזה העבודה של אני לדודי.</w:t>
      </w:r>
    </w:p>
    <w:p w14:paraId="3A6410B5" w14:textId="77777777" w:rsidR="00F264A3" w:rsidRDefault="00F264A3" w:rsidP="00E60D97">
      <w:pPr>
        <w:pStyle w:val="a3"/>
        <w:rPr>
          <w:rtl/>
        </w:rPr>
      </w:pPr>
      <w:r>
        <w:rPr>
          <w:rFonts w:hint="cs"/>
          <w:rtl/>
        </w:rPr>
        <w:t>ולכן השאלה של המאמר במקומה עומדת, דמאחר שמי פועל שהרצון יבוא לפועל, זהו ההמשכה מלמעלה בסבר פנים יפות ומראה פנים שוחקות, א"כ לכאורה אי"ז אני לדודי, העבודה דהאדם.</w:t>
      </w:r>
    </w:p>
    <w:p w14:paraId="0F78925C" w14:textId="531E0DC1" w:rsidR="00F264A3" w:rsidRDefault="00F264A3" w:rsidP="00E60D97">
      <w:pPr>
        <w:pStyle w:val="a3"/>
        <w:rPr>
          <w:rtl/>
        </w:rPr>
      </w:pPr>
      <w:r>
        <w:rPr>
          <w:rFonts w:hint="cs"/>
          <w:rtl/>
        </w:rPr>
        <w:t>וע"ז עונה בהמשך האות.</w:t>
      </w:r>
    </w:p>
    <w:p w14:paraId="1F938387" w14:textId="77777777" w:rsidR="00F264A3" w:rsidRDefault="00F264A3" w:rsidP="00E60D97">
      <w:pPr>
        <w:pStyle w:val="a3"/>
        <w:rPr>
          <w:rtl/>
        </w:rPr>
      </w:pPr>
      <w:r>
        <w:rPr>
          <w:rFonts w:hint="cs"/>
          <w:rtl/>
        </w:rPr>
        <w:t>ג. בהמשך המאמר באות ח',</w:t>
      </w:r>
    </w:p>
    <w:p w14:paraId="79299D0B" w14:textId="77777777" w:rsidR="00F264A3" w:rsidRDefault="00F264A3" w:rsidP="00E60D97">
      <w:pPr>
        <w:pStyle w:val="a3"/>
        <w:rPr>
          <w:rtl/>
        </w:rPr>
      </w:pPr>
      <w:r>
        <w:rPr>
          <w:rFonts w:hint="cs"/>
          <w:rtl/>
        </w:rPr>
        <w:t xml:space="preserve">מבאר ד"בפנימיות הענינים אני לדודי (עבודת האדם) הוא למעלה מודודי לי (גילוי מלמעלה)", וממשיך ..."ושני ענינים בזה (א) העילוי שנעשה בהגילוי מלמעלה ע"י </w:t>
      </w:r>
      <w:r>
        <w:rPr>
          <w:rFonts w:hint="cs"/>
          <w:rtl/>
        </w:rPr>
        <w:lastRenderedPageBreak/>
        <w:t>ירידתו למטה בכדי לעורר את האדם, (ב) והעילוי שנעשה ע"י התעוררות תשובה דהאדם בפועל".</w:t>
      </w:r>
    </w:p>
    <w:p w14:paraId="4C7AA861" w14:textId="77777777" w:rsidR="00F264A3" w:rsidRDefault="00F264A3" w:rsidP="00E60D97">
      <w:pPr>
        <w:pStyle w:val="a3"/>
        <w:rPr>
          <w:rtl/>
        </w:rPr>
      </w:pPr>
      <w:r>
        <w:rPr>
          <w:rFonts w:hint="cs"/>
          <w:rtl/>
        </w:rPr>
        <w:t xml:space="preserve">ומוסיף, " ובזה עצמו </w:t>
      </w:r>
      <w:r>
        <w:rPr>
          <w:rtl/>
        </w:rPr>
        <w:t>–</w:t>
      </w:r>
      <w:r>
        <w:rPr>
          <w:rFonts w:hint="cs"/>
          <w:rtl/>
        </w:rPr>
        <w:t>שני ענינים, העילוי שמצד התענוג דלמעלה... מקבל בסבר פנים יפות, ועי"ז מתגלה אח"כ התענוג העצמי שבישראל עצמם...פנים שוחקות, ...הגילוי דודודי לי מתעלה להתענוג דפנים יפות ופנים שוחקות".</w:t>
      </w:r>
    </w:p>
    <w:p w14:paraId="189A74F8" w14:textId="77777777" w:rsidR="00F264A3" w:rsidRDefault="00F264A3" w:rsidP="00E60D97">
      <w:pPr>
        <w:pStyle w:val="a3"/>
        <w:rPr>
          <w:rtl/>
        </w:rPr>
      </w:pPr>
      <w:r>
        <w:rPr>
          <w:rFonts w:hint="cs"/>
          <w:rtl/>
        </w:rPr>
        <w:t>ולכאורה, מה שמתחיל "ובזה עצמו שני ענינים", כוונתו לשני הענינים דסבר פנים יפות (התענוג המורכב), ומראה פנים שוחקות (התענוג העצמי שבישראל עצמם).</w:t>
      </w:r>
    </w:p>
    <w:p w14:paraId="78861EDD" w14:textId="77777777" w:rsidR="00F264A3" w:rsidRDefault="00F264A3" w:rsidP="00E60D97">
      <w:pPr>
        <w:pStyle w:val="a3"/>
        <w:rPr>
          <w:rtl/>
        </w:rPr>
      </w:pPr>
      <w:r>
        <w:rPr>
          <w:rFonts w:hint="cs"/>
          <w:rtl/>
        </w:rPr>
        <w:t xml:space="preserve">אבל א"כ, מ"ש הלשון </w:t>
      </w:r>
      <w:r w:rsidRPr="00693B15">
        <w:rPr>
          <w:rFonts w:hint="cs"/>
          <w:bCs/>
          <w:rtl/>
        </w:rPr>
        <w:t>ובזה עצמו</w:t>
      </w:r>
      <w:r>
        <w:rPr>
          <w:rFonts w:hint="cs"/>
          <w:rtl/>
        </w:rPr>
        <w:t xml:space="preserve"> שני ענינים, אי"ז כמ"ש בד"כ לשון זה, שפירושו, שהענין האחרון שהוזכר לעיל מורכב משני ענינים, משא"כ כאן שני הענינים הם ענינים חדשים שלא דובר עליהם כלל לפני זה.</w:t>
      </w:r>
    </w:p>
    <w:p w14:paraId="4C5AFD25" w14:textId="77777777" w:rsidR="00F264A3" w:rsidRDefault="00F264A3" w:rsidP="00E60D97">
      <w:pPr>
        <w:pStyle w:val="a3"/>
        <w:rPr>
          <w:rtl/>
        </w:rPr>
      </w:pPr>
      <w:r>
        <w:rPr>
          <w:rFonts w:hint="cs"/>
          <w:rtl/>
        </w:rPr>
        <w:t xml:space="preserve">או אולי הכוונה במ"ש "ובזה עצמו שני ענינים", א. הענין דלעיל, העילוי שנעשה ע"י התעוררות התשובה (ומסתמך על מ"ש באות לפני (אות ז') דזה מגלה את הרצון הפנימי דישראל מצד שרשם בהעצמות), וה-ב. הוא מה שי"ג מדה"ר מתעלים להתענוג דסבר פנים יפות ולפנים שוחקות, ולפי פירוש זה </w:t>
      </w:r>
      <w:r>
        <w:rPr>
          <w:rtl/>
        </w:rPr>
        <w:t>–</w:t>
      </w:r>
      <w:r>
        <w:rPr>
          <w:rFonts w:hint="cs"/>
          <w:rtl/>
        </w:rPr>
        <w:t xml:space="preserve"> שני ענינים אלו נחשבים כחד).</w:t>
      </w:r>
    </w:p>
    <w:p w14:paraId="59AE4DD4" w14:textId="77777777" w:rsidR="00F264A3" w:rsidRDefault="00F264A3" w:rsidP="00E60D97">
      <w:pPr>
        <w:pStyle w:val="a3"/>
        <w:rPr>
          <w:rtl/>
        </w:rPr>
      </w:pPr>
      <w:r>
        <w:rPr>
          <w:rFonts w:hint="cs"/>
          <w:rtl/>
        </w:rPr>
        <w:t>אך לכאורה, יותר נראה דמה שמתעלים להתענוג דסבר פנים יפות ולפנים שוחקות הם שני ענינים,</w:t>
      </w:r>
    </w:p>
    <w:p w14:paraId="52B31DF7" w14:textId="051D4D8C" w:rsidR="00F264A3" w:rsidRDefault="00F264A3" w:rsidP="00E60D97">
      <w:pPr>
        <w:pStyle w:val="a3"/>
        <w:rPr>
          <w:rtl/>
        </w:rPr>
      </w:pPr>
      <w:r>
        <w:rPr>
          <w:rFonts w:hint="cs"/>
          <w:rtl/>
        </w:rPr>
        <w:t>וצריך עדיין בירור קצת בזה.</w:t>
      </w:r>
    </w:p>
    <w:p w14:paraId="5034AE74" w14:textId="101573A2" w:rsidR="00657259" w:rsidRDefault="00657259" w:rsidP="00492226">
      <w:pPr>
        <w:pStyle w:val="M"/>
        <w:rPr>
          <w:rtl/>
        </w:rPr>
      </w:pPr>
      <w:r>
        <w:rPr>
          <w:noProof/>
        </w:rPr>
        <w:drawing>
          <wp:inline distT="0" distB="0" distL="0" distR="0" wp14:anchorId="2201B903" wp14:editId="3723738B">
            <wp:extent cx="875763" cy="23404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B24C3D0" w14:textId="7600F69C" w:rsidR="000672B7" w:rsidRPr="003A316E" w:rsidRDefault="000672B7" w:rsidP="000672B7">
      <w:pPr>
        <w:pStyle w:val="a0"/>
        <w:rPr>
          <w:rFonts w:ascii="Times New Roman" w:hAnsi="Times New Roman" w:cs="Times New Roman"/>
          <w:sz w:val="24"/>
          <w:szCs w:val="24"/>
        </w:rPr>
      </w:pPr>
      <w:bookmarkStart w:id="106" w:name="_Toc81540392"/>
      <w:r w:rsidRPr="003A316E">
        <w:rPr>
          <w:rtl/>
        </w:rPr>
        <w:t>הערה בלקוטי שיחות</w:t>
      </w:r>
      <w:r>
        <w:rPr>
          <w:rFonts w:hint="cs"/>
          <w:rtl/>
        </w:rPr>
        <w:t xml:space="preserve"> חכ"ט פ' עקב</w:t>
      </w:r>
      <w:bookmarkEnd w:id="106"/>
    </w:p>
    <w:p w14:paraId="016D2C26" w14:textId="5B2DE635" w:rsidR="000672B7" w:rsidRPr="003A316E" w:rsidRDefault="00E60D97" w:rsidP="0046124A">
      <w:pPr>
        <w:pStyle w:val="a"/>
        <w:rPr>
          <w:rFonts w:ascii="Times New Roman" w:hAnsi="Times New Roman" w:cs="Times New Roman"/>
          <w:rtl/>
        </w:rPr>
      </w:pPr>
      <w:bookmarkStart w:id="107" w:name="_Toc81540393"/>
      <w:r>
        <w:rPr>
          <w:rFonts w:hint="cs"/>
          <w:rtl/>
        </w:rPr>
        <w:t xml:space="preserve">הרב </w:t>
      </w:r>
      <w:r w:rsidR="000672B7">
        <w:rPr>
          <w:rFonts w:hint="cs"/>
          <w:rtl/>
        </w:rPr>
        <w:t xml:space="preserve">מרדכי </w:t>
      </w:r>
      <w:r w:rsidR="000672B7" w:rsidRPr="00657259">
        <w:rPr>
          <w:rtl/>
        </w:rPr>
        <w:t>מינצברג</w:t>
      </w:r>
      <w:bookmarkEnd w:id="107"/>
    </w:p>
    <w:p w14:paraId="3895F1B8" w14:textId="4506ECE5" w:rsidR="000672B7" w:rsidRPr="000672B7" w:rsidRDefault="000672B7" w:rsidP="000672B7">
      <w:pPr>
        <w:pStyle w:val="a1"/>
        <w:rPr>
          <w:rFonts w:ascii="Times New Roman" w:hAnsi="Times New Roman" w:cs="Times New Roman"/>
          <w:sz w:val="24"/>
          <w:szCs w:val="24"/>
          <w:rtl/>
        </w:rPr>
      </w:pPr>
      <w:r w:rsidRPr="003A316E">
        <w:rPr>
          <w:rtl/>
        </w:rPr>
        <w:t>ביתר עילית, ארה"ק</w:t>
      </w:r>
    </w:p>
    <w:p w14:paraId="6B66E1DA" w14:textId="77777777" w:rsidR="000672B7" w:rsidRPr="003A316E" w:rsidRDefault="000672B7" w:rsidP="00E60D97">
      <w:pPr>
        <w:pStyle w:val="a3"/>
        <w:rPr>
          <w:rFonts w:ascii="Times New Roman" w:hAnsi="Times New Roman" w:cs="Times New Roman"/>
        </w:rPr>
      </w:pPr>
      <w:r w:rsidRPr="003A316E">
        <w:rPr>
          <w:rtl/>
        </w:rPr>
        <w:t>בלקוטי שיחות חלק כ"ט בשיחה א' לפר' עקב, מבאר בארוכה אודות דרכו של רש"י בפירושו על התורה, בענין "חסר" שבתורה, האם, כיצד, ומתי הוא מתייחס לזה.</w:t>
      </w:r>
    </w:p>
    <w:p w14:paraId="64F3695F" w14:textId="77777777" w:rsidR="000672B7" w:rsidRPr="003A316E" w:rsidRDefault="000672B7" w:rsidP="00E60D97">
      <w:pPr>
        <w:pStyle w:val="a3"/>
        <w:rPr>
          <w:rFonts w:ascii="Times New Roman" w:hAnsi="Times New Roman" w:cs="Times New Roman"/>
          <w:rtl/>
        </w:rPr>
      </w:pPr>
      <w:r w:rsidRPr="003A316E">
        <w:rPr>
          <w:rtl/>
        </w:rPr>
        <w:t xml:space="preserve">בהמשך להשיחה ישנה "הוספה", ובהקדמה: </w:t>
      </w:r>
      <w:r>
        <w:rPr>
          <w:rFonts w:hint="cs"/>
          <w:rtl/>
        </w:rPr>
        <w:t>'</w:t>
      </w:r>
      <w:r w:rsidRPr="003A316E">
        <w:rPr>
          <w:rtl/>
        </w:rPr>
        <w:t>לשלימות הענין המבואר בהשיחה (ס"ז) שרק בענין של</w:t>
      </w:r>
      <w:r w:rsidRPr="003A316E">
        <w:rPr>
          <w:rFonts w:ascii="Cambria" w:hAnsi="Cambria" w:cs="Cambria" w:hint="cs"/>
          <w:rtl/>
        </w:rPr>
        <w:t> </w:t>
      </w:r>
      <w:r>
        <w:rPr>
          <w:rFonts w:hint="cs"/>
          <w:rtl/>
        </w:rPr>
        <w:t>חסרון</w:t>
      </w:r>
      <w:r w:rsidRPr="003A316E">
        <w:rPr>
          <w:rtl/>
        </w:rPr>
        <w:t xml:space="preserve"> כותב רש"י תיבת "חסר" – מובאים בזה המקומות שבהם פי' רש"י את הטעם דחסרות, על סדר הכתובים'.</w:t>
      </w:r>
    </w:p>
    <w:p w14:paraId="691E410B" w14:textId="77777777" w:rsidR="000672B7" w:rsidRPr="003A316E" w:rsidRDefault="000672B7" w:rsidP="00E60D97">
      <w:pPr>
        <w:pStyle w:val="a3"/>
        <w:rPr>
          <w:rFonts w:ascii="Times New Roman" w:hAnsi="Times New Roman" w:cs="Times New Roman"/>
          <w:rtl/>
        </w:rPr>
      </w:pPr>
      <w:r w:rsidRPr="003A316E">
        <w:rPr>
          <w:rtl/>
        </w:rPr>
        <w:t>הוספה זו נדפסה גם במהדורה קמא, בהתוועדויות תשמ"ג ח"ד עמ' 1952-3, ובהערה שם "הוגה ע"י כ"ק אדמו"ר שליט"א", ובלקוטי שיחות כאן נדפסה בשינויים והוספות בפנים ובהערות.</w:t>
      </w:r>
    </w:p>
    <w:p w14:paraId="3ADF3718" w14:textId="2F6E51B2" w:rsidR="000672B7" w:rsidRDefault="000672B7" w:rsidP="00E60D97">
      <w:pPr>
        <w:pStyle w:val="a3"/>
        <w:rPr>
          <w:rtl/>
        </w:rPr>
      </w:pPr>
      <w:r w:rsidRPr="003A316E">
        <w:rPr>
          <w:rtl/>
        </w:rPr>
        <w:lastRenderedPageBreak/>
        <w:t>ורציתי להעיר, אשר סעיף ב' ב"הוספה" מ"בראשית א, כח", צריך להיות לכאורה, אחרי הסעיף שלאחריו מ"בראשית א, כא". וכפי שכתוב בהקדמה שהרשימה היא "על סדר הכתובים".</w:t>
      </w:r>
    </w:p>
    <w:p w14:paraId="3640EBF0" w14:textId="73A81A98" w:rsidR="0072178A" w:rsidRPr="000672B7" w:rsidRDefault="0072178A" w:rsidP="00492226">
      <w:pPr>
        <w:pStyle w:val="M"/>
        <w:rPr>
          <w:rFonts w:ascii="Times New Roman" w:hAnsi="Times New Roman" w:cs="Times New Roman"/>
          <w:rtl/>
        </w:rPr>
      </w:pPr>
      <w:r>
        <w:rPr>
          <w:noProof/>
        </w:rPr>
        <w:drawing>
          <wp:inline distT="0" distB="0" distL="0" distR="0" wp14:anchorId="13113334" wp14:editId="15E620A5">
            <wp:extent cx="875763" cy="23404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99B835C" w14:textId="69B989C5" w:rsidR="003375CC" w:rsidRDefault="00531DED" w:rsidP="003375CC">
      <w:pPr>
        <w:pStyle w:val="a0"/>
        <w:rPr>
          <w:rtl/>
        </w:rPr>
      </w:pPr>
      <w:bookmarkStart w:id="108" w:name="_Toc81540394"/>
      <w:r>
        <w:rPr>
          <w:rFonts w:hint="cs"/>
          <w:rtl/>
        </w:rPr>
        <w:t xml:space="preserve">תוס' </w:t>
      </w:r>
      <w:r w:rsidR="003375CC">
        <w:rPr>
          <w:rFonts w:hint="cs"/>
          <w:rtl/>
        </w:rPr>
        <w:t>ביאור בענין הארת הקישוטין דיגמה"ר</w:t>
      </w:r>
      <w:r>
        <w:rPr>
          <w:rFonts w:hint="cs"/>
          <w:rtl/>
        </w:rPr>
        <w:t xml:space="preserve"> מאמר ד"ה השמים כסאי תשכ"ח</w:t>
      </w:r>
      <w:bookmarkEnd w:id="108"/>
      <w:r w:rsidR="003375CC">
        <w:rPr>
          <w:rFonts w:hint="cs"/>
          <w:rtl/>
        </w:rPr>
        <w:t xml:space="preserve"> </w:t>
      </w:r>
    </w:p>
    <w:p w14:paraId="2E0B2189" w14:textId="6EF16380" w:rsidR="003375CC" w:rsidRDefault="003375CC" w:rsidP="0046124A">
      <w:pPr>
        <w:pStyle w:val="a"/>
        <w:rPr>
          <w:rtl/>
        </w:rPr>
      </w:pPr>
      <w:bookmarkStart w:id="109" w:name="_Toc81540395"/>
      <w:r w:rsidRPr="001A6E31">
        <w:rPr>
          <w:rFonts w:hint="cs"/>
          <w:rtl/>
        </w:rPr>
        <w:t>הרב דוד פלדמן</w:t>
      </w:r>
      <w:bookmarkEnd w:id="109"/>
    </w:p>
    <w:p w14:paraId="3D831FB5" w14:textId="1E9E5182" w:rsidR="00BE42E8" w:rsidRPr="00BE42E8" w:rsidRDefault="00BE42E8" w:rsidP="00BE42E8">
      <w:pPr>
        <w:pStyle w:val="a1"/>
        <w:bidi/>
        <w:jc w:val="right"/>
        <w:rPr>
          <w:rtl/>
        </w:rPr>
      </w:pPr>
      <w:r w:rsidRPr="00C60FEE">
        <w:rPr>
          <w:rFonts w:hint="cs"/>
          <w:rtl/>
        </w:rPr>
        <w:t xml:space="preserve">עורך ראשי </w:t>
      </w:r>
      <w:r w:rsidRPr="00C60FEE">
        <w:rPr>
          <w:rtl/>
        </w:rPr>
        <w:t>–</w:t>
      </w:r>
      <w:r w:rsidRPr="00C60FEE">
        <w:rPr>
          <w:rFonts w:hint="cs"/>
          <w:rtl/>
        </w:rPr>
        <w:t xml:space="preserve"> '</w:t>
      </w:r>
      <w:r w:rsidRPr="00C60FEE">
        <w:rPr>
          <w:rtl/>
        </w:rPr>
        <w:t>ועד הנחות בלה"ק</w:t>
      </w:r>
      <w:r w:rsidRPr="00C60FEE">
        <w:rPr>
          <w:rFonts w:hint="cs"/>
          <w:rtl/>
        </w:rPr>
        <w:t>'</w:t>
      </w:r>
    </w:p>
    <w:p w14:paraId="7C1258B0" w14:textId="77777777" w:rsidR="003375CC" w:rsidRDefault="003375CC" w:rsidP="00E60D97">
      <w:pPr>
        <w:pStyle w:val="a3"/>
        <w:rPr>
          <w:rtl/>
        </w:rPr>
      </w:pPr>
      <w:r w:rsidRPr="005573C5">
        <w:rPr>
          <w:rFonts w:hint="cs"/>
          <w:bCs/>
          <w:rtl/>
        </w:rPr>
        <w:t>א</w:t>
      </w:r>
      <w:r>
        <w:rPr>
          <w:rFonts w:hint="cs"/>
          <w:rtl/>
        </w:rPr>
        <w:t xml:space="preserve">. בד"ה השמים כסאי דש"פ ראה בדר"ח אלול תשכ"ח, שנתגלה ויצא לאור זה עתה, מקשר הרבי את הענין דהשמים כסאי גו' שאומרים בהפטרת שבת ר"ח עם הענין דחודש אלול. </w:t>
      </w:r>
    </w:p>
    <w:p w14:paraId="66E1428F" w14:textId="77777777" w:rsidR="003375CC" w:rsidRDefault="003375CC" w:rsidP="00E60D97">
      <w:pPr>
        <w:pStyle w:val="a3"/>
        <w:rPr>
          <w:rtl/>
        </w:rPr>
      </w:pPr>
      <w:r>
        <w:rPr>
          <w:rFonts w:hint="cs"/>
          <w:rtl/>
        </w:rPr>
        <w:t>וכיון שברישומי הדברים שמהם נערך במאמר</w:t>
      </w:r>
      <w:r w:rsidRPr="0024396C">
        <w:rPr>
          <w:rFonts w:hint="cs"/>
          <w:rtl/>
        </w:rPr>
        <w:t xml:space="preserve"> </w:t>
      </w:r>
      <w:r>
        <w:rPr>
          <w:rFonts w:hint="cs"/>
          <w:rtl/>
        </w:rPr>
        <w:t xml:space="preserve">לא הי' ברור קשר הענינים, לכן כתבו המו"ל (בהערה 39): </w:t>
      </w:r>
      <w:r w:rsidRPr="006552A3">
        <w:rPr>
          <w:rFonts w:hint="cs"/>
          <w:rtl/>
        </w:rPr>
        <w:t xml:space="preserve">אולי </w:t>
      </w:r>
      <w:r>
        <w:rPr>
          <w:rFonts w:hint="cs"/>
          <w:rtl/>
        </w:rPr>
        <w:t>הכוונה ב</w:t>
      </w:r>
      <w:r w:rsidRPr="006552A3">
        <w:rPr>
          <w:rFonts w:hint="cs"/>
          <w:rtl/>
        </w:rPr>
        <w:t>קשר והמשך הענינים</w:t>
      </w:r>
      <w:r>
        <w:rPr>
          <w:rFonts w:hint="cs"/>
          <w:rtl/>
        </w:rPr>
        <w:t>,</w:t>
      </w:r>
      <w:r w:rsidRPr="006552A3">
        <w:rPr>
          <w:rFonts w:hint="cs"/>
          <w:rtl/>
        </w:rPr>
        <w:t xml:space="preserve"> שהקישוטין די"ג מדה"ר שמאירים באלול בבחי' מקיף וביוהכ"פ מאירים בבחי' עצמיות ממש, הם דוגמת המקיף דאיזה בית אשר תבנו לי (שלמעלה מהאו"פ דתומ"צ שבכל השנה, שהו"ע השמים כסאי והארץ הדום רגלי), וענין המשכת והתגלות המקיף ביוהכ"פ נעשה ע"י הקדמת הביטול דבכתה גו' ירח ימים – דוגמת ענין </w:t>
      </w:r>
      <w:r>
        <w:rPr>
          <w:rFonts w:hint="cs"/>
          <w:rtl/>
        </w:rPr>
        <w:t>ד</w:t>
      </w:r>
      <w:r w:rsidRPr="006552A3">
        <w:rPr>
          <w:rFonts w:hint="cs"/>
          <w:rtl/>
        </w:rPr>
        <w:t>נכה רוח וחרד על דברי, שעל ידו נמשך ומתגלה המקיף דבית</w:t>
      </w:r>
      <w:r>
        <w:rPr>
          <w:rFonts w:hint="cs"/>
          <w:rtl/>
        </w:rPr>
        <w:t>.</w:t>
      </w:r>
    </w:p>
    <w:p w14:paraId="6AC35412" w14:textId="77777777" w:rsidR="003375CC" w:rsidRDefault="003375CC" w:rsidP="00E60D97">
      <w:pPr>
        <w:pStyle w:val="a3"/>
        <w:rPr>
          <w:rtl/>
        </w:rPr>
      </w:pPr>
      <w:r>
        <w:rPr>
          <w:rFonts w:hint="cs"/>
          <w:rtl/>
        </w:rPr>
        <w:t xml:space="preserve">אך לאחר העיון בב' המאמרים באוה"ת (המאמר בפ' עקב בענין השמים כסאי, והמאמר בפ' ראה בענין חודש אלול), שכנראה עליהם הי' מיוסד המאמר של הרבי </w:t>
      </w:r>
      <w:r>
        <w:rPr>
          <w:rtl/>
        </w:rPr>
        <w:t>–</w:t>
      </w:r>
      <w:r>
        <w:rPr>
          <w:rFonts w:hint="cs"/>
          <w:rtl/>
        </w:rPr>
        <w:t xml:space="preserve"> אולי יש להוסיף בקישור הדברים, כדלקמן.</w:t>
      </w:r>
    </w:p>
    <w:p w14:paraId="627D147F" w14:textId="77777777" w:rsidR="003375CC" w:rsidRDefault="003375CC" w:rsidP="00E60D97">
      <w:pPr>
        <w:pStyle w:val="a3"/>
        <w:rPr>
          <w:rtl/>
        </w:rPr>
      </w:pPr>
      <w:r w:rsidRPr="005573C5">
        <w:rPr>
          <w:rFonts w:hint="cs"/>
          <w:bCs/>
          <w:rtl/>
        </w:rPr>
        <w:t>ב</w:t>
      </w:r>
      <w:r>
        <w:rPr>
          <w:rFonts w:hint="cs"/>
          <w:rtl/>
        </w:rPr>
        <w:t xml:space="preserve">. במאמר דפ' עקב (ע' תרה) בענין השמים כסאי שקאי על תושב"כ, איתא: "שמים שם מים הוא בחי' התורה, דאורייתא מחכמה נפקת, שהוא בחי' מים, ים החכמה, ונק' כסאי, ע"ד נובלות חש"מ תורה, ונק' </w:t>
      </w:r>
      <w:r w:rsidRPr="00D8366C">
        <w:rPr>
          <w:rFonts w:hint="cs"/>
          <w:rtl/>
        </w:rPr>
        <w:t>כ"ד ספרים דאוריתא</w:t>
      </w:r>
      <w:r>
        <w:rPr>
          <w:rFonts w:hint="cs"/>
          <w:rtl/>
        </w:rPr>
        <w:t>, וכמ"ש ותמלא כדה, שכל בחי' החכמה שבתורה הוא בחי' כד מים החכמה לבד, לכן נק' רק נובלות חכמה .. כללות החכמה שנתלבש בתורה הוא רק כמו בחי' כד לגבי עצמיות ח"ע, שעז"נ ופני לא יראו כו'. ולכן נק' המשכת התורה בשם כסאי, כמשל האדם היושב על הכסא, שרק באחוריו נשפל לישב על הכסא כו'. ומ"מ הוא בחי' כסאי, שעי"ז נמשך אוא"ס ב"ה המלובש בח"ע למטה ממש.</w:t>
      </w:r>
    </w:p>
    <w:p w14:paraId="738843CB" w14:textId="77777777" w:rsidR="003375CC" w:rsidRDefault="003375CC" w:rsidP="00E60D97">
      <w:pPr>
        <w:pStyle w:val="a3"/>
        <w:rPr>
          <w:rtl/>
        </w:rPr>
      </w:pPr>
      <w:r>
        <w:rPr>
          <w:rFonts w:hint="cs"/>
          <w:rtl/>
        </w:rPr>
        <w:t xml:space="preserve">ובמאמר דפ' ראה, בענין התגלות י"ג מדה"ר שבחודש אלול שהו"ע כ"ד קישוטי כלה, הנה לכל לראש נזכר מיד (בע' תתג)  ענין כ"ד ספרים דאורייתא, שהם כנגד כ"ד </w:t>
      </w:r>
      <w:r>
        <w:rPr>
          <w:rFonts w:hint="cs"/>
          <w:rtl/>
        </w:rPr>
        <w:lastRenderedPageBreak/>
        <w:t xml:space="preserve">קישוטי כלה. </w:t>
      </w:r>
    </w:p>
    <w:p w14:paraId="4D9DC605" w14:textId="77777777" w:rsidR="003375CC" w:rsidRDefault="003375CC" w:rsidP="00E60D97">
      <w:pPr>
        <w:pStyle w:val="a3"/>
        <w:rPr>
          <w:rtl/>
        </w:rPr>
      </w:pPr>
      <w:r>
        <w:rPr>
          <w:rFonts w:hint="cs"/>
          <w:rtl/>
        </w:rPr>
        <w:t xml:space="preserve">ובהמשך המאמר, לאחרי שמבאר שע"י התכשיטין נמשך </w:t>
      </w:r>
      <w:r w:rsidRPr="00620E39">
        <w:rPr>
          <w:rFonts w:hint="cs"/>
          <w:rtl/>
        </w:rPr>
        <w:t>יפוי לכלה</w:t>
      </w:r>
      <w:r>
        <w:rPr>
          <w:rFonts w:hint="cs"/>
          <w:rtl/>
        </w:rPr>
        <w:t xml:space="preserve"> שתהי' בבחי' יפ"ת ויפ"מ, מבאר (בע' תתה) הענין דהרועה בשושנים, שהם י"ג מדה"ר, ש"שושנים היינו ג"כ ששונים בהלכות, כי צ"ל </w:t>
      </w:r>
      <w:r w:rsidRPr="00EE55CB">
        <w:rPr>
          <w:rFonts w:hint="cs"/>
          <w:sz w:val="26"/>
          <w:rtl/>
        </w:rPr>
        <w:t>אחזתיו ולא ארפנו עד שהבאתיו אל בית אמי</w:t>
      </w:r>
      <w:r>
        <w:rPr>
          <w:rFonts w:hint="cs"/>
          <w:sz w:val="26"/>
          <w:rtl/>
        </w:rPr>
        <w:t xml:space="preserve">" (כפי שהובא במאמרנו </w:t>
      </w:r>
      <w:r>
        <w:rPr>
          <w:rFonts w:hint="eastAsia"/>
          <w:sz w:val="26"/>
          <w:rtl/>
        </w:rPr>
        <w:t>–</w:t>
      </w:r>
      <w:r>
        <w:rPr>
          <w:rFonts w:hint="cs"/>
          <w:sz w:val="26"/>
          <w:rtl/>
        </w:rPr>
        <w:t xml:space="preserve">מלקו"ת ד"ה אני לדודי – </w:t>
      </w:r>
      <w:r>
        <w:rPr>
          <w:rFonts w:hint="cs"/>
          <w:rtl/>
        </w:rPr>
        <w:t xml:space="preserve">גם סיום הפסוק: </w:t>
      </w:r>
      <w:r>
        <w:rPr>
          <w:rFonts w:hint="cs"/>
          <w:sz w:val="26"/>
          <w:rtl/>
        </w:rPr>
        <w:t xml:space="preserve">"ואל חדר הורתי", </w:t>
      </w:r>
      <w:r w:rsidRPr="00EE55CB">
        <w:rPr>
          <w:rFonts w:hint="cs"/>
          <w:sz w:val="26"/>
          <w:rtl/>
        </w:rPr>
        <w:t>בית אמי זו תושב"כ וחדר הורתי זו תושבע"פ</w:t>
      </w:r>
      <w:r>
        <w:rPr>
          <w:rFonts w:hint="cs"/>
          <w:rtl/>
        </w:rPr>
        <w:t>, שהם ה</w:t>
      </w:r>
      <w:r w:rsidRPr="00EE55CB">
        <w:rPr>
          <w:rFonts w:hint="cs"/>
          <w:sz w:val="26"/>
          <w:rtl/>
        </w:rPr>
        <w:t>כלים שעל ידם יתקיים בו אור ה'</w:t>
      </w:r>
      <w:r>
        <w:rPr>
          <w:rFonts w:hint="cs"/>
          <w:sz w:val="26"/>
          <w:rtl/>
        </w:rPr>
        <w:t>).</w:t>
      </w:r>
    </w:p>
    <w:p w14:paraId="38C290A6" w14:textId="77777777" w:rsidR="003375CC" w:rsidRDefault="003375CC" w:rsidP="00E60D97">
      <w:pPr>
        <w:pStyle w:val="a3"/>
        <w:rPr>
          <w:rtl/>
        </w:rPr>
      </w:pPr>
      <w:r>
        <w:rPr>
          <w:rFonts w:hint="cs"/>
          <w:rtl/>
        </w:rPr>
        <w:t>וממשיך: "אך עוי"ל, כי להיות שלימות בחי' הקישוטין הנ"ל הוא ע"י ששונים בהלכות", ומבאר, שתכשיטי כלה הם אבנים טובות ומרגליות שנקובים וחלולים, ובהם נכנס החוט שמחברם, ובנמשל, הנקבים הו"ע ולבי חלל בקרבי, שלא יהי' תופס מקום כו', שנעשה ע"י המשכה מבחי' י"ג מדות הרחמים, כענין ברחמיך הרבים רחם עלינו [כפי שמבאר לפנ"ז החידוש דאבנים טובות כו', שהאבן שהוא דומם יאיר כ"כ, ובעבודה הו"ע הפיכת לב האבן דנה"ב, שכדי לבוא לבחי' זו הוא ע"י התגלות י"ג מדה"ר, כמאמר ברחמיך הרבים רחם עלינו, שהרחמים העליונים גורמים פתיחת לב האבן שירגיש הרחמנות שעל נפשו כו'], והמשכת החוט המחבר הו"ע התורה. וזהו שלהיות בחי' התכשיטין וקישוטין הנ"ל הוא ג"כ ע"י התורה, וכנ"ל שכ"ד קישוטי כלה נמשכים מכ"ד ספרי דאורייתא כו'.</w:t>
      </w:r>
    </w:p>
    <w:p w14:paraId="1B33FA30" w14:textId="77777777" w:rsidR="003375CC" w:rsidRDefault="003375CC" w:rsidP="00E60D97">
      <w:pPr>
        <w:pStyle w:val="a3"/>
        <w:rPr>
          <w:rtl/>
        </w:rPr>
      </w:pPr>
      <w:r w:rsidRPr="005573C5">
        <w:rPr>
          <w:rFonts w:hint="cs"/>
          <w:bCs/>
          <w:rtl/>
        </w:rPr>
        <w:t>ג</w:t>
      </w:r>
      <w:r>
        <w:rPr>
          <w:rFonts w:hint="cs"/>
          <w:rtl/>
        </w:rPr>
        <w:t xml:space="preserve">. ויש לעיין בפי' הדברים "להיות </w:t>
      </w:r>
      <w:r w:rsidRPr="00F7557A">
        <w:rPr>
          <w:rFonts w:hint="cs"/>
          <w:bCs/>
          <w:rtl/>
        </w:rPr>
        <w:t>שלימות</w:t>
      </w:r>
      <w:r>
        <w:rPr>
          <w:rFonts w:hint="cs"/>
          <w:rtl/>
        </w:rPr>
        <w:t xml:space="preserve"> בחי' הקישוטין הנ"ל הוא ע"י ששונים בהלכות .. הוא </w:t>
      </w:r>
      <w:r w:rsidRPr="005573C5">
        <w:rPr>
          <w:rFonts w:hint="cs"/>
          <w:bCs/>
          <w:rtl/>
        </w:rPr>
        <w:t>ג"כ</w:t>
      </w:r>
      <w:r>
        <w:rPr>
          <w:rFonts w:hint="cs"/>
          <w:rtl/>
        </w:rPr>
        <w:t xml:space="preserve"> ע"י התורה" </w:t>
      </w:r>
      <w:r>
        <w:rPr>
          <w:rtl/>
        </w:rPr>
        <w:t>–</w:t>
      </w:r>
      <w:r>
        <w:rPr>
          <w:rFonts w:hint="cs"/>
          <w:rtl/>
        </w:rPr>
        <w:t xml:space="preserve"> דלכאורה, מהי השייכות של התורה, אור פנימי, לתכשיטין, שהו"ע אור מקיף? </w:t>
      </w:r>
    </w:p>
    <w:p w14:paraId="3411BAA9" w14:textId="77777777" w:rsidR="003375CC" w:rsidRDefault="003375CC" w:rsidP="00E60D97">
      <w:pPr>
        <w:pStyle w:val="a3"/>
        <w:rPr>
          <w:rtl/>
        </w:rPr>
      </w:pPr>
      <w:r>
        <w:rPr>
          <w:rFonts w:hint="cs"/>
          <w:rtl/>
        </w:rPr>
        <w:t xml:space="preserve">ובסגנון במאמר דפ' עקב לענין בנין המלכות בר"ה (בית אשר תבנו לי), "שא"א להמשיך בחי' זו ע"י תומ"צ .. שזהו ההמשכה שבכל השנה .. (אלא) צ"ל מבחי' גבוה יותר, כי תורה מחכמה נפקת, והמצוות מבחי' א"א .. אבל בחי' בית נמשך מבחי' עתיק כו'", ולכאורה המשכת י"ג מדה"ר שייך לבחי' עתיק, כמובא במאמר דפ' ראה (ע' תתג) ממ"ח מסכת אלול "שאז נפתחים הי"ג ת"ד דעתיק כו'".  </w:t>
      </w:r>
    </w:p>
    <w:p w14:paraId="2732BA37" w14:textId="77777777" w:rsidR="003375CC" w:rsidRDefault="003375CC" w:rsidP="00E60D97">
      <w:pPr>
        <w:pStyle w:val="a3"/>
        <w:rPr>
          <w:rtl/>
        </w:rPr>
      </w:pPr>
      <w:r>
        <w:rPr>
          <w:rFonts w:hint="cs"/>
          <w:rtl/>
        </w:rPr>
        <w:t xml:space="preserve"> </w:t>
      </w:r>
      <w:r w:rsidRPr="00F7557A">
        <w:rPr>
          <w:rFonts w:hint="cs"/>
          <w:bCs/>
          <w:rtl/>
        </w:rPr>
        <w:t>ד</w:t>
      </w:r>
      <w:r>
        <w:rPr>
          <w:rFonts w:hint="cs"/>
          <w:rtl/>
        </w:rPr>
        <w:t>. ויובן בהקדם המבואר בהמשך המאמר בפי' הפסוק "אם לא תדעי לך היפה בנשים צאי לך בעקבי הצאן":</w:t>
      </w:r>
    </w:p>
    <w:p w14:paraId="601E9B22" w14:textId="77777777" w:rsidR="003375CC" w:rsidRDefault="003375CC" w:rsidP="00E60D97">
      <w:pPr>
        <w:pStyle w:val="a3"/>
        <w:rPr>
          <w:rtl/>
        </w:rPr>
      </w:pPr>
      <w:r>
        <w:rPr>
          <w:rFonts w:hint="cs"/>
          <w:rtl/>
        </w:rPr>
        <w:t>כאשר כנס"י אינה יודעת ומשגת בחי' יפ"ת ויפ"מ שתהי' אצלה בהתגלות בפועל ממש, אזי העצה היא צאי לך בעקבי הצאן, דהיינו בחי' היוצא מלמעלה מסדר השתלשלות, שהו"ע התומ"צ אשר יסודותם בהררי קודש העליון פנימיות רצונו ית', וזהו צאן לבן, בחי' לובן העליון (שלמעלה מהשתלשלות, כנודע מענין בגדי לבן  דכה"ג ביוהכ"פ), עונג העליון, פנימיות הרצון,</w:t>
      </w:r>
    </w:p>
    <w:p w14:paraId="11324850" w14:textId="77777777" w:rsidR="003375CC" w:rsidRDefault="003375CC" w:rsidP="00E60D97">
      <w:pPr>
        <w:pStyle w:val="a3"/>
        <w:rPr>
          <w:rtl/>
        </w:rPr>
      </w:pPr>
      <w:r>
        <w:rPr>
          <w:rFonts w:hint="cs"/>
          <w:rtl/>
        </w:rPr>
        <w:t xml:space="preserve">[ומבאר בחצע"ג, שהרצון (דתומ"צ) יצא ונתלבש בדברים גשמיים, וכן הלכות התורה, נובלות חכמה כו', היינו מה שנשפל ח"ע ורצון העליון למטה מטה. אך באמת </w:t>
      </w:r>
      <w:r>
        <w:rPr>
          <w:rFonts w:hint="cs"/>
          <w:rtl/>
        </w:rPr>
        <w:lastRenderedPageBreak/>
        <w:t>הנה זה שיצאו ונתלבשו למטה כ"כ, זהו דוקא מבחי' אור העליון שלמעלה מעלה מהשתל', שעי"ז יוכלו לירד גם למטה מטה, כמשל אבוקה גדולה מאד שמאירה למרחוק],</w:t>
      </w:r>
    </w:p>
    <w:p w14:paraId="510CDA30" w14:textId="77777777" w:rsidR="003375CC" w:rsidRDefault="003375CC" w:rsidP="00E60D97">
      <w:pPr>
        <w:pStyle w:val="a3"/>
        <w:rPr>
          <w:rtl/>
        </w:rPr>
      </w:pPr>
      <w:r>
        <w:rPr>
          <w:rFonts w:hint="cs"/>
          <w:rtl/>
        </w:rPr>
        <w:t>ולכן, גם כאשר הנפש מצד עצמה אינה יכולה להגיע ולהשיג בחי' יפ"ת ויפ"מ, הנה ע"י התומ"צ שיצאו ונמשכו מלמעלה מסדר השתלשלות מעונג העליון, הגם שנתלבשו למטה, מ"מ בכחם ליתן כח ועוז בנפש שיהי' אוא"ס שורה ומתגלה בה כו'.</w:t>
      </w:r>
    </w:p>
    <w:p w14:paraId="751B34F5" w14:textId="77777777" w:rsidR="003375CC" w:rsidRDefault="003375CC" w:rsidP="00E60D97">
      <w:pPr>
        <w:pStyle w:val="a3"/>
        <w:rPr>
          <w:rtl/>
        </w:rPr>
      </w:pPr>
      <w:r>
        <w:rPr>
          <w:rFonts w:hint="cs"/>
          <w:rtl/>
        </w:rPr>
        <w:t>וזהו שהתומ"צ שהם מבחי' פניך הוי', הם בחי' קישוטי כלה להמשיך בחי' פנימיות הלב לבוא לבחי' יפ"ת ויפ"מ כו'.</w:t>
      </w:r>
    </w:p>
    <w:p w14:paraId="2FCB8CD2" w14:textId="77777777" w:rsidR="003375CC" w:rsidRDefault="003375CC" w:rsidP="00E60D97">
      <w:pPr>
        <w:pStyle w:val="a3"/>
        <w:rPr>
          <w:rtl/>
        </w:rPr>
      </w:pPr>
      <w:r w:rsidRPr="007359B3">
        <w:rPr>
          <w:rFonts w:hint="cs"/>
          <w:bCs/>
          <w:rtl/>
        </w:rPr>
        <w:t>ה</w:t>
      </w:r>
      <w:r>
        <w:rPr>
          <w:rFonts w:hint="cs"/>
          <w:rtl/>
        </w:rPr>
        <w:t>. ועפ"ז אולי י"ל בביאור הענין ש"</w:t>
      </w:r>
      <w:r w:rsidRPr="00F7557A">
        <w:rPr>
          <w:rFonts w:hint="cs"/>
          <w:bCs/>
          <w:rtl/>
        </w:rPr>
        <w:t>שלימות</w:t>
      </w:r>
      <w:r>
        <w:rPr>
          <w:rFonts w:hint="cs"/>
          <w:rtl/>
        </w:rPr>
        <w:t xml:space="preserve"> בחי' הקישוטין הנ"ל הוא ע"י ששונים בהלכות .. הוא </w:t>
      </w:r>
      <w:r w:rsidRPr="005573C5">
        <w:rPr>
          <w:rFonts w:hint="cs"/>
          <w:bCs/>
          <w:rtl/>
        </w:rPr>
        <w:t>ג"כ</w:t>
      </w:r>
      <w:r>
        <w:rPr>
          <w:rFonts w:hint="cs"/>
          <w:rtl/>
        </w:rPr>
        <w:t xml:space="preserve"> ע"י התורה" </w:t>
      </w:r>
      <w:r>
        <w:rPr>
          <w:rtl/>
        </w:rPr>
        <w:t>–</w:t>
      </w:r>
      <w:r>
        <w:rPr>
          <w:rFonts w:hint="cs"/>
          <w:rtl/>
        </w:rPr>
        <w:t xml:space="preserve"> שענין הקישוטין מצ"ע הוא באופן של הארות מבחוץ, והמשכתם באופן שמאירים בבחי' עצמיות ממש (ביוהכ"פ) היא ע"י התורה (והרי גם יוהכ"פ נקרא "יום חתונתו", שניתנו בו לוחות אחרונות),</w:t>
      </w:r>
      <w:r w:rsidRPr="007359B3">
        <w:rPr>
          <w:rFonts w:hint="cs"/>
          <w:rtl/>
        </w:rPr>
        <w:t xml:space="preserve"> </w:t>
      </w:r>
      <w:r>
        <w:rPr>
          <w:rFonts w:hint="cs"/>
          <w:rtl/>
        </w:rPr>
        <w:t xml:space="preserve">שהיא בחי' אור פנימי (שזהו גם תוכן הענין שאותיות התורה הם הכלים שעל ידם יתקיים בו אור ה'). </w:t>
      </w:r>
    </w:p>
    <w:p w14:paraId="2EE62AD5" w14:textId="77777777" w:rsidR="003375CC" w:rsidRDefault="003375CC" w:rsidP="00E60D97">
      <w:pPr>
        <w:pStyle w:val="a3"/>
        <w:rPr>
          <w:rtl/>
        </w:rPr>
      </w:pPr>
      <w:r>
        <w:rPr>
          <w:rFonts w:hint="cs"/>
          <w:rtl/>
        </w:rPr>
        <w:t xml:space="preserve">אלא שהתורה מצד עצמה (במשך כל השנה) היא באופן שמתגלה ונרגש בה רק בחי' השמים </w:t>
      </w:r>
      <w:r w:rsidRPr="003125D7">
        <w:rPr>
          <w:rFonts w:hint="cs"/>
          <w:bCs/>
          <w:rtl/>
        </w:rPr>
        <w:t>כסאי</w:t>
      </w:r>
      <w:r>
        <w:rPr>
          <w:rFonts w:hint="cs"/>
          <w:rtl/>
        </w:rPr>
        <w:t>,</w:t>
      </w:r>
      <w:r w:rsidRPr="003125D7">
        <w:rPr>
          <w:rFonts w:hint="cs"/>
          <w:rtl/>
        </w:rPr>
        <w:t xml:space="preserve"> </w:t>
      </w:r>
      <w:r>
        <w:rPr>
          <w:rFonts w:hint="cs"/>
          <w:rtl/>
        </w:rPr>
        <w:t xml:space="preserve">כמשל האדם היושב על הכסא, שרק באחוריו נשפל לישב על הכסא, שהיא בחי' </w:t>
      </w:r>
      <w:r w:rsidRPr="003125D7">
        <w:rPr>
          <w:rFonts w:hint="cs"/>
          <w:bCs/>
          <w:rtl/>
        </w:rPr>
        <w:t>כד בלבד</w:t>
      </w:r>
      <w:r>
        <w:rPr>
          <w:rFonts w:hint="cs"/>
          <w:rtl/>
        </w:rPr>
        <w:t xml:space="preserve"> מים החכמה. אמנם, בחודש אלול שמתגלים בחי' כ"ד קישוטי כלה (שנמשכים מכ"ד ספרי דאורייתא), שהם מבחי' המקיף שלמעלה מאור פנימי (שהמשכתו היא הקדמת הביטול דבכתה גו' ירח ימים, דוגמת הביטול דנכה רוח וחרד על דברי שממשיך המקיף דבית), אזי מתגלה גם בכ"ד ספרי דאורייתא שרשם בפנימיות רצונו ית' שלמעלה מהשתל'. ואז נעשה גם הענין דקישוטי כלה באופן שהם לא רק הארות מבחוץ, אלא מאירים בבחי' עצמיות ממש.</w:t>
      </w:r>
    </w:p>
    <w:p w14:paraId="4F05FF5A" w14:textId="77777777" w:rsidR="003375CC" w:rsidRDefault="003375CC" w:rsidP="00E60D97">
      <w:pPr>
        <w:pStyle w:val="a3"/>
        <w:rPr>
          <w:rtl/>
        </w:rPr>
      </w:pPr>
      <w:r w:rsidRPr="00DA26D5">
        <w:rPr>
          <w:rFonts w:hint="cs"/>
          <w:bCs/>
          <w:rtl/>
        </w:rPr>
        <w:t>ו</w:t>
      </w:r>
      <w:r>
        <w:rPr>
          <w:rFonts w:hint="cs"/>
          <w:rtl/>
        </w:rPr>
        <w:t xml:space="preserve">. ואם כנים הדברים </w:t>
      </w:r>
      <w:r>
        <w:rPr>
          <w:rtl/>
        </w:rPr>
        <w:t>–</w:t>
      </w:r>
      <w:r>
        <w:rPr>
          <w:rFonts w:hint="cs"/>
          <w:rtl/>
        </w:rPr>
        <w:t xml:space="preserve"> יש לסדר הערה 39 כדלקמן: </w:t>
      </w:r>
    </w:p>
    <w:p w14:paraId="3421EE99" w14:textId="77777777" w:rsidR="003375CC" w:rsidRDefault="003375CC" w:rsidP="00E60D97">
      <w:pPr>
        <w:pStyle w:val="a3"/>
        <w:rPr>
          <w:rtl/>
        </w:rPr>
      </w:pPr>
      <w:r>
        <w:rPr>
          <w:rFonts w:hint="cs"/>
          <w:rtl/>
        </w:rPr>
        <w:t>ו</w:t>
      </w:r>
      <w:r w:rsidRPr="006552A3">
        <w:rPr>
          <w:rFonts w:hint="cs"/>
          <w:rtl/>
        </w:rPr>
        <w:t xml:space="preserve">אולי </w:t>
      </w:r>
      <w:r>
        <w:rPr>
          <w:rFonts w:hint="cs"/>
          <w:rtl/>
        </w:rPr>
        <w:t>הכוונה ב</w:t>
      </w:r>
      <w:r w:rsidRPr="006552A3">
        <w:rPr>
          <w:rFonts w:hint="cs"/>
          <w:rtl/>
        </w:rPr>
        <w:t>קשר והמשך הענינים</w:t>
      </w:r>
      <w:r>
        <w:rPr>
          <w:rFonts w:hint="cs"/>
          <w:rtl/>
        </w:rPr>
        <w:t>:</w:t>
      </w:r>
    </w:p>
    <w:p w14:paraId="14CB2153" w14:textId="77777777" w:rsidR="003375CC" w:rsidRDefault="003375CC" w:rsidP="00E60D97">
      <w:pPr>
        <w:pStyle w:val="a3"/>
        <w:rPr>
          <w:rtl/>
        </w:rPr>
      </w:pPr>
      <w:r>
        <w:rPr>
          <w:rFonts w:hint="cs"/>
          <w:rtl/>
        </w:rPr>
        <w:t xml:space="preserve">א) </w:t>
      </w:r>
      <w:r w:rsidRPr="006552A3">
        <w:rPr>
          <w:rFonts w:hint="cs"/>
          <w:rtl/>
        </w:rPr>
        <w:t xml:space="preserve">שהקישוטין די"ג מדה"ר שמאירים באלול הם דוגמת המקיף דאיזה בית אשר תבנו לי (שלמעלה מהאו"פ דתומ"צ שבכל השנה, שהו"ע השמים כסאי והארץ הדום רגלי), </w:t>
      </w:r>
      <w:r>
        <w:rPr>
          <w:rFonts w:hint="cs"/>
          <w:rtl/>
        </w:rPr>
        <w:t>ש</w:t>
      </w:r>
      <w:r w:rsidRPr="006552A3">
        <w:rPr>
          <w:rFonts w:hint="cs"/>
          <w:rtl/>
        </w:rPr>
        <w:t>המשכת</w:t>
      </w:r>
      <w:r>
        <w:rPr>
          <w:rFonts w:hint="cs"/>
          <w:rtl/>
        </w:rPr>
        <w:t>ו היא</w:t>
      </w:r>
      <w:r w:rsidRPr="006552A3">
        <w:rPr>
          <w:rFonts w:hint="cs"/>
          <w:rtl/>
        </w:rPr>
        <w:t xml:space="preserve"> ע"י הקדמת הביטול דבכתה גו' ירח ימים</w:t>
      </w:r>
      <w:r>
        <w:rPr>
          <w:rFonts w:hint="cs"/>
          <w:rtl/>
        </w:rPr>
        <w:t>,</w:t>
      </w:r>
      <w:r w:rsidRPr="006552A3">
        <w:rPr>
          <w:rFonts w:hint="cs"/>
          <w:rtl/>
        </w:rPr>
        <w:t xml:space="preserve"> דוגמת ענין </w:t>
      </w:r>
      <w:r>
        <w:rPr>
          <w:rFonts w:hint="cs"/>
          <w:rtl/>
        </w:rPr>
        <w:t>ד</w:t>
      </w:r>
      <w:r w:rsidRPr="006552A3">
        <w:rPr>
          <w:rFonts w:hint="cs"/>
          <w:rtl/>
        </w:rPr>
        <w:t>נכה רוח וחרד על דברי, שעל ידו נמשך ומתגלה המקיף דבית</w:t>
      </w:r>
      <w:r>
        <w:rPr>
          <w:rFonts w:hint="cs"/>
          <w:rtl/>
        </w:rPr>
        <w:t>.</w:t>
      </w:r>
    </w:p>
    <w:p w14:paraId="4FCA3A67" w14:textId="3BA0B351" w:rsidR="003375CC" w:rsidRDefault="003375CC" w:rsidP="00E60D97">
      <w:pPr>
        <w:pStyle w:val="a3"/>
        <w:rPr>
          <w:rtl/>
        </w:rPr>
      </w:pPr>
      <w:r>
        <w:rPr>
          <w:rFonts w:hint="cs"/>
          <w:rtl/>
        </w:rPr>
        <w:t>ב) כדי שהקישוטין לא יהיו רק באופן של הארות מבחוץ, אלא יאירו (</w:t>
      </w:r>
      <w:r w:rsidRPr="006552A3">
        <w:rPr>
          <w:rFonts w:hint="cs"/>
          <w:rtl/>
        </w:rPr>
        <w:t>ביוהכ"פ</w:t>
      </w:r>
      <w:r>
        <w:rPr>
          <w:rFonts w:hint="cs"/>
          <w:rtl/>
        </w:rPr>
        <w:t xml:space="preserve">) </w:t>
      </w:r>
      <w:r w:rsidRPr="006552A3">
        <w:rPr>
          <w:rFonts w:hint="cs"/>
          <w:rtl/>
        </w:rPr>
        <w:t>בבחי' עצמיות ממש,</w:t>
      </w:r>
      <w:r>
        <w:rPr>
          <w:rFonts w:hint="cs"/>
          <w:rtl/>
        </w:rPr>
        <w:t xml:space="preserve"> יש צורך בענין דהרועה בשושנים כהפי' ששונים בתורה, כמבואר באוה"ת שם שכ"ד קישוטי כלה נמשכים מכ"ד ספרי דאורייתא, שמצד שרשם בפנימיות רצונו ית' שלמעלה מהשתלשלות, פניך הוי', הם בחי' קישוטי כלה להמשיך בחי' פנימיות הלב לבוא לבחי' יפ"ת ויפ"מ הנ"ל [למעלה מבחי' התורה כפי שהיא </w:t>
      </w:r>
      <w:r>
        <w:rPr>
          <w:rFonts w:hint="cs"/>
          <w:rtl/>
        </w:rPr>
        <w:lastRenderedPageBreak/>
        <w:t xml:space="preserve">בכל השנה שהיא בבחי' השמים כסאי, כמשל האדם היושב על הכסא, שרק באחוריו נשפל לישב על הכסא, היינו, שכל בחי' החכמה שבתורה הוא רק כמו בחי' כד בלבד לגבי עצמיות ח"ע (כמבואר באוה"ת עקב שם)], וכנ"ל (ס"ג) שאותיות התורה הם הכלים שעל ידם יתקיים בו אור ה', שכולל גם שיהי' לא רק בבחי' קישוטין שהם הארות מבחוץ, אלא יאירו </w:t>
      </w:r>
      <w:r w:rsidRPr="006552A3">
        <w:rPr>
          <w:rFonts w:hint="cs"/>
          <w:rtl/>
        </w:rPr>
        <w:t>בבחי' עצמיות ממש</w:t>
      </w:r>
      <w:r>
        <w:rPr>
          <w:rFonts w:hint="cs"/>
          <w:rtl/>
        </w:rPr>
        <w:t xml:space="preserve"> (ועפ"ז יומתק שענין זה נעשה ביוהכ"פ, יום חתונתו, שניתנו בו לוחות אחרונות, לאחרי הקדמת הביטול דחקיקה כו' שבענין דפסל לך, כנ"ל ס"ב).</w:t>
      </w:r>
    </w:p>
    <w:p w14:paraId="255057FF" w14:textId="164C8989" w:rsidR="0072178A" w:rsidRDefault="0072178A" w:rsidP="00492226">
      <w:pPr>
        <w:pStyle w:val="M"/>
        <w:rPr>
          <w:rtl/>
        </w:rPr>
      </w:pPr>
      <w:r>
        <w:rPr>
          <w:noProof/>
        </w:rPr>
        <w:drawing>
          <wp:inline distT="0" distB="0" distL="0" distR="0" wp14:anchorId="11451394" wp14:editId="220CE132">
            <wp:extent cx="875763" cy="23404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92C6BF9" w14:textId="590C5AE8" w:rsidR="003375CC" w:rsidRDefault="003375CC" w:rsidP="003375CC">
      <w:pPr>
        <w:pStyle w:val="a0"/>
        <w:rPr>
          <w:rFonts w:ascii="Times New Roman" w:hAnsi="Times New Roman"/>
          <w:rtl/>
        </w:rPr>
      </w:pPr>
      <w:bookmarkStart w:id="110" w:name="_Toc81540396"/>
      <w:r>
        <w:rPr>
          <w:rtl/>
        </w:rPr>
        <w:t>להנזר ממלחמת תנופה</w:t>
      </w:r>
      <w:bookmarkEnd w:id="110"/>
    </w:p>
    <w:p w14:paraId="28370687" w14:textId="5821FB4C" w:rsidR="003375CC" w:rsidRDefault="00E60D97" w:rsidP="0046124A">
      <w:pPr>
        <w:pStyle w:val="a"/>
        <w:rPr>
          <w:rFonts w:ascii="Times New Roman" w:eastAsia="Times New Roman" w:hAnsi="Times New Roman"/>
          <w:rtl/>
        </w:rPr>
      </w:pPr>
      <w:bookmarkStart w:id="111" w:name="_Toc81540397"/>
      <w:r>
        <w:rPr>
          <w:rFonts w:hint="cs"/>
          <w:rtl/>
        </w:rPr>
        <w:t xml:space="preserve">הרב </w:t>
      </w:r>
      <w:r w:rsidR="003375CC">
        <w:rPr>
          <w:rtl/>
        </w:rPr>
        <w:t>שמחה</w:t>
      </w:r>
      <w:r w:rsidR="003375CC">
        <w:rPr>
          <w:rFonts w:hint="cs"/>
          <w:rtl/>
        </w:rPr>
        <w:t xml:space="preserve"> </w:t>
      </w:r>
      <w:r w:rsidR="003375CC">
        <w:rPr>
          <w:rtl/>
        </w:rPr>
        <w:t>אלכסנדר פרענד</w:t>
      </w:r>
      <w:bookmarkEnd w:id="111"/>
    </w:p>
    <w:p w14:paraId="62021F11" w14:textId="77777777" w:rsidR="003375CC" w:rsidRDefault="003375CC" w:rsidP="003375CC">
      <w:pPr>
        <w:pStyle w:val="Default"/>
        <w:bidi/>
        <w:jc w:val="center"/>
        <w:rPr>
          <w:rFonts w:ascii="Times New Roman" w:eastAsia="Times New Roman" w:hAnsi="Times New Roman" w:cs="Times New Roman"/>
          <w:rtl/>
        </w:rPr>
      </w:pPr>
      <w:r>
        <w:rPr>
          <w:rFonts w:ascii="Times New Roman" w:hAnsi="Times New Roman"/>
          <w:rtl/>
        </w:rPr>
        <w:t xml:space="preserve">                                                                                                                    </w:t>
      </w:r>
    </w:p>
    <w:p w14:paraId="5E203295" w14:textId="606201EB" w:rsidR="003375CC" w:rsidRDefault="003375CC" w:rsidP="00E60D97">
      <w:pPr>
        <w:pStyle w:val="a3"/>
        <w:rPr>
          <w:rFonts w:ascii="Times New Roman" w:eastAsia="Times New Roman" w:hAnsi="Times New Roman"/>
          <w:rtl/>
        </w:rPr>
      </w:pPr>
      <w:r>
        <w:rPr>
          <w:rtl/>
        </w:rPr>
        <w:t>בהיום יום יד אלול מובא</w:t>
      </w:r>
      <w:r>
        <w:rPr>
          <w:rFonts w:ascii="Times New Roman" w:hAnsi="Times New Roman"/>
          <w:rtl/>
        </w:rPr>
        <w:t xml:space="preserve">: </w:t>
      </w:r>
      <w:r>
        <w:rPr>
          <w:rtl/>
        </w:rPr>
        <w:t>״מהוראות אאמו״ר להנזר ממלחמת תנופה עד קצה האחרון לא מפני שאין לנו במה לנצח או מפני מורך לב אלא מפני שאת כל כוחותינו עלינו להקדיש אך ורק לחיזוק בנינינו בנין התורה והמצות בקדושה ובטהרה ועל זה עלינו למסור את נפשותינו במס״נ בפועל ולא רק בכח״</w:t>
      </w:r>
      <w:r>
        <w:rPr>
          <w:rFonts w:ascii="Times New Roman" w:hAnsi="Times New Roman"/>
          <w:rtl/>
        </w:rPr>
        <w:t>.</w:t>
      </w:r>
    </w:p>
    <w:p w14:paraId="2A03B4D4" w14:textId="2AF08344" w:rsidR="003375CC" w:rsidRDefault="003375CC" w:rsidP="00E60D97">
      <w:pPr>
        <w:pStyle w:val="a3"/>
        <w:rPr>
          <w:rFonts w:ascii="Times New Roman" w:eastAsia="Times New Roman" w:hAnsi="Times New Roman"/>
          <w:rtl/>
        </w:rPr>
      </w:pPr>
      <w:r>
        <w:rPr>
          <w:rtl/>
        </w:rPr>
        <w:t>ישנם שהבינו ש״מלחמת תנופה״ שמהוראות הרבי הרש״ב להנזר ממנה</w:t>
      </w:r>
      <w:r>
        <w:rPr>
          <w:rFonts w:ascii="Times New Roman" w:hAnsi="Times New Roman"/>
          <w:rtl/>
        </w:rPr>
        <w:t xml:space="preserve"> </w:t>
      </w:r>
      <w:r>
        <w:rPr>
          <w:rtl/>
        </w:rPr>
        <w:t>היינו הפצת תורה ויהדות בקרב יהודים שאינם שומרים תומ״צ ולקרבם לקיום תומ״צ</w:t>
      </w:r>
      <w:r>
        <w:rPr>
          <w:rFonts w:ascii="Times New Roman" w:hAnsi="Times New Roman"/>
          <w:rtl/>
        </w:rPr>
        <w:t xml:space="preserve">, </w:t>
      </w:r>
      <w:r>
        <w:rPr>
          <w:rtl/>
        </w:rPr>
        <w:t>באופן של ופרצת</w:t>
      </w:r>
      <w:r>
        <w:rPr>
          <w:rFonts w:ascii="Times New Roman" w:hAnsi="Times New Roman"/>
          <w:lang w:val="en-US"/>
        </w:rPr>
        <w:t xml:space="preserve"> </w:t>
      </w:r>
      <w:r>
        <w:rPr>
          <w:rtl/>
        </w:rPr>
        <w:t>ומלחמת תנופה וכו׳</w:t>
      </w:r>
      <w:r>
        <w:rPr>
          <w:rFonts w:ascii="Times New Roman" w:hAnsi="Times New Roman"/>
          <w:rtl/>
        </w:rPr>
        <w:t>,</w:t>
      </w:r>
      <w:r>
        <w:rPr>
          <w:rFonts w:ascii="Times New Roman" w:eastAsia="Times New Roman" w:hAnsi="Times New Roman"/>
          <w:vertAlign w:val="superscript"/>
          <w:rtl/>
        </w:rPr>
        <w:footnoteReference w:id="11"/>
      </w:r>
      <w:r>
        <w:rPr>
          <w:rtl/>
        </w:rPr>
        <w:t xml:space="preserve"> ולכן הסיקו שעבודתו ופעולתו של רבינו זי״ע בזה</w:t>
      </w:r>
      <w:r>
        <w:rPr>
          <w:rFonts w:ascii="Times New Roman" w:hAnsi="Times New Roman"/>
          <w:rtl/>
        </w:rPr>
        <w:t xml:space="preserve">, </w:t>
      </w:r>
      <w:r>
        <w:rPr>
          <w:rtl/>
        </w:rPr>
        <w:t>היה בזה, מבחינה מסויימת, אף חידוש לכאורה בשיטה לגבי הגישה המוזכרת בהיום יום הנ״ל</w:t>
      </w:r>
      <w:r>
        <w:rPr>
          <w:rFonts w:ascii="Times New Roman" w:hAnsi="Times New Roman"/>
          <w:rtl/>
        </w:rPr>
        <w:t xml:space="preserve">, </w:t>
      </w:r>
      <w:r>
        <w:rPr>
          <w:rtl/>
        </w:rPr>
        <w:t>ועד כדי כך שקבע</w:t>
      </w:r>
      <w:r>
        <w:rPr>
          <w:rFonts w:ascii="Times New Roman" w:hAnsi="Times New Roman"/>
          <w:rtl/>
        </w:rPr>
        <w:t>:</w:t>
      </w:r>
      <w:r>
        <w:rPr>
          <w:rFonts w:ascii="Times New Roman" w:eastAsia="Times New Roman" w:hAnsi="Times New Roman"/>
          <w:vertAlign w:val="superscript"/>
          <w:rtl/>
        </w:rPr>
        <w:footnoteReference w:id="12"/>
      </w:r>
      <w:r>
        <w:rPr>
          <w:rtl/>
        </w:rPr>
        <w:t xml:space="preserve"> ״שכבר לא תקפה הקביעה שצריכים להנזר ממלחמת תנופה״</w:t>
      </w:r>
      <w:r>
        <w:rPr>
          <w:rFonts w:ascii="Times New Roman" w:hAnsi="Times New Roman"/>
          <w:rtl/>
        </w:rPr>
        <w:t>.</w:t>
      </w:r>
    </w:p>
    <w:p w14:paraId="6B3CEAF3" w14:textId="77777777" w:rsidR="003375CC" w:rsidRDefault="003375CC" w:rsidP="00E60D97">
      <w:pPr>
        <w:pStyle w:val="a3"/>
        <w:rPr>
          <w:rFonts w:ascii="Times New Roman" w:eastAsia="Times New Roman" w:hAnsi="Times New Roman"/>
          <w:rtl/>
        </w:rPr>
      </w:pPr>
      <w:r>
        <w:rPr>
          <w:rtl/>
        </w:rPr>
        <w:t>ויש שהקשו</w:t>
      </w:r>
      <w:r>
        <w:rPr>
          <w:rFonts w:ascii="Times New Roman" w:eastAsia="Times New Roman" w:hAnsi="Times New Roman"/>
          <w:vertAlign w:val="superscript"/>
          <w:rtl/>
        </w:rPr>
        <w:footnoteReference w:id="13"/>
      </w:r>
      <w:r>
        <w:rPr>
          <w:rtl/>
        </w:rPr>
        <w:t xml:space="preserve"> ממה שדיבר רבינו זי״ע כו״כ פעמים במעלת מלחמת תנופה כמו </w:t>
      </w:r>
      <w:r>
        <w:rPr>
          <w:rtl/>
        </w:rPr>
        <w:lastRenderedPageBreak/>
        <w:t>בהתוועדות שבה״ש תשי״ז</w:t>
      </w:r>
      <w:r>
        <w:rPr>
          <w:rFonts w:ascii="Times New Roman" w:eastAsia="Times New Roman" w:hAnsi="Times New Roman"/>
          <w:vertAlign w:val="superscript"/>
          <w:rtl/>
        </w:rPr>
        <w:footnoteReference w:id="14"/>
      </w:r>
      <w:r>
        <w:rPr>
          <w:rFonts w:ascii="Times New Roman" w:hAnsi="Times New Roman"/>
          <w:rtl/>
        </w:rPr>
        <w:t xml:space="preserve"> : </w:t>
      </w:r>
      <w:r>
        <w:rPr>
          <w:rtl/>
        </w:rPr>
        <w:t>וככל הדברים האלה וככל החזיון הזה הוא במלחמת היצ</w:t>
      </w:r>
      <w:r>
        <w:rPr>
          <w:rFonts w:ascii="Times New Roman" w:hAnsi="Times New Roman"/>
          <w:lang w:val="ru-RU"/>
        </w:rPr>
        <w:t>"</w:t>
      </w:r>
      <w:r>
        <w:rPr>
          <w:rtl/>
        </w:rPr>
        <w:t>ט עם היצה</w:t>
      </w:r>
      <w:r>
        <w:rPr>
          <w:rFonts w:ascii="Times New Roman" w:hAnsi="Times New Roman"/>
          <w:rtl/>
        </w:rPr>
        <w:t>“</w:t>
      </w:r>
      <w:r>
        <w:rPr>
          <w:rtl/>
        </w:rPr>
        <w:t>ר</w:t>
      </w:r>
      <w:r>
        <w:rPr>
          <w:rFonts w:ascii="Times New Roman" w:hAnsi="Times New Roman"/>
          <w:rtl/>
        </w:rPr>
        <w:t>,</w:t>
      </w:r>
      <w:r>
        <w:rPr>
          <w:rtl/>
        </w:rPr>
        <w:t xml:space="preserve"> ובמלחמת היראים </w:t>
      </w:r>
      <w:r>
        <w:rPr>
          <w:rFonts w:ascii="Times New Roman" w:hAnsi="Times New Roman"/>
          <w:rtl/>
        </w:rPr>
        <w:t xml:space="preserve">- </w:t>
      </w:r>
      <w:r>
        <w:rPr>
          <w:rtl/>
        </w:rPr>
        <w:t>בדרכי נועם ובדרכי תורה</w:t>
      </w:r>
      <w:r>
        <w:rPr>
          <w:rFonts w:ascii="Times New Roman" w:hAnsi="Times New Roman"/>
          <w:rtl/>
        </w:rPr>
        <w:t xml:space="preserve"> -</w:t>
      </w:r>
      <w:r>
        <w:rPr>
          <w:rtl/>
        </w:rPr>
        <w:t xml:space="preserve"> עם אלו החפשים לעת עתה</w:t>
      </w:r>
      <w:r>
        <w:rPr>
          <w:rFonts w:ascii="Times New Roman" w:hAnsi="Times New Roman"/>
          <w:rtl/>
        </w:rPr>
        <w:t xml:space="preserve"> - </w:t>
      </w:r>
      <w:r>
        <w:rPr>
          <w:rtl/>
        </w:rPr>
        <w:t>שיש בזה שתי אופנים ודרכים</w:t>
      </w:r>
      <w:r>
        <w:rPr>
          <w:rFonts w:ascii="Times New Roman" w:hAnsi="Times New Roman"/>
          <w:rtl/>
        </w:rPr>
        <w:t>:</w:t>
      </w:r>
      <w:r>
        <w:rPr>
          <w:rtl/>
        </w:rPr>
        <w:t xml:space="preserve"> מלחמת הגנה ומלחמת תנופה</w:t>
      </w:r>
      <w:r>
        <w:rPr>
          <w:rFonts w:ascii="Times New Roman" w:hAnsi="Times New Roman"/>
          <w:rtl/>
        </w:rPr>
        <w:t>.</w:t>
      </w:r>
    </w:p>
    <w:p w14:paraId="1B0E667D" w14:textId="77777777" w:rsidR="003375CC" w:rsidRDefault="003375CC" w:rsidP="00E60D97">
      <w:pPr>
        <w:pStyle w:val="a3"/>
        <w:rPr>
          <w:rFonts w:ascii="Times New Roman" w:eastAsia="Times New Roman" w:hAnsi="Times New Roman"/>
          <w:rtl/>
        </w:rPr>
      </w:pPr>
      <w:r>
        <w:rPr>
          <w:rtl/>
        </w:rPr>
        <w:t>מלחמת הגנה היא</w:t>
      </w:r>
      <w:r>
        <w:rPr>
          <w:rFonts w:ascii="Times New Roman" w:hAnsi="Times New Roman"/>
          <w:rtl/>
        </w:rPr>
        <w:t>:</w:t>
      </w:r>
      <w:r>
        <w:rPr>
          <w:rtl/>
        </w:rPr>
        <w:t xml:space="preserve"> כאשר החפשים הולכים לצוד נפשות למחנם</w:t>
      </w:r>
      <w:r>
        <w:rPr>
          <w:rFonts w:ascii="Times New Roman" w:hAnsi="Times New Roman"/>
          <w:rtl/>
        </w:rPr>
        <w:t>,</w:t>
      </w:r>
      <w:r>
        <w:rPr>
          <w:rtl/>
        </w:rPr>
        <w:t xml:space="preserve"> אזי מתאספים ומטכסים עצה איך לעמוד נגדם</w:t>
      </w:r>
      <w:r>
        <w:rPr>
          <w:rFonts w:ascii="Times New Roman" w:hAnsi="Times New Roman"/>
          <w:rtl/>
        </w:rPr>
        <w:t xml:space="preserve">. </w:t>
      </w:r>
    </w:p>
    <w:p w14:paraId="127E86C8" w14:textId="77777777" w:rsidR="003375CC" w:rsidRDefault="003375CC" w:rsidP="00E60D97">
      <w:pPr>
        <w:pStyle w:val="a3"/>
        <w:rPr>
          <w:rFonts w:ascii="Times New Roman" w:eastAsia="Times New Roman" w:hAnsi="Times New Roman"/>
          <w:rtl/>
        </w:rPr>
      </w:pPr>
      <w:r>
        <w:rPr>
          <w:rtl/>
        </w:rPr>
        <w:t>מלחמת תנופה היא</w:t>
      </w:r>
      <w:r>
        <w:rPr>
          <w:rFonts w:ascii="Times New Roman" w:hAnsi="Times New Roman"/>
          <w:rtl/>
        </w:rPr>
        <w:t>:</w:t>
      </w:r>
      <w:r>
        <w:rPr>
          <w:rtl/>
        </w:rPr>
        <w:t xml:space="preserve"> אין</w:t>
      </w:r>
      <w:r>
        <w:rPr>
          <w:rFonts w:ascii="Times New Roman" w:hAnsi="Times New Roman"/>
          <w:rtl/>
        </w:rPr>
        <w:t xml:space="preserve"> </w:t>
      </w:r>
      <w:r>
        <w:rPr>
          <w:rtl/>
        </w:rPr>
        <w:t>מחכים עד אשר הם יתחילו ללחום אלא אדרבה הולכים למחנם ומאירים שם באור התורה והמצוה וצדים מהם נפשות לקרבם לאביהם שבשמים״</w:t>
      </w:r>
      <w:r>
        <w:rPr>
          <w:rFonts w:ascii="Times New Roman" w:hAnsi="Times New Roman"/>
          <w:rtl/>
        </w:rPr>
        <w:t>.</w:t>
      </w:r>
    </w:p>
    <w:p w14:paraId="3603CBAC" w14:textId="618D2E8C" w:rsidR="003375CC" w:rsidRDefault="003375CC" w:rsidP="00E60D97">
      <w:pPr>
        <w:pStyle w:val="a3"/>
        <w:rPr>
          <w:rFonts w:ascii="Times New Roman" w:eastAsia="Times New Roman" w:hAnsi="Times New Roman"/>
          <w:rtl/>
        </w:rPr>
      </w:pPr>
      <w:r>
        <w:rPr>
          <w:rtl/>
        </w:rPr>
        <w:t>וביאר באריכות את מעלת מלחמת תנופה וכו</w:t>
      </w:r>
      <w:r>
        <w:rPr>
          <w:rFonts w:ascii="Times New Roman" w:hAnsi="Times New Roman"/>
          <w:rtl/>
        </w:rPr>
        <w:t xml:space="preserve">’ </w:t>
      </w:r>
      <w:r>
        <w:rPr>
          <w:rtl/>
        </w:rPr>
        <w:t>עיין שם</w:t>
      </w:r>
      <w:r>
        <w:rPr>
          <w:rFonts w:ascii="Times New Roman" w:hAnsi="Times New Roman"/>
          <w:rtl/>
        </w:rPr>
        <w:t>.</w:t>
      </w:r>
    </w:p>
    <w:p w14:paraId="4AA95ECC" w14:textId="77777777" w:rsidR="003375CC" w:rsidRDefault="003375CC" w:rsidP="00E60D97">
      <w:pPr>
        <w:pStyle w:val="a3"/>
        <w:rPr>
          <w:rFonts w:ascii="Times New Roman" w:eastAsia="Times New Roman" w:hAnsi="Times New Roman"/>
          <w:rtl/>
        </w:rPr>
      </w:pPr>
      <w:r>
        <w:rPr>
          <w:rtl/>
        </w:rPr>
        <w:t xml:space="preserve"> וכעין הדברים האלו דיבר גם בהתוועדות ש״פ בראשית תשכ״ח</w:t>
      </w:r>
      <w:r>
        <w:rPr>
          <w:rFonts w:ascii="Times New Roman" w:eastAsia="Times New Roman" w:hAnsi="Times New Roman"/>
          <w:vertAlign w:val="superscript"/>
          <w:rtl/>
        </w:rPr>
        <w:footnoteReference w:id="15"/>
      </w:r>
      <w:r>
        <w:rPr>
          <w:rFonts w:ascii="Times New Roman" w:hAnsi="Times New Roman"/>
          <w:rtl/>
        </w:rPr>
        <w:t xml:space="preserve">, </w:t>
      </w:r>
      <w:r>
        <w:rPr>
          <w:rtl/>
        </w:rPr>
        <w:t>ובעוד כמה מקומות    באגרותיו</w:t>
      </w:r>
      <w:r>
        <w:rPr>
          <w:rFonts w:ascii="Times New Roman" w:eastAsia="Times New Roman" w:hAnsi="Times New Roman"/>
          <w:vertAlign w:val="superscript"/>
          <w:rtl/>
        </w:rPr>
        <w:footnoteReference w:id="16"/>
      </w:r>
      <w:r>
        <w:rPr>
          <w:rFonts w:ascii="Times New Roman" w:hAnsi="Times New Roman"/>
          <w:rtl/>
        </w:rPr>
        <w:t xml:space="preserve">. </w:t>
      </w:r>
    </w:p>
    <w:p w14:paraId="7C47BECC" w14:textId="003F9BA3" w:rsidR="003375CC" w:rsidRDefault="003375CC" w:rsidP="00E60D97">
      <w:pPr>
        <w:pStyle w:val="a3"/>
        <w:rPr>
          <w:rFonts w:ascii="Times New Roman" w:eastAsia="Times New Roman" w:hAnsi="Times New Roman"/>
          <w:rtl/>
        </w:rPr>
      </w:pPr>
      <w:r>
        <w:rPr>
          <w:rtl/>
        </w:rPr>
        <w:t>והנה מקור פתגם זה הוא</w:t>
      </w:r>
      <w:r>
        <w:rPr>
          <w:rFonts w:ascii="Times New Roman" w:eastAsia="Times New Roman" w:hAnsi="Times New Roman"/>
          <w:vertAlign w:val="superscript"/>
          <w:rtl/>
        </w:rPr>
        <w:footnoteReference w:id="17"/>
      </w:r>
      <w:r>
        <w:rPr>
          <w:rtl/>
        </w:rPr>
        <w:t xml:space="preserve"> ממה שכתב</w:t>
      </w:r>
      <w:r>
        <w:rPr>
          <w:rFonts w:ascii="Times New Roman" w:eastAsia="Times New Roman" w:hAnsi="Times New Roman"/>
          <w:vertAlign w:val="superscript"/>
          <w:rtl/>
        </w:rPr>
        <w:footnoteReference w:id="18"/>
      </w:r>
      <w:r>
        <w:rPr>
          <w:rtl/>
        </w:rPr>
        <w:t xml:space="preserve"> כ</w:t>
      </w:r>
      <w:r>
        <w:rPr>
          <w:rFonts w:ascii="Times New Roman" w:hAnsi="Times New Roman"/>
          <w:lang w:val="ru-RU"/>
        </w:rPr>
        <w:t>"</w:t>
      </w:r>
      <w:r>
        <w:rPr>
          <w:rtl/>
        </w:rPr>
        <w:t>ק אדמו</w:t>
      </w:r>
      <w:r>
        <w:rPr>
          <w:rFonts w:ascii="Times New Roman" w:hAnsi="Times New Roman"/>
          <w:lang w:val="ru-RU"/>
        </w:rPr>
        <w:t>"</w:t>
      </w:r>
      <w:r>
        <w:rPr>
          <w:rtl/>
        </w:rPr>
        <w:t>ר מהוריי</w:t>
      </w:r>
      <w:r>
        <w:rPr>
          <w:rFonts w:ascii="Times New Roman" w:hAnsi="Times New Roman"/>
          <w:rtl/>
        </w:rPr>
        <w:t>“</w:t>
      </w:r>
      <w:r>
        <w:rPr>
          <w:rtl/>
        </w:rPr>
        <w:t>צ להרה</w:t>
      </w:r>
      <w:r>
        <w:rPr>
          <w:rFonts w:ascii="Times New Roman" w:hAnsi="Times New Roman"/>
          <w:lang w:val="ru-RU"/>
        </w:rPr>
        <w:t>"</w:t>
      </w:r>
      <w:r>
        <w:rPr>
          <w:rtl/>
        </w:rPr>
        <w:t>ג ר'</w:t>
      </w:r>
      <w:r>
        <w:rPr>
          <w:rFonts w:ascii="Times New Roman" w:hAnsi="Times New Roman"/>
          <w:lang w:val="ru-RU"/>
        </w:rPr>
        <w:t xml:space="preserve"> </w:t>
      </w:r>
      <w:r>
        <w:rPr>
          <w:rtl/>
        </w:rPr>
        <w:t>יצחק אייזיק</w:t>
      </w:r>
      <w:r>
        <w:rPr>
          <w:rFonts w:ascii="Times New Roman" w:hAnsi="Times New Roman"/>
          <w:rtl/>
        </w:rPr>
        <w:t xml:space="preserve"> </w:t>
      </w:r>
      <w:r>
        <w:rPr>
          <w:rtl/>
        </w:rPr>
        <w:t>הלוי הרצוג</w:t>
      </w:r>
      <w:r>
        <w:rPr>
          <w:rFonts w:ascii="Times New Roman" w:hAnsi="Times New Roman"/>
          <w:rtl/>
        </w:rPr>
        <w:t xml:space="preserve">: </w:t>
      </w:r>
    </w:p>
    <w:p w14:paraId="40C85480" w14:textId="23426979" w:rsidR="003375CC" w:rsidRDefault="003375CC" w:rsidP="00E60D97">
      <w:pPr>
        <w:pStyle w:val="a3"/>
        <w:rPr>
          <w:rFonts w:ascii="Times New Roman" w:eastAsia="Times New Roman" w:hAnsi="Times New Roman"/>
          <w:rtl/>
        </w:rPr>
      </w:pPr>
      <w:r>
        <w:rPr>
          <w:rtl/>
        </w:rPr>
        <w:t>״</w:t>
      </w:r>
      <w:r>
        <w:rPr>
          <w:rFonts w:ascii="Times New Roman" w:hAnsi="Times New Roman"/>
          <w:rtl/>
        </w:rPr>
        <w:t>…</w:t>
      </w:r>
      <w:r>
        <w:rPr>
          <w:rtl/>
        </w:rPr>
        <w:t>איני יודע אם ידוע לכבוד ידידי אשר גם לגודל עוצם קנאתי בתור קיצוני וימני גמור</w:t>
      </w:r>
      <w:r>
        <w:rPr>
          <w:rFonts w:ascii="Times New Roman" w:hAnsi="Times New Roman"/>
          <w:rtl/>
        </w:rPr>
        <w:t>,</w:t>
      </w:r>
      <w:r>
        <w:rPr>
          <w:rtl/>
        </w:rPr>
        <w:t xml:space="preserve"> הרואה את הדרת ישראל רק בנושנות בין במנהגים בין בהנהגות</w:t>
      </w:r>
      <w:r>
        <w:rPr>
          <w:rFonts w:ascii="Times New Roman" w:hAnsi="Times New Roman"/>
          <w:rtl/>
        </w:rPr>
        <w:t>,</w:t>
      </w:r>
      <w:r>
        <w:rPr>
          <w:rtl/>
        </w:rPr>
        <w:t xml:space="preserve"> הנה אינני בכל זה מן המהרסים ומחריבים בניני אחרים</w:t>
      </w:r>
      <w:r>
        <w:rPr>
          <w:rFonts w:ascii="Times New Roman" w:hAnsi="Times New Roman"/>
          <w:rtl/>
        </w:rPr>
        <w:t>.</w:t>
      </w:r>
      <w:r>
        <w:rPr>
          <w:rtl/>
        </w:rPr>
        <w:t xml:space="preserve"> כי כן חונכתי במשך עשרים וחמש שנים מאת הוד כ</w:t>
      </w:r>
      <w:r>
        <w:rPr>
          <w:rFonts w:ascii="Times New Roman" w:hAnsi="Times New Roman"/>
          <w:lang w:val="ru-RU"/>
        </w:rPr>
        <w:t>"</w:t>
      </w:r>
      <w:r>
        <w:rPr>
          <w:rtl/>
        </w:rPr>
        <w:t>ק אאמו</w:t>
      </w:r>
      <w:r>
        <w:rPr>
          <w:rFonts w:ascii="Times New Roman" w:hAnsi="Times New Roman"/>
          <w:lang w:val="ru-RU"/>
        </w:rPr>
        <w:t>"</w:t>
      </w:r>
      <w:r>
        <w:rPr>
          <w:rtl/>
        </w:rPr>
        <w:t>ר הרה</w:t>
      </w:r>
      <w:r>
        <w:rPr>
          <w:rFonts w:ascii="Times New Roman" w:hAnsi="Times New Roman"/>
          <w:lang w:val="ru-RU"/>
        </w:rPr>
        <w:t>"</w:t>
      </w:r>
      <w:r>
        <w:rPr>
          <w:rtl/>
        </w:rPr>
        <w:t>ק אביר הרועים</w:t>
      </w:r>
      <w:r>
        <w:rPr>
          <w:rFonts w:ascii="Times New Roman" w:hAnsi="Times New Roman"/>
          <w:rtl/>
        </w:rPr>
        <w:t>:</w:t>
      </w:r>
    </w:p>
    <w:p w14:paraId="2551E1C1" w14:textId="45D515B5" w:rsidR="003375CC" w:rsidRPr="003375CC" w:rsidRDefault="003375CC" w:rsidP="00E60D97">
      <w:pPr>
        <w:pStyle w:val="a3"/>
        <w:rPr>
          <w:rFonts w:ascii="Times New Roman" w:eastAsia="Times New Roman" w:hAnsi="Times New Roman"/>
          <w:rtl/>
        </w:rPr>
      </w:pPr>
      <w:r>
        <w:rPr>
          <w:rtl/>
        </w:rPr>
        <w:t xml:space="preserve"> להנזר ממלחמת תנופה עד הקצה האחרון לא מפני שאין לנו במה לנצח או מפני מורך לב אלא מפני שאת כל כחותינו עלינו להקדיש אך ורק על חיזוק בנינינו בנין התורה והמצות בקדושה ובטהרה ועל זה עלינו למסור את נפשותינו במסירת נפש בפועל ולא רק בכח</w:t>
      </w:r>
      <w:r>
        <w:rPr>
          <w:rFonts w:ascii="Times New Roman" w:hAnsi="Times New Roman"/>
          <w:rtl/>
        </w:rPr>
        <w:t xml:space="preserve">.  </w:t>
      </w:r>
    </w:p>
    <w:p w14:paraId="4A3990E0" w14:textId="1AAEA54F" w:rsidR="003375CC" w:rsidRDefault="003375CC" w:rsidP="00E60D97">
      <w:pPr>
        <w:pStyle w:val="a3"/>
        <w:rPr>
          <w:rFonts w:ascii="Times New Roman" w:eastAsia="Times New Roman" w:hAnsi="Times New Roman"/>
          <w:rtl/>
        </w:rPr>
      </w:pPr>
      <w:r>
        <w:rPr>
          <w:rtl/>
        </w:rPr>
        <w:t>עד כמה קיימתי מצות הוד כ</w:t>
      </w:r>
      <w:r>
        <w:rPr>
          <w:rFonts w:ascii="Times New Roman" w:hAnsi="Times New Roman"/>
          <w:lang w:val="ru-RU"/>
        </w:rPr>
        <w:t>"</w:t>
      </w:r>
      <w:r>
        <w:rPr>
          <w:rtl/>
        </w:rPr>
        <w:t>ק אאמו</w:t>
      </w:r>
      <w:r>
        <w:rPr>
          <w:rFonts w:ascii="Times New Roman" w:hAnsi="Times New Roman"/>
          <w:lang w:val="ru-RU"/>
        </w:rPr>
        <w:t>"</w:t>
      </w:r>
      <w:r>
        <w:rPr>
          <w:rtl/>
        </w:rPr>
        <w:t>ר הרה</w:t>
      </w:r>
      <w:r>
        <w:rPr>
          <w:rFonts w:ascii="Times New Roman" w:hAnsi="Times New Roman"/>
          <w:lang w:val="ru-RU"/>
        </w:rPr>
        <w:t>"</w:t>
      </w:r>
      <w:r>
        <w:rPr>
          <w:rtl/>
        </w:rPr>
        <w:t>ק בהנוגע ל״ועשה טוב״ במסירת נפש להגן ולחזק</w:t>
      </w:r>
      <w:r>
        <w:rPr>
          <w:rFonts w:ascii="Arial" w:hAnsi="Arial"/>
          <w:rtl/>
        </w:rPr>
        <w:t xml:space="preserve"> </w:t>
      </w:r>
      <w:r>
        <w:rPr>
          <w:rtl/>
        </w:rPr>
        <w:t>את בנין התורה והמצות בקדושה ובטהרה</w:t>
      </w:r>
      <w:r>
        <w:rPr>
          <w:rFonts w:ascii="Times New Roman" w:hAnsi="Times New Roman"/>
          <w:rtl/>
        </w:rPr>
        <w:t xml:space="preserve"> -</w:t>
      </w:r>
      <w:r>
        <w:rPr>
          <w:rtl/>
        </w:rPr>
        <w:t xml:space="preserve"> לא אדע</w:t>
      </w:r>
      <w:r>
        <w:rPr>
          <w:rFonts w:ascii="Times New Roman" w:hAnsi="Times New Roman"/>
          <w:rtl/>
        </w:rPr>
        <w:t>.</w:t>
      </w:r>
      <w:r>
        <w:rPr>
          <w:rtl/>
        </w:rPr>
        <w:t xml:space="preserve"> בודאי החסרתי מזה שהי</w:t>
      </w:r>
      <w:r>
        <w:rPr>
          <w:rFonts w:ascii="Times New Roman" w:hAnsi="Times New Roman"/>
          <w:lang w:val="ru-RU"/>
        </w:rPr>
        <w:t xml:space="preserve">' </w:t>
      </w:r>
      <w:r>
        <w:rPr>
          <w:rtl/>
        </w:rPr>
        <w:t>ביכלתי לעשות</w:t>
      </w:r>
      <w:r>
        <w:rPr>
          <w:rFonts w:ascii="Times New Roman" w:hAnsi="Times New Roman"/>
          <w:rtl/>
        </w:rPr>
        <w:t>,</w:t>
      </w:r>
      <w:r>
        <w:rPr>
          <w:rtl/>
        </w:rPr>
        <w:t xml:space="preserve"> ותשובה מועלת</w:t>
      </w:r>
      <w:r>
        <w:rPr>
          <w:rFonts w:ascii="Times New Roman" w:hAnsi="Times New Roman"/>
          <w:rtl/>
        </w:rPr>
        <w:t>.</w:t>
      </w:r>
    </w:p>
    <w:p w14:paraId="15BA9A21" w14:textId="39089866" w:rsidR="003375CC" w:rsidRDefault="003375CC" w:rsidP="00E60D97">
      <w:pPr>
        <w:pStyle w:val="a3"/>
        <w:rPr>
          <w:rFonts w:ascii="Times New Roman" w:eastAsia="Times New Roman" w:hAnsi="Times New Roman"/>
          <w:rtl/>
        </w:rPr>
      </w:pPr>
      <w:r>
        <w:rPr>
          <w:rtl/>
        </w:rPr>
        <w:t xml:space="preserve"> אבל את הסור מרע קיימתי</w:t>
      </w:r>
      <w:r>
        <w:rPr>
          <w:rFonts w:ascii="Times New Roman" w:hAnsi="Times New Roman"/>
          <w:rtl/>
        </w:rPr>
        <w:t>.</w:t>
      </w:r>
      <w:r>
        <w:rPr>
          <w:rtl/>
        </w:rPr>
        <w:t xml:space="preserve"> ובכל מעשה התעתועים הנעשים ע</w:t>
      </w:r>
      <w:r>
        <w:rPr>
          <w:rFonts w:ascii="Times New Roman" w:hAnsi="Times New Roman"/>
          <w:lang w:val="ru-RU"/>
        </w:rPr>
        <w:t>"</w:t>
      </w:r>
      <w:r>
        <w:rPr>
          <w:rtl/>
        </w:rPr>
        <w:t xml:space="preserve">י הציונים </w:t>
      </w:r>
      <w:r>
        <w:rPr>
          <w:rtl/>
        </w:rPr>
        <w:lastRenderedPageBreak/>
        <w:t>הכופרים וחבריהם הנמשכים אחריהם</w:t>
      </w:r>
      <w:r>
        <w:rPr>
          <w:rFonts w:ascii="Times New Roman" w:hAnsi="Times New Roman"/>
          <w:rtl/>
        </w:rPr>
        <w:t>,</w:t>
      </w:r>
      <w:r>
        <w:rPr>
          <w:rtl/>
        </w:rPr>
        <w:t xml:space="preserve"> הנה כל כמה שלבבי כאב לראות את חילול הקדש</w:t>
      </w:r>
      <w:r>
        <w:rPr>
          <w:rFonts w:ascii="Times New Roman" w:hAnsi="Times New Roman"/>
          <w:rtl/>
        </w:rPr>
        <w:t>,</w:t>
      </w:r>
      <w:r>
        <w:rPr>
          <w:rtl/>
        </w:rPr>
        <w:t xml:space="preserve"> התורה והיהדות</w:t>
      </w:r>
      <w:r>
        <w:rPr>
          <w:rFonts w:ascii="Times New Roman" w:hAnsi="Times New Roman"/>
          <w:rtl/>
        </w:rPr>
        <w:t>,</w:t>
      </w:r>
      <w:r>
        <w:rPr>
          <w:rtl/>
        </w:rPr>
        <w:t xml:space="preserve"> שלא זו בלבד שמעכבים את הגאולה ודוחים אותה</w:t>
      </w:r>
      <w:r>
        <w:rPr>
          <w:rFonts w:ascii="Times New Roman" w:hAnsi="Times New Roman"/>
          <w:rtl/>
        </w:rPr>
        <w:t>,</w:t>
      </w:r>
      <w:r>
        <w:rPr>
          <w:rtl/>
        </w:rPr>
        <w:t xml:space="preserve"> אלא שבלהטיהם המדיניות ממשיכים את הגלות המר</w:t>
      </w:r>
      <w:r>
        <w:rPr>
          <w:rFonts w:ascii="Times New Roman" w:hAnsi="Times New Roman"/>
          <w:rtl/>
        </w:rPr>
        <w:t>,</w:t>
      </w:r>
      <w:r>
        <w:rPr>
          <w:rtl/>
        </w:rPr>
        <w:t xml:space="preserve"> מחללים שם שמים</w:t>
      </w:r>
      <w:r>
        <w:rPr>
          <w:rFonts w:ascii="Times New Roman" w:hAnsi="Times New Roman"/>
          <w:rtl/>
        </w:rPr>
        <w:t>,</w:t>
      </w:r>
      <w:r>
        <w:rPr>
          <w:rtl/>
        </w:rPr>
        <w:t xml:space="preserve"> דתו ותורתו</w:t>
      </w:r>
      <w:r>
        <w:rPr>
          <w:rFonts w:ascii="Times New Roman" w:hAnsi="Times New Roman"/>
          <w:rtl/>
        </w:rPr>
        <w:t xml:space="preserve">, </w:t>
      </w:r>
      <w:r>
        <w:rPr>
          <w:rtl/>
        </w:rPr>
        <w:t>ומכחישים יעודי ה</w:t>
      </w:r>
      <w:r>
        <w:rPr>
          <w:rFonts w:ascii="Times New Roman" w:hAnsi="Times New Roman"/>
          <w:rtl/>
          <w:lang w:val="ru-RU"/>
        </w:rPr>
        <w:t>'</w:t>
      </w:r>
      <w:r>
        <w:rPr>
          <w:rFonts w:ascii="Times New Roman" w:hAnsi="Times New Roman"/>
          <w:lang w:val="ru-RU"/>
        </w:rPr>
        <w:t xml:space="preserve"> </w:t>
      </w:r>
      <w:r>
        <w:rPr>
          <w:rtl/>
        </w:rPr>
        <w:t xml:space="preserve">והבטחותיו על ידי נביאיו הקדושים </w:t>
      </w:r>
      <w:r>
        <w:rPr>
          <w:rFonts w:ascii="Times New Roman" w:hAnsi="Times New Roman"/>
          <w:rtl/>
        </w:rPr>
        <w:t xml:space="preserve">- </w:t>
      </w:r>
      <w:r>
        <w:rPr>
          <w:rtl/>
        </w:rPr>
        <w:t>בכל זה הנה אף הגה קל לא השמעתי ברבים״</w:t>
      </w:r>
      <w:r>
        <w:rPr>
          <w:rFonts w:ascii="Times New Roman" w:hAnsi="Times New Roman"/>
          <w:rtl/>
        </w:rPr>
        <w:t xml:space="preserve">. </w:t>
      </w:r>
    </w:p>
    <w:p w14:paraId="498AD2C5" w14:textId="19CB4C96" w:rsidR="003375CC" w:rsidRPr="00E60D97" w:rsidRDefault="003375CC" w:rsidP="00E60D97">
      <w:pPr>
        <w:pStyle w:val="a3"/>
        <w:rPr>
          <w:rFonts w:eastAsia="Times New Roman"/>
          <w:rtl/>
        </w:rPr>
      </w:pPr>
      <w:r w:rsidRPr="00E60D97">
        <w:rPr>
          <w:rtl/>
        </w:rPr>
        <w:t>והנה ברור מהֶקשר הענין שמלחמת תנופה - המדובר כאן - שיש להנזר ממנה אינה קירוב יהודים לתומ״צ</w:t>
      </w:r>
      <w:r w:rsidRPr="00E60D97">
        <w:rPr>
          <w:lang w:val="en-US"/>
        </w:rPr>
        <w:t xml:space="preserve"> </w:t>
      </w:r>
      <w:r w:rsidRPr="00E60D97">
        <w:rPr>
          <w:rtl/>
        </w:rPr>
        <w:t>באופן של מלחמת תנופה וכו׳, אלא כלשון כ</w:t>
      </w:r>
      <w:r w:rsidRPr="00E60D97">
        <w:rPr>
          <w:lang w:val="ru-RU"/>
        </w:rPr>
        <w:t>"</w:t>
      </w:r>
      <w:r w:rsidRPr="00E60D97">
        <w:rPr>
          <w:rtl/>
        </w:rPr>
        <w:t>ק אדמו</w:t>
      </w:r>
      <w:r w:rsidRPr="00E60D97">
        <w:rPr>
          <w:lang w:val="ru-RU"/>
        </w:rPr>
        <w:t>"</w:t>
      </w:r>
      <w:r w:rsidRPr="00E60D97">
        <w:rPr>
          <w:rtl/>
        </w:rPr>
        <w:t>ר מהוריי</w:t>
      </w:r>
      <w:r w:rsidRPr="00E60D97">
        <w:rPr>
          <w:rtl/>
          <w:lang w:val="ar-SA" w:bidi="ar-SA"/>
        </w:rPr>
        <w:t>“</w:t>
      </w:r>
      <w:r w:rsidRPr="00E60D97">
        <w:rPr>
          <w:rtl/>
        </w:rPr>
        <w:t>צ: ״המהרסים ומחריבים בניני אחרים״.</w:t>
      </w:r>
    </w:p>
    <w:p w14:paraId="2F0DD0A6" w14:textId="2745CD91" w:rsidR="003375CC" w:rsidRDefault="003375CC" w:rsidP="00E60D97">
      <w:pPr>
        <w:pStyle w:val="a3"/>
        <w:rPr>
          <w:rFonts w:ascii="Times New Roman" w:eastAsia="Times New Roman" w:hAnsi="Times New Roman"/>
          <w:rtl/>
        </w:rPr>
      </w:pPr>
      <w:r>
        <w:rPr>
          <w:rtl/>
        </w:rPr>
        <w:t>דהיינו</w:t>
      </w:r>
      <w:r>
        <w:rPr>
          <w:rFonts w:ascii="Times New Roman" w:eastAsia="Times New Roman" w:hAnsi="Times New Roman"/>
          <w:vertAlign w:val="superscript"/>
          <w:rtl/>
        </w:rPr>
        <w:footnoteReference w:id="19"/>
      </w:r>
      <w:r>
        <w:rPr>
          <w:rtl/>
        </w:rPr>
        <w:t xml:space="preserve"> אלו הלוחמים נגד ״הכופרים וחבריהם הנמשכים אחריהם״</w:t>
      </w:r>
      <w:r>
        <w:rPr>
          <w:rFonts w:ascii="Times New Roman" w:hAnsi="Times New Roman"/>
          <w:rtl/>
        </w:rPr>
        <w:t xml:space="preserve">, </w:t>
      </w:r>
      <w:r>
        <w:rPr>
          <w:rtl/>
        </w:rPr>
        <w:t>ורק מלחמה כזה שולל אדמו</w:t>
      </w:r>
      <w:r>
        <w:rPr>
          <w:rFonts w:ascii="Times New Roman" w:hAnsi="Times New Roman"/>
          <w:lang w:val="ru-RU"/>
        </w:rPr>
        <w:t>"</w:t>
      </w:r>
      <w:r>
        <w:rPr>
          <w:rtl/>
        </w:rPr>
        <w:t>ר מוהרש</w:t>
      </w:r>
      <w:r>
        <w:rPr>
          <w:rFonts w:ascii="Times New Roman" w:hAnsi="Times New Roman"/>
          <w:rtl/>
        </w:rPr>
        <w:t>“</w:t>
      </w:r>
      <w:r>
        <w:rPr>
          <w:rtl/>
        </w:rPr>
        <w:t>ב</w:t>
      </w:r>
      <w:r>
        <w:rPr>
          <w:rFonts w:ascii="Times New Roman" w:hAnsi="Times New Roman"/>
          <w:rtl/>
        </w:rPr>
        <w:t xml:space="preserve">, </w:t>
      </w:r>
      <w:r>
        <w:rPr>
          <w:rtl/>
        </w:rPr>
        <w:t>ומורה לנו שאין זה מענינינו ועבודתינו ללחום נגד החשך</w:t>
      </w:r>
      <w:r>
        <w:rPr>
          <w:rFonts w:ascii="Times New Roman" w:hAnsi="Times New Roman"/>
          <w:rtl/>
        </w:rPr>
        <w:t xml:space="preserve">, </w:t>
      </w:r>
      <w:r>
        <w:rPr>
          <w:rtl/>
        </w:rPr>
        <w:t>אלא עלינו להאיר את העולם באור תומ״צ והחשך ידָחה מעצמו וממילא</w:t>
      </w:r>
      <w:r>
        <w:rPr>
          <w:rFonts w:ascii="Times New Roman" w:hAnsi="Times New Roman"/>
          <w:rtl/>
        </w:rPr>
        <w:t xml:space="preserve">, </w:t>
      </w:r>
      <w:r>
        <w:rPr>
          <w:rtl/>
        </w:rPr>
        <w:t>וכידוע שיטת רבותינו נשיאנו בזה מאז ומקדם</w:t>
      </w:r>
      <w:r>
        <w:rPr>
          <w:rFonts w:ascii="Times New Roman" w:hAnsi="Times New Roman"/>
          <w:rtl/>
        </w:rPr>
        <w:t>.</w:t>
      </w:r>
    </w:p>
    <w:p w14:paraId="65300618" w14:textId="3BEBFA8F" w:rsidR="003375CC" w:rsidRDefault="003375CC" w:rsidP="00E60D97">
      <w:pPr>
        <w:pStyle w:val="a3"/>
        <w:rPr>
          <w:rFonts w:ascii="Times New Roman" w:eastAsia="Times New Roman" w:hAnsi="Times New Roman"/>
          <w:rtl/>
        </w:rPr>
      </w:pPr>
      <w:r>
        <w:rPr>
          <w:rtl/>
        </w:rPr>
        <w:t>לסיכום</w:t>
      </w:r>
      <w:r>
        <w:rPr>
          <w:rFonts w:ascii="Times New Roman" w:hAnsi="Times New Roman"/>
          <w:rtl/>
        </w:rPr>
        <w:t xml:space="preserve">: </w:t>
      </w:r>
      <w:r>
        <w:rPr>
          <w:rtl/>
        </w:rPr>
        <w:t>מלחמת תנופה</w:t>
      </w:r>
      <w:r>
        <w:rPr>
          <w:rFonts w:ascii="Times New Roman" w:hAnsi="Times New Roman"/>
          <w:rtl/>
        </w:rPr>
        <w:t xml:space="preserve"> </w:t>
      </w:r>
      <w:r>
        <w:rPr>
          <w:rtl/>
        </w:rPr>
        <w:t xml:space="preserve">של הפצת תורה ויהדות </w:t>
      </w:r>
      <w:r>
        <w:rPr>
          <w:rFonts w:ascii="Times New Roman" w:hAnsi="Times New Roman"/>
          <w:rtl/>
        </w:rPr>
        <w:t xml:space="preserve">- </w:t>
      </w:r>
      <w:r>
        <w:rPr>
          <w:rtl/>
        </w:rPr>
        <w:t>עבודתינו היא</w:t>
      </w:r>
      <w:r>
        <w:rPr>
          <w:rFonts w:ascii="Times New Roman" w:hAnsi="Times New Roman"/>
          <w:rtl/>
        </w:rPr>
        <w:t xml:space="preserve">, </w:t>
      </w:r>
      <w:r>
        <w:rPr>
          <w:rtl/>
        </w:rPr>
        <w:t>ומלחמת תנופה</w:t>
      </w:r>
      <w:r>
        <w:rPr>
          <w:rFonts w:ascii="Times New Roman" w:hAnsi="Times New Roman"/>
          <w:rtl/>
        </w:rPr>
        <w:t xml:space="preserve"> </w:t>
      </w:r>
      <w:r>
        <w:rPr>
          <w:rtl/>
        </w:rPr>
        <w:t>נגד החשך</w:t>
      </w:r>
      <w:r>
        <w:rPr>
          <w:rFonts w:ascii="Times New Roman" w:hAnsi="Times New Roman"/>
          <w:rtl/>
        </w:rPr>
        <w:t xml:space="preserve"> - </w:t>
      </w:r>
      <w:r>
        <w:rPr>
          <w:rtl/>
        </w:rPr>
        <w:t>אינה דרכינו</w:t>
      </w:r>
      <w:r>
        <w:rPr>
          <w:rFonts w:ascii="Times New Roman" w:hAnsi="Times New Roman"/>
          <w:rtl/>
        </w:rPr>
        <w:t xml:space="preserve">, </w:t>
      </w:r>
      <w:r>
        <w:rPr>
          <w:rtl/>
        </w:rPr>
        <w:t>ולכן הוראה זו בתקפה עומדת עד עצם היום הזה</w:t>
      </w:r>
      <w:r>
        <w:rPr>
          <w:rFonts w:ascii="Times New Roman" w:hAnsi="Times New Roman"/>
          <w:rtl/>
        </w:rPr>
        <w:t xml:space="preserve">, </w:t>
      </w:r>
      <w:r>
        <w:rPr>
          <w:rtl/>
        </w:rPr>
        <w:t>וקושיא מעיקרא ליתא מהשיחות שהובאו למעלה</w:t>
      </w:r>
      <w:r>
        <w:rPr>
          <w:rFonts w:ascii="Times New Roman" w:hAnsi="Times New Roman"/>
          <w:rtl/>
        </w:rPr>
        <w:t>.</w:t>
      </w:r>
    </w:p>
    <w:p w14:paraId="17B3227B" w14:textId="7DB95BE0" w:rsidR="003375CC" w:rsidRDefault="003375CC" w:rsidP="00E60D97">
      <w:pPr>
        <w:pStyle w:val="a3"/>
        <w:rPr>
          <w:rtl/>
        </w:rPr>
      </w:pPr>
      <w:r>
        <w:rPr>
          <w:rtl/>
        </w:rPr>
        <w:t>ועפ״ז מובן שהמלחמת תנופה של הפצת תורה ויהדות בקרב יהודים שאינם שומרים תומ״צ ולקרבם לקיום תומ״צ</w:t>
      </w:r>
      <w:r>
        <w:rPr>
          <w:rFonts w:ascii="Times New Roman" w:hAnsi="Times New Roman"/>
          <w:rtl/>
        </w:rPr>
        <w:t xml:space="preserve">, </w:t>
      </w:r>
      <w:r>
        <w:rPr>
          <w:rtl/>
        </w:rPr>
        <w:t>שעלי׳ דיבר וכתב רבינו זי״ע הוא הוא מ״ש בהיום יום</w:t>
      </w:r>
      <w:r>
        <w:rPr>
          <w:rFonts w:ascii="Times New Roman" w:hAnsi="Times New Roman"/>
          <w:rtl/>
        </w:rPr>
        <w:t xml:space="preserve">: </w:t>
      </w:r>
      <w:r>
        <w:rPr>
          <w:rtl/>
        </w:rPr>
        <w:t>״חיזוק בנינינו בנין התורה והמצות בקדושה ובטהרה</w:t>
      </w:r>
      <w:r>
        <w:rPr>
          <w:rFonts w:ascii="Times New Roman" w:hAnsi="Times New Roman"/>
          <w:rtl/>
        </w:rPr>
        <w:t>..</w:t>
      </w:r>
      <w:r>
        <w:rPr>
          <w:rtl/>
        </w:rPr>
        <w:t>במס״נ בפועל ולא רק בכח״</w:t>
      </w:r>
      <w:r>
        <w:rPr>
          <w:rFonts w:ascii="Times New Roman" w:hAnsi="Times New Roman"/>
          <w:rtl/>
        </w:rPr>
        <w:t>.</w:t>
      </w:r>
    </w:p>
    <w:p w14:paraId="2156C522" w14:textId="18D57734" w:rsidR="0072178A" w:rsidRDefault="0072178A" w:rsidP="00492226">
      <w:pPr>
        <w:pStyle w:val="M"/>
        <w:rPr>
          <w:rtl/>
        </w:rPr>
      </w:pPr>
      <w:r>
        <w:rPr>
          <w:noProof/>
        </w:rPr>
        <w:drawing>
          <wp:inline distT="0" distB="0" distL="0" distR="0" wp14:anchorId="504AD52A" wp14:editId="61E08CD7">
            <wp:extent cx="875763" cy="2340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2D00276" w14:textId="77777777" w:rsidR="00631F2A" w:rsidRDefault="00631F2A" w:rsidP="00531DED">
      <w:pPr>
        <w:pStyle w:val="a0"/>
        <w:rPr>
          <w:rtl/>
        </w:rPr>
        <w:sectPr w:rsidR="00631F2A" w:rsidSect="00320B41">
          <w:footnotePr>
            <w:numRestart w:val="eachSect"/>
          </w:footnotePr>
          <w:type w:val="continuous"/>
          <w:pgSz w:w="7920" w:h="12240"/>
          <w:pgMar w:top="-810" w:right="864" w:bottom="720" w:left="864" w:header="270" w:footer="0" w:gutter="0"/>
          <w:cols w:space="720"/>
          <w:docGrid w:linePitch="360"/>
        </w:sectPr>
      </w:pPr>
    </w:p>
    <w:p w14:paraId="4E3172DE" w14:textId="41E46A54" w:rsidR="00531DED" w:rsidRPr="00531DED" w:rsidRDefault="00531DED" w:rsidP="00531DED">
      <w:pPr>
        <w:pStyle w:val="a0"/>
      </w:pPr>
      <w:bookmarkStart w:id="112" w:name="_Toc81540398"/>
      <w:r>
        <w:rPr>
          <w:rtl/>
        </w:rPr>
        <w:t>לבטל כו' בימי ספה"ע</w:t>
      </w:r>
      <w:bookmarkEnd w:id="112"/>
    </w:p>
    <w:p w14:paraId="5A10A02A" w14:textId="40F5B4FD" w:rsidR="00531DED" w:rsidRDefault="00E31722" w:rsidP="0046124A">
      <w:pPr>
        <w:pStyle w:val="a"/>
        <w:rPr>
          <w:rtl/>
        </w:rPr>
      </w:pPr>
      <w:bookmarkStart w:id="113" w:name="_Toc81540399"/>
      <w:r>
        <w:rPr>
          <w:rFonts w:hint="cs"/>
          <w:rtl/>
        </w:rPr>
        <w:t xml:space="preserve">הרב </w:t>
      </w:r>
      <w:r w:rsidR="00531DED">
        <w:rPr>
          <w:rtl/>
        </w:rPr>
        <w:t>פסח צבי שמערלינג</w:t>
      </w:r>
      <w:bookmarkEnd w:id="113"/>
    </w:p>
    <w:p w14:paraId="26C1B578" w14:textId="16E6A13D" w:rsidR="00531DED" w:rsidRPr="00531DED" w:rsidRDefault="00531DED" w:rsidP="00531DED">
      <w:pPr>
        <w:pStyle w:val="a1"/>
        <w:bidi/>
        <w:jc w:val="right"/>
        <w:rPr>
          <w:rtl/>
        </w:rPr>
      </w:pPr>
      <w:r>
        <w:rPr>
          <w:rtl/>
        </w:rPr>
        <w:t>שליח בפאר ראקאוויי, נ.י.</w:t>
      </w:r>
    </w:p>
    <w:p w14:paraId="0367E05B" w14:textId="0F464C37" w:rsidR="00531DED" w:rsidRDefault="00531DED" w:rsidP="00E60D97">
      <w:pPr>
        <w:pStyle w:val="a3"/>
        <w:rPr>
          <w:rtl/>
        </w:rPr>
      </w:pPr>
      <w:r>
        <w:rPr>
          <w:rtl/>
        </w:rPr>
        <w:t xml:space="preserve">זכינו שלאחרונה יצא לאור כרך לג בסדרת אגרות קודש מאת כ"ק אדמו"ר זי"ע. בכרך זה נדפסו בין השאר כמה מענות למו"ה הרב משה ניסן שי' ווינער בקשר לספרו הגדול "הדרת פנים - זקן". בע' רמו, אגרת יב'תסד, בסופו כתב הרבי וזלה"ק: "זירוז </w:t>
      </w:r>
      <w:r>
        <w:rPr>
          <w:rtl/>
        </w:rPr>
        <w:lastRenderedPageBreak/>
        <w:t>ההפצה נוגע ביותר - לבטל כו' בימי</w:t>
      </w:r>
      <w:r>
        <w:rPr>
          <w:rFonts w:ascii="Cambria" w:hAnsi="Cambria" w:cs="Cambria" w:hint="cs"/>
          <w:rtl/>
        </w:rPr>
        <w:t> </w:t>
      </w:r>
      <w:r>
        <w:rPr>
          <w:bCs/>
          <w:rtl/>
        </w:rPr>
        <w:t>ספה"ע</w:t>
      </w:r>
      <w:r>
        <w:rPr>
          <w:rtl/>
        </w:rPr>
        <w:t>. וק"ל." ובהערת המו"ל ביארו ש"כנראה הכוונה שבתקופת</w:t>
      </w:r>
      <w:r>
        <w:rPr>
          <w:rFonts w:ascii="Cambria" w:hAnsi="Cambria" w:cs="Cambria" w:hint="cs"/>
          <w:rtl/>
        </w:rPr>
        <w:t> </w:t>
      </w:r>
      <w:r>
        <w:rPr>
          <w:rFonts w:hint="cs"/>
          <w:rtl/>
        </w:rPr>
        <w:t>ספירת</w:t>
      </w:r>
      <w:r>
        <w:rPr>
          <w:rtl/>
        </w:rPr>
        <w:t xml:space="preserve"> </w:t>
      </w:r>
      <w:r>
        <w:rPr>
          <w:rFonts w:hint="cs"/>
          <w:rtl/>
        </w:rPr>
        <w:t>העומר</w:t>
      </w:r>
      <w:r>
        <w:rPr>
          <w:rtl/>
        </w:rPr>
        <w:t xml:space="preserve"> </w:t>
      </w:r>
      <w:r>
        <w:rPr>
          <w:rFonts w:hint="cs"/>
          <w:rtl/>
        </w:rPr>
        <w:t>חומרא</w:t>
      </w:r>
      <w:r>
        <w:rPr>
          <w:rtl/>
        </w:rPr>
        <w:t xml:space="preserve"> </w:t>
      </w:r>
      <w:r>
        <w:rPr>
          <w:rFonts w:hint="cs"/>
          <w:rtl/>
        </w:rPr>
        <w:t>יתירה</w:t>
      </w:r>
      <w:r>
        <w:rPr>
          <w:rtl/>
        </w:rPr>
        <w:t xml:space="preserve"> </w:t>
      </w:r>
      <w:r>
        <w:rPr>
          <w:rFonts w:hint="cs"/>
          <w:rtl/>
        </w:rPr>
        <w:t>לאסור</w:t>
      </w:r>
      <w:r>
        <w:rPr>
          <w:rtl/>
        </w:rPr>
        <w:t xml:space="preserve"> </w:t>
      </w:r>
      <w:r>
        <w:rPr>
          <w:rFonts w:hint="cs"/>
          <w:rtl/>
        </w:rPr>
        <w:t>גילוח</w:t>
      </w:r>
      <w:r>
        <w:rPr>
          <w:rtl/>
        </w:rPr>
        <w:t>".</w:t>
      </w:r>
      <w:r>
        <w:rPr>
          <w:rFonts w:ascii="Cambria" w:hAnsi="Cambria" w:cs="Cambria" w:hint="cs"/>
          <w:rtl/>
        </w:rPr>
        <w:t> </w:t>
      </w:r>
    </w:p>
    <w:p w14:paraId="58E6FD21" w14:textId="28C47109" w:rsidR="00531DED" w:rsidRDefault="00531DED" w:rsidP="00E60D97">
      <w:pPr>
        <w:pStyle w:val="a3"/>
        <w:rPr>
          <w:rtl/>
        </w:rPr>
      </w:pPr>
      <w:r>
        <w:rPr>
          <w:rtl/>
        </w:rPr>
        <w:t>לכאורה הלשון "לבטל" לא כ"כ מתאים לפרש כן, ואולי י"ל שכוונת הרבי היא למ"ש בפרי עץ חיים שער כב פ"ז, הגהת צמח: הטעם שאין אנו נוהגין אבילות</w:t>
      </w:r>
      <w:r>
        <w:rPr>
          <w:rFonts w:ascii="Cambria" w:hAnsi="Cambria" w:cs="Cambria" w:hint="cs"/>
          <w:rtl/>
        </w:rPr>
        <w:t> </w:t>
      </w:r>
      <w:r>
        <w:rPr>
          <w:rFonts w:hint="cs"/>
          <w:rtl/>
        </w:rPr>
        <w:t>אלא</w:t>
      </w:r>
      <w:r>
        <w:rPr>
          <w:rtl/>
        </w:rPr>
        <w:t xml:space="preserve"> </w:t>
      </w:r>
      <w:r>
        <w:rPr>
          <w:rFonts w:hint="cs"/>
          <w:rtl/>
        </w:rPr>
        <w:t>שלא</w:t>
      </w:r>
      <w:r>
        <w:rPr>
          <w:rtl/>
        </w:rPr>
        <w:t xml:space="preserve"> </w:t>
      </w:r>
      <w:r>
        <w:rPr>
          <w:rFonts w:hint="cs"/>
          <w:rtl/>
        </w:rPr>
        <w:t>לגלח</w:t>
      </w:r>
      <w:r>
        <w:rPr>
          <w:rtl/>
        </w:rPr>
        <w:t xml:space="preserve">, </w:t>
      </w:r>
      <w:r>
        <w:rPr>
          <w:rFonts w:hint="cs"/>
          <w:rtl/>
        </w:rPr>
        <w:t>השערות</w:t>
      </w:r>
      <w:r>
        <w:rPr>
          <w:rtl/>
        </w:rPr>
        <w:t xml:space="preserve"> </w:t>
      </w:r>
      <w:r>
        <w:rPr>
          <w:rFonts w:hint="cs"/>
          <w:rtl/>
        </w:rPr>
        <w:t>הם</w:t>
      </w:r>
      <w:r>
        <w:rPr>
          <w:rtl/>
        </w:rPr>
        <w:t xml:space="preserve"> </w:t>
      </w:r>
      <w:r>
        <w:rPr>
          <w:rFonts w:hint="cs"/>
          <w:rtl/>
        </w:rPr>
        <w:t>דינין</w:t>
      </w:r>
      <w:r>
        <w:rPr>
          <w:rtl/>
        </w:rPr>
        <w:t xml:space="preserve">. </w:t>
      </w:r>
      <w:r>
        <w:rPr>
          <w:rFonts w:hint="cs"/>
          <w:rtl/>
        </w:rPr>
        <w:t>ועל</w:t>
      </w:r>
      <w:r>
        <w:rPr>
          <w:rtl/>
        </w:rPr>
        <w:t xml:space="preserve"> </w:t>
      </w:r>
      <w:r>
        <w:rPr>
          <w:rFonts w:hint="cs"/>
          <w:rtl/>
        </w:rPr>
        <w:t>זה</w:t>
      </w:r>
      <w:r>
        <w:rPr>
          <w:rtl/>
        </w:rPr>
        <w:t xml:space="preserve"> </w:t>
      </w:r>
      <w:r>
        <w:rPr>
          <w:rFonts w:hint="cs"/>
          <w:rtl/>
        </w:rPr>
        <w:t>מתאים</w:t>
      </w:r>
      <w:r>
        <w:rPr>
          <w:rtl/>
        </w:rPr>
        <w:t xml:space="preserve"> </w:t>
      </w:r>
      <w:r>
        <w:rPr>
          <w:rFonts w:hint="cs"/>
          <w:rtl/>
        </w:rPr>
        <w:t>הלשון</w:t>
      </w:r>
      <w:r>
        <w:rPr>
          <w:rtl/>
        </w:rPr>
        <w:t xml:space="preserve"> "</w:t>
      </w:r>
      <w:r>
        <w:rPr>
          <w:rFonts w:hint="cs"/>
          <w:rtl/>
        </w:rPr>
        <w:t>לבטל</w:t>
      </w:r>
      <w:r>
        <w:rPr>
          <w:rtl/>
        </w:rPr>
        <w:t xml:space="preserve">" </w:t>
      </w:r>
      <w:r>
        <w:rPr>
          <w:rFonts w:hint="cs"/>
          <w:rtl/>
        </w:rPr>
        <w:t>הדינים</w:t>
      </w:r>
      <w:r>
        <w:rPr>
          <w:rtl/>
        </w:rPr>
        <w:t>.</w:t>
      </w:r>
    </w:p>
    <w:p w14:paraId="3089D041" w14:textId="77777777" w:rsidR="00531DED" w:rsidRDefault="00531DED" w:rsidP="00E60D97">
      <w:pPr>
        <w:pStyle w:val="a3"/>
        <w:rPr>
          <w:rtl/>
        </w:rPr>
      </w:pPr>
      <w:r>
        <w:rPr>
          <w:rtl/>
        </w:rPr>
        <w:t>או שי"ל בפשטות יותר שהכוונה הוא שהיות שספה"ע הם ימי אבילות, אז הזכות של זירוז ההפצה תבטל הדברים הבלתי רצויים של ימי ספה"ע, מעין "יהפכו ימים אלו לששון ולשמחה כו'".</w:t>
      </w:r>
    </w:p>
    <w:p w14:paraId="78DA60B5" w14:textId="430284F2" w:rsidR="00F264A3" w:rsidRPr="00F264A3" w:rsidRDefault="00F264A3" w:rsidP="00F264A3">
      <w:pPr>
        <w:rPr>
          <w:rtl/>
          <w:lang w:val="en-GB"/>
        </w:rPr>
        <w:sectPr w:rsidR="00F264A3" w:rsidRPr="00F264A3" w:rsidSect="00320B41">
          <w:footnotePr>
            <w:numRestart w:val="eachSect"/>
          </w:footnotePr>
          <w:type w:val="continuous"/>
          <w:pgSz w:w="7920" w:h="12240"/>
          <w:pgMar w:top="-810" w:right="864" w:bottom="720" w:left="864" w:header="270" w:footer="0" w:gutter="0"/>
          <w:cols w:space="720"/>
          <w:docGrid w:linePitch="360"/>
        </w:sectPr>
      </w:pPr>
    </w:p>
    <w:p w14:paraId="5F6C148F" w14:textId="6C243EDB" w:rsidR="003C2059" w:rsidRDefault="0072178A" w:rsidP="00E60D97">
      <w:pPr>
        <w:pStyle w:val="M"/>
      </w:pPr>
      <w:bookmarkStart w:id="114" w:name="_Toc26492291"/>
      <w:r w:rsidRPr="00E60D97">
        <w:drawing>
          <wp:inline distT="0" distB="0" distL="0" distR="0" wp14:anchorId="458C49D3" wp14:editId="31F8FDA4">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98D6F25" w14:textId="1BBDFC39" w:rsidR="005B5586" w:rsidRDefault="005B5586" w:rsidP="005B5586">
      <w:pPr>
        <w:pStyle w:val="12"/>
        <w:rPr>
          <w:rtl/>
        </w:rPr>
      </w:pPr>
      <w:bookmarkStart w:id="115" w:name="_Toc81540400"/>
      <w:r>
        <w:rPr>
          <w:rFonts w:hint="cs"/>
          <w:rtl/>
        </w:rPr>
        <w:t>נגלה</w:t>
      </w:r>
      <w:bookmarkEnd w:id="115"/>
    </w:p>
    <w:p w14:paraId="37ED4201" w14:textId="77777777" w:rsidR="00531DED" w:rsidRPr="009211C3" w:rsidRDefault="00531DED" w:rsidP="00531DED">
      <w:pPr>
        <w:pStyle w:val="a0"/>
        <w:rPr>
          <w:rtl/>
        </w:rPr>
      </w:pPr>
      <w:bookmarkStart w:id="116" w:name="_Toc79110899"/>
      <w:bookmarkStart w:id="117" w:name="_Toc79118591"/>
      <w:bookmarkStart w:id="118" w:name="_Toc81540401"/>
      <w:r w:rsidRPr="009211C3">
        <w:rPr>
          <w:rFonts w:hint="cs"/>
          <w:rtl/>
        </w:rPr>
        <w:t xml:space="preserve">ביאור מחלוקת ר"ח ותוס' אם בעינן גז"ש למילף איסור הוצאה </w:t>
      </w:r>
      <w:r w:rsidRPr="009211C3">
        <w:rPr>
          <w:rtl/>
        </w:rPr>
        <w:t>–</w:t>
      </w:r>
      <w:r w:rsidRPr="009211C3">
        <w:rPr>
          <w:rFonts w:hint="cs"/>
          <w:rtl/>
        </w:rPr>
        <w:t xml:space="preserve"> לדרכו של אדה"ז</w:t>
      </w:r>
      <w:bookmarkEnd w:id="118"/>
    </w:p>
    <w:p w14:paraId="2409ED04" w14:textId="7B98037D" w:rsidR="00531DED" w:rsidRDefault="00E31722" w:rsidP="0046124A">
      <w:pPr>
        <w:pStyle w:val="a"/>
        <w:rPr>
          <w:rtl/>
        </w:rPr>
      </w:pPr>
      <w:bookmarkStart w:id="119" w:name="_Toc81540402"/>
      <w:r>
        <w:rPr>
          <w:rFonts w:hint="cs"/>
          <w:rtl/>
        </w:rPr>
        <w:t xml:space="preserve">הרב </w:t>
      </w:r>
      <w:r w:rsidR="00531DED">
        <w:rPr>
          <w:rFonts w:hint="cs"/>
          <w:rtl/>
        </w:rPr>
        <w:t>יהושע בלאזענשטיין</w:t>
      </w:r>
      <w:bookmarkEnd w:id="119"/>
    </w:p>
    <w:p w14:paraId="2BD68553" w14:textId="77777777" w:rsidR="00531DED" w:rsidRDefault="00531DED" w:rsidP="00531DED">
      <w:pPr>
        <w:pStyle w:val="a1"/>
        <w:bidi/>
        <w:jc w:val="right"/>
        <w:rPr>
          <w:rtl/>
        </w:rPr>
      </w:pPr>
      <w:r>
        <w:rPr>
          <w:rFonts w:hint="cs"/>
          <w:rtl/>
        </w:rPr>
        <w:t>נו"נ בישיבה</w:t>
      </w:r>
    </w:p>
    <w:p w14:paraId="5FC596F2" w14:textId="77777777" w:rsidR="00531DED" w:rsidRPr="001254A8" w:rsidRDefault="00531DED" w:rsidP="00E60D97">
      <w:pPr>
        <w:pStyle w:val="11"/>
        <w:bidi/>
        <w:rPr>
          <w:rtl/>
        </w:rPr>
      </w:pPr>
      <w:r>
        <w:rPr>
          <w:rFonts w:hint="cs"/>
          <w:rtl/>
        </w:rPr>
        <w:t>א.</w:t>
      </w:r>
    </w:p>
    <w:p w14:paraId="3A3C9AEE" w14:textId="77777777" w:rsidR="00531DED" w:rsidRPr="0011665E" w:rsidRDefault="00531DED" w:rsidP="00E60D97">
      <w:pPr>
        <w:pStyle w:val="a3"/>
        <w:rPr>
          <w:rtl/>
        </w:rPr>
      </w:pPr>
      <w:r>
        <w:rPr>
          <w:rFonts w:hint="cs"/>
          <w:rtl/>
        </w:rPr>
        <w:t xml:space="preserve">שבת צ''ו ב: "הוצאה גופה היכא כתיבא א"ר יוחנן דאמר קרא ויצו משה ויעבירו קול במחנה . . וקאמר להו לישראל לא תפיקו ותיתו מרה"י דידכו לרה"ר. וממאי דבשבת קאי דילמא בחול קאי ומשום דשלימא לה </w:t>
      </w:r>
      <w:r w:rsidRPr="0011665E">
        <w:rPr>
          <w:rFonts w:hint="cs"/>
          <w:rtl/>
        </w:rPr>
        <w:t xml:space="preserve">מלאכה </w:t>
      </w:r>
      <w:r>
        <w:rPr>
          <w:rFonts w:hint="cs"/>
          <w:rtl/>
        </w:rPr>
        <w:t>. .</w:t>
      </w:r>
      <w:r w:rsidRPr="0011665E">
        <w:rPr>
          <w:rFonts w:hint="cs"/>
          <w:rtl/>
        </w:rPr>
        <w:t xml:space="preserve"> גמר העברה העברה מיוהכ"פ", ע"ש.</w:t>
      </w:r>
    </w:p>
    <w:p w14:paraId="42106E35" w14:textId="77777777" w:rsidR="00531DED" w:rsidRPr="0011665E" w:rsidRDefault="00531DED" w:rsidP="00E60D97">
      <w:pPr>
        <w:pStyle w:val="a3"/>
        <w:rPr>
          <w:rtl/>
        </w:rPr>
      </w:pPr>
      <w:r w:rsidRPr="0011665E">
        <w:rPr>
          <w:rFonts w:hint="cs"/>
          <w:rtl/>
        </w:rPr>
        <w:t xml:space="preserve">ובתוס' שם </w:t>
      </w:r>
      <w:r>
        <w:rPr>
          <w:rFonts w:hint="cs"/>
          <w:rtl/>
        </w:rPr>
        <w:t>(</w:t>
      </w:r>
      <w:r w:rsidRPr="0011665E">
        <w:rPr>
          <w:rFonts w:hint="cs"/>
          <w:rtl/>
        </w:rPr>
        <w:t>ד"ה וממאי</w:t>
      </w:r>
      <w:r>
        <w:rPr>
          <w:rFonts w:hint="cs"/>
          <w:rtl/>
        </w:rPr>
        <w:t xml:space="preserve">) הביאו בשם </w:t>
      </w:r>
      <w:r w:rsidRPr="0011665E">
        <w:rPr>
          <w:rFonts w:hint="cs"/>
          <w:rtl/>
        </w:rPr>
        <w:t>ר"ח דלא גרס "וממאי דבשבת"</w:t>
      </w:r>
      <w:r>
        <w:rPr>
          <w:rFonts w:hint="cs"/>
          <w:rtl/>
        </w:rPr>
        <w:t xml:space="preserve"> וכו'</w:t>
      </w:r>
      <w:r w:rsidRPr="0011665E">
        <w:rPr>
          <w:rFonts w:hint="cs"/>
          <w:rtl/>
        </w:rPr>
        <w:t xml:space="preserve"> משום דאפילו אם הוי בחול נלמד דהוי מלאכה ואסורה בשבת, ע"ש.</w:t>
      </w:r>
    </w:p>
    <w:p w14:paraId="0B60C79D" w14:textId="77777777" w:rsidR="00531DED" w:rsidRDefault="00531DED" w:rsidP="00E60D97">
      <w:pPr>
        <w:pStyle w:val="a3"/>
        <w:rPr>
          <w:rtl/>
        </w:rPr>
      </w:pPr>
      <w:r>
        <w:rPr>
          <w:rFonts w:hint="cs"/>
          <w:rtl/>
        </w:rPr>
        <w:t xml:space="preserve">וצריך ביאור לגירסתנו </w:t>
      </w:r>
      <w:r>
        <w:rPr>
          <w:rtl/>
        </w:rPr>
        <w:t>–</w:t>
      </w:r>
      <w:r>
        <w:rPr>
          <w:rFonts w:hint="cs"/>
          <w:rtl/>
        </w:rPr>
        <w:t xml:space="preserve"> וכ"ה גירסת רש"י</w:t>
      </w:r>
      <w:r>
        <w:rPr>
          <w:rStyle w:val="FootnoteReference"/>
          <w:rtl/>
        </w:rPr>
        <w:footnoteReference w:id="20"/>
      </w:r>
      <w:r>
        <w:rPr>
          <w:rFonts w:hint="cs"/>
          <w:rtl/>
        </w:rPr>
        <w:t xml:space="preserve"> </w:t>
      </w:r>
      <w:r>
        <w:rPr>
          <w:rtl/>
        </w:rPr>
        <w:t>–</w:t>
      </w:r>
      <w:r>
        <w:rPr>
          <w:rFonts w:hint="cs"/>
          <w:rtl/>
        </w:rPr>
        <w:t xml:space="preserve"> אמאי אכן בעינן גז"ש ולא ניח"ל </w:t>
      </w:r>
      <w:r>
        <w:rPr>
          <w:rFonts w:hint="cs"/>
          <w:rtl/>
        </w:rPr>
        <w:lastRenderedPageBreak/>
        <w:t>כדפירש ר"ח דשפיר ילפינן מיניה אפילו אם הוי בחול</w:t>
      </w:r>
      <w:r>
        <w:rPr>
          <w:rStyle w:val="FootnoteReference"/>
          <w:rtl/>
        </w:rPr>
        <w:footnoteReference w:id="21"/>
      </w:r>
      <w:r>
        <w:rPr>
          <w:rFonts w:hint="cs"/>
          <w:rtl/>
        </w:rPr>
        <w:t>.</w:t>
      </w:r>
    </w:p>
    <w:p w14:paraId="1AD69C24" w14:textId="77777777" w:rsidR="00531DED" w:rsidRPr="004308A9" w:rsidRDefault="00531DED" w:rsidP="00E60D97">
      <w:pPr>
        <w:pStyle w:val="a3"/>
        <w:rPr>
          <w:rtl/>
        </w:rPr>
      </w:pPr>
      <w:r w:rsidRPr="004308A9">
        <w:rPr>
          <w:rFonts w:hint="cs"/>
          <w:rtl/>
        </w:rPr>
        <w:t>ולבאר</w:t>
      </w:r>
      <w:r>
        <w:rPr>
          <w:rFonts w:hint="cs"/>
          <w:rtl/>
        </w:rPr>
        <w:t xml:space="preserve"> זה יש להקדים, דבשו"ע אדה"ז סי' שא ס"</w:t>
      </w:r>
      <w:r w:rsidRPr="004308A9">
        <w:rPr>
          <w:rFonts w:hint="cs"/>
          <w:rtl/>
        </w:rPr>
        <w:t>א משמע להדיא דס"ל כפירוש ר"ח דלא בעינן גז"ש</w:t>
      </w:r>
      <w:r>
        <w:rPr>
          <w:rFonts w:hint="cs"/>
          <w:rtl/>
        </w:rPr>
        <w:t>, ע"ש</w:t>
      </w:r>
      <w:r w:rsidRPr="004308A9">
        <w:rPr>
          <w:rStyle w:val="FootnoteReference"/>
          <w:rtl/>
        </w:rPr>
        <w:footnoteReference w:id="22"/>
      </w:r>
      <w:r w:rsidRPr="004308A9">
        <w:rPr>
          <w:rFonts w:hint="cs"/>
          <w:rtl/>
        </w:rPr>
        <w:t>.</w:t>
      </w:r>
    </w:p>
    <w:p w14:paraId="3630DD35" w14:textId="77777777" w:rsidR="00531DED" w:rsidRPr="004308A9" w:rsidRDefault="00531DED" w:rsidP="00E60D97">
      <w:pPr>
        <w:pStyle w:val="a3"/>
        <w:rPr>
          <w:rtl/>
        </w:rPr>
      </w:pPr>
      <w:r>
        <w:rPr>
          <w:rFonts w:hint="cs"/>
          <w:rtl/>
        </w:rPr>
        <w:t>ובדברי אדה"ז שם מבואר</w:t>
      </w:r>
      <w:r w:rsidRPr="004308A9">
        <w:rPr>
          <w:rFonts w:hint="cs"/>
          <w:rtl/>
        </w:rPr>
        <w:t>, דאפילו אחרי דישנו פסוק דויעבירו קול במחנה וכו' מ"מ לא היה הוצאה אסורה אם לא היה ילפותא ללמוד מלאכות שבת ממלאכות המשכן, ע"ש היטב</w:t>
      </w:r>
      <w:r w:rsidRPr="004308A9">
        <w:rPr>
          <w:rStyle w:val="FootnoteReference"/>
          <w:rtl/>
        </w:rPr>
        <w:footnoteReference w:id="23"/>
      </w:r>
      <w:r w:rsidRPr="004308A9">
        <w:rPr>
          <w:rFonts w:hint="cs"/>
          <w:rtl/>
        </w:rPr>
        <w:t>.</w:t>
      </w:r>
    </w:p>
    <w:p w14:paraId="0BA302B7" w14:textId="77777777" w:rsidR="00531DED" w:rsidRDefault="00531DED" w:rsidP="00E60D97">
      <w:pPr>
        <w:pStyle w:val="a3"/>
        <w:rPr>
          <w:rtl/>
        </w:rPr>
      </w:pPr>
      <w:r>
        <w:rPr>
          <w:rFonts w:hint="cs"/>
          <w:rtl/>
        </w:rPr>
        <w:t xml:space="preserve">ולכאורה צריך ביאור, דמכיון דמפורש בקרא דהוצאה הוי מלאכה, א"כ אפילו אם ליכא ילפותא מהמשכן מ"מ אחרי שמפורש בקרא ("ויעבירו" וכו') דהוצאה הוי מלאכה, במילא הוי הוצאה בכלל "לא תעשה כל </w:t>
      </w:r>
      <w:r w:rsidRPr="008F4765">
        <w:rPr>
          <w:rFonts w:hint="cs"/>
          <w:bCs/>
          <w:rtl/>
        </w:rPr>
        <w:t>מלאכה</w:t>
      </w:r>
      <w:r>
        <w:rPr>
          <w:rFonts w:hint="cs"/>
          <w:rtl/>
        </w:rPr>
        <w:t>".</w:t>
      </w:r>
    </w:p>
    <w:p w14:paraId="07ABCC66" w14:textId="77777777" w:rsidR="00531DED" w:rsidRDefault="00531DED" w:rsidP="00E60D97">
      <w:pPr>
        <w:pStyle w:val="a3"/>
        <w:rPr>
          <w:rtl/>
        </w:rPr>
      </w:pPr>
      <w:r>
        <w:rPr>
          <w:rFonts w:hint="cs"/>
          <w:rtl/>
        </w:rPr>
        <w:t xml:space="preserve">ועכצ"ל, דהגם דנקרא "מלאכה" בקרא, מ"מ אין הכרח דנכלל ב"לא תעשה כל מלאכה" </w:t>
      </w:r>
      <w:r w:rsidRPr="002738EB">
        <w:rPr>
          <w:rFonts w:hint="cs"/>
          <w:bCs/>
          <w:rtl/>
        </w:rPr>
        <w:t>דשבת</w:t>
      </w:r>
      <w:r>
        <w:rPr>
          <w:rFonts w:hint="cs"/>
          <w:rtl/>
        </w:rPr>
        <w:t xml:space="preserve"> [ואולי היינו טעמא דבשבת צריך להיות (סוג וגדר) מלאכה שהוא ההיפך מ"תשבות"]. ורק משום דילפינן דהפירוש דלא תעשה מלאכה הוא כל מלאכה שהיתה חשובה במשכן, והוצאה הרי היתה חשובה במשכן (כדילפינן מקרא), לכן הוי הוצאה אסורה בשבת</w:t>
      </w:r>
      <w:r>
        <w:rPr>
          <w:rStyle w:val="FootnoteReference"/>
          <w:rtl/>
        </w:rPr>
        <w:footnoteReference w:id="24"/>
      </w:r>
      <w:r>
        <w:rPr>
          <w:rFonts w:hint="cs"/>
          <w:rtl/>
        </w:rPr>
        <w:t>.</w:t>
      </w:r>
    </w:p>
    <w:p w14:paraId="64CD1515" w14:textId="77777777" w:rsidR="00531DED" w:rsidRPr="004449F6" w:rsidRDefault="00531DED" w:rsidP="00E60D97">
      <w:pPr>
        <w:pStyle w:val="a3"/>
        <w:rPr>
          <w:rtl/>
        </w:rPr>
      </w:pPr>
      <w:r>
        <w:rPr>
          <w:rFonts w:hint="cs"/>
          <w:rtl/>
        </w:rPr>
        <w:lastRenderedPageBreak/>
        <w:t>ועפ"י יסוד סברא זו אולי יש לבאר גירסתינו (דבעינן גז"ש, ולא סגי במה דהוי מלאכה חשובה במשכן). דמכיון דהוצאה מלאכה גרועה</w:t>
      </w:r>
      <w:r>
        <w:rPr>
          <w:rStyle w:val="FootnoteReference"/>
          <w:rtl/>
        </w:rPr>
        <w:footnoteReference w:id="25"/>
      </w:r>
      <w:r>
        <w:rPr>
          <w:rFonts w:hint="cs"/>
          <w:rtl/>
        </w:rPr>
        <w:t>, לכן לולא הגז"ש היינו אומרים דמה שנקרא בקרא מלאכה אינו אלא לענין מלאכת המשכן גרידא, ולא לענין שבת [והיינו דכמו שמבואר בתוס' דלולא קרא אין למדים הוצאה מהמשכן משום דהוי מלאכה גרועה, הו"ה אחרי דישנו קרא דנחשב מלאכה ע"כ היינו מפרשים שהוא רק לענין מלאכת המשכן ולא לענין שבת]. ועצ"ע</w:t>
      </w:r>
      <w:r>
        <w:rPr>
          <w:rStyle w:val="FootnoteReference"/>
          <w:rtl/>
        </w:rPr>
        <w:footnoteReference w:id="26"/>
      </w:r>
      <w:r>
        <w:rPr>
          <w:rFonts w:hint="cs"/>
          <w:rtl/>
        </w:rPr>
        <w:t>.</w:t>
      </w:r>
    </w:p>
    <w:p w14:paraId="3FDC5AB1" w14:textId="6FAD2FB9" w:rsidR="005B5586" w:rsidRDefault="00531DED" w:rsidP="00304B8E">
      <w:pPr>
        <w:pStyle w:val="M"/>
        <w:spacing w:before="240"/>
        <w:rPr>
          <w:rtl/>
        </w:rPr>
      </w:pPr>
      <w:r w:rsidRPr="0035094B">
        <w:pict w14:anchorId="50CEB7ED">
          <v:shape id="Picture 15" o:spid="_x0000_i1559" type="#_x0000_t75" style="width:69pt;height:18.75pt;visibility:visible;mso-wrap-style:square">
            <v:imagedata r:id="rId13" o:title=""/>
          </v:shape>
        </w:pict>
      </w:r>
      <w:bookmarkEnd w:id="116"/>
      <w:bookmarkEnd w:id="117"/>
    </w:p>
    <w:p w14:paraId="23B50C4F" w14:textId="77777777" w:rsidR="00631F2A" w:rsidRDefault="00631F2A" w:rsidP="00531DED">
      <w:pPr>
        <w:pStyle w:val="a0"/>
        <w:rPr>
          <w:rtl/>
        </w:rPr>
        <w:sectPr w:rsidR="00631F2A" w:rsidSect="00541E5D">
          <w:footnotePr>
            <w:numRestart w:val="eachSect"/>
          </w:footnotePr>
          <w:type w:val="continuous"/>
          <w:pgSz w:w="7920" w:h="12240"/>
          <w:pgMar w:top="-810" w:right="864" w:bottom="720" w:left="864" w:header="270" w:footer="0" w:gutter="0"/>
          <w:cols w:space="720"/>
          <w:docGrid w:linePitch="360"/>
        </w:sectPr>
      </w:pPr>
    </w:p>
    <w:p w14:paraId="7ACD02FA" w14:textId="02737DFD" w:rsidR="00531DED" w:rsidRPr="00375767" w:rsidRDefault="00531DED" w:rsidP="00531DED">
      <w:pPr>
        <w:pStyle w:val="a0"/>
        <w:rPr>
          <w:rtl/>
        </w:rPr>
      </w:pPr>
      <w:bookmarkStart w:id="120" w:name="_Toc81540403"/>
      <w:r w:rsidRPr="00375767">
        <w:rPr>
          <w:rFonts w:hint="cs"/>
          <w:rtl/>
        </w:rPr>
        <w:lastRenderedPageBreak/>
        <w:t>ביאור הוכחת התוס' דהוצאה מלאכה גרועה היא</w:t>
      </w:r>
      <w:bookmarkEnd w:id="120"/>
    </w:p>
    <w:p w14:paraId="3E3B3C64" w14:textId="062C5BA1" w:rsidR="00531DED" w:rsidRDefault="00531DED" w:rsidP="0046124A">
      <w:pPr>
        <w:pStyle w:val="a"/>
        <w:rPr>
          <w:rtl/>
        </w:rPr>
      </w:pPr>
      <w:bookmarkStart w:id="121" w:name="_Toc81540404"/>
      <w:r>
        <w:rPr>
          <w:rFonts w:hint="cs"/>
          <w:rtl/>
        </w:rPr>
        <w:t>הנ"ל</w:t>
      </w:r>
      <w:bookmarkEnd w:id="121"/>
    </w:p>
    <w:p w14:paraId="0188A53E" w14:textId="77777777" w:rsidR="00531DED" w:rsidRDefault="00531DED" w:rsidP="00E60D97">
      <w:pPr>
        <w:pStyle w:val="a3"/>
        <w:rPr>
          <w:rtl/>
        </w:rPr>
      </w:pPr>
      <w:r>
        <w:rPr>
          <w:rFonts w:hint="cs"/>
          <w:rtl/>
        </w:rPr>
        <w:t xml:space="preserve">שנינו במשנה ריש מסכת שבת: "יציאות השבת שתים שהן ארבע בפנים ושתים שהן ארבע בחוץ". </w:t>
      </w:r>
    </w:p>
    <w:p w14:paraId="7237F7FD" w14:textId="77777777" w:rsidR="00531DED" w:rsidRDefault="00531DED" w:rsidP="00E60D97">
      <w:pPr>
        <w:pStyle w:val="a3"/>
        <w:rPr>
          <w:rtl/>
        </w:rPr>
      </w:pPr>
      <w:r>
        <w:rPr>
          <w:rFonts w:hint="cs"/>
          <w:rtl/>
        </w:rPr>
        <w:t>ושם בתוד"ה פשט: "תימה לר"י אמאי צריך למתני תרתי דעני ודבעה"ב . . ונראה לר"י דאיצטריך לאשמעי' משום דהוצאה מלאכה גרועה היא דמה לי מוציא מרה"י לרה"ר מה לי מוציא מרה"י לרה"י . . ותדע מדאיצטריך תרי קראי בהוצאה . . והיינו משום דמלאכה גרועה היא איצטריך תרוייהו חד לעני וחד לעשיר", ע"ש.</w:t>
      </w:r>
    </w:p>
    <w:p w14:paraId="68319527" w14:textId="77777777" w:rsidR="00531DED" w:rsidRDefault="00531DED" w:rsidP="00E60D97">
      <w:pPr>
        <w:pStyle w:val="a3"/>
        <w:rPr>
          <w:rtl/>
        </w:rPr>
      </w:pPr>
      <w:r>
        <w:rPr>
          <w:rFonts w:hint="cs"/>
          <w:rtl/>
        </w:rPr>
        <w:t xml:space="preserve">וצריך ביאור באיזה סברא דנים כאן התוס' שמביאים לזה ראיה ("תדע" וכו'), והרי זה דהוי מלאכה גרועה (וא"א למילף עני מבעה"ב וכו') הוא דבר שא"א לפקפק בו </w:t>
      </w:r>
      <w:r>
        <w:rPr>
          <w:rtl/>
        </w:rPr>
        <w:t>–</w:t>
      </w:r>
      <w:r>
        <w:rPr>
          <w:rFonts w:hint="cs"/>
          <w:rtl/>
        </w:rPr>
        <w:t xml:space="preserve"> דכ"ה הדין דמרה"י לרה"י פטור</w:t>
      </w:r>
      <w:r>
        <w:rPr>
          <w:rStyle w:val="FootnoteReference"/>
          <w:rtl/>
        </w:rPr>
        <w:footnoteReference w:id="27"/>
      </w:r>
      <w:r>
        <w:rPr>
          <w:rFonts w:hint="cs"/>
          <w:rtl/>
        </w:rPr>
        <w:t xml:space="preserve">, וא"כ אין אנו יודעים גדר דמלאכת הוצאה, ובמילא </w:t>
      </w:r>
      <w:r>
        <w:rPr>
          <w:rFonts w:hint="cs"/>
          <w:rtl/>
        </w:rPr>
        <w:lastRenderedPageBreak/>
        <w:t>א"א למילף עני מבעה"ב וכו'</w:t>
      </w:r>
      <w:r>
        <w:rPr>
          <w:rStyle w:val="FootnoteReference"/>
          <w:rtl/>
        </w:rPr>
        <w:footnoteReference w:id="28"/>
      </w:r>
      <w:r>
        <w:rPr>
          <w:rFonts w:hint="cs"/>
          <w:rtl/>
        </w:rPr>
        <w:t>.</w:t>
      </w:r>
    </w:p>
    <w:p w14:paraId="5133E24B" w14:textId="77777777" w:rsidR="00531DED" w:rsidRDefault="00531DED" w:rsidP="00E60D97">
      <w:pPr>
        <w:pStyle w:val="a3"/>
        <w:rPr>
          <w:rtl/>
        </w:rPr>
      </w:pPr>
      <w:r>
        <w:rPr>
          <w:rFonts w:hint="cs"/>
          <w:rtl/>
        </w:rPr>
        <w:t>ובתוס' שבועות ב, א ד"ה יציאות, כתבו כעין תוס' דידן דהוי מלאכה גרועה משום דמה לי מרה"י לרה"ר וכו', וממשיכים ד"תדע ד</w:t>
      </w:r>
      <w:r w:rsidRPr="009651F2">
        <w:rPr>
          <w:rFonts w:hint="cs"/>
          <w:rtl/>
        </w:rPr>
        <w:t>מלאכה גרועה</w:t>
      </w:r>
      <w:r>
        <w:rPr>
          <w:rFonts w:hint="cs"/>
          <w:rtl/>
        </w:rPr>
        <w:t xml:space="preserve"> היא" משום דאין למדים הוצאה מהמשכן (כשאר מלאכות) אלא בעינן פסוק, ע"ש. ומפורש בדבריהם שמביאים ראיה לזה גופא דהוי מלאכה גרועה</w:t>
      </w:r>
      <w:r>
        <w:rPr>
          <w:rStyle w:val="FootnoteReference"/>
          <w:rtl/>
        </w:rPr>
        <w:footnoteReference w:id="29"/>
      </w:r>
      <w:r>
        <w:rPr>
          <w:rFonts w:hint="cs"/>
          <w:rtl/>
        </w:rPr>
        <w:t>. וצ"ב כנ"ל.</w:t>
      </w:r>
    </w:p>
    <w:p w14:paraId="4E7D2B04" w14:textId="77777777" w:rsidR="00531DED" w:rsidRDefault="00531DED" w:rsidP="00E60D97">
      <w:pPr>
        <w:pStyle w:val="a3"/>
        <w:rPr>
          <w:rtl/>
        </w:rPr>
      </w:pPr>
      <w:r>
        <w:rPr>
          <w:rFonts w:hint="cs"/>
          <w:rtl/>
        </w:rPr>
        <w:lastRenderedPageBreak/>
        <w:t>ואולי י"ל בביאור דברי התוס', דזה גופא שפטור הוא על הוצאה מרה"י לרה"י אפשר ללמוד בשתי אופנים:</w:t>
      </w:r>
      <w:r w:rsidRPr="004E0C1A">
        <w:rPr>
          <w:rFonts w:hint="cs"/>
          <w:rtl/>
        </w:rPr>
        <w:t xml:space="preserve"> א)</w:t>
      </w:r>
      <w:r>
        <w:rPr>
          <w:rFonts w:hint="cs"/>
          <w:rtl/>
        </w:rPr>
        <w:t xml:space="preserve"> דכל מלאכת הוצאה הוא מלאכה גרועה ואינה מוגדרת וכו' (ואין לך בו אלא </w:t>
      </w:r>
      <w:r w:rsidRPr="004E0C1A">
        <w:rPr>
          <w:rFonts w:hint="cs"/>
          <w:rtl/>
        </w:rPr>
        <w:t>חידושו). ב) דהחידוש</w:t>
      </w:r>
      <w:r>
        <w:rPr>
          <w:rFonts w:hint="cs"/>
          <w:rtl/>
        </w:rPr>
        <w:t xml:space="preserve"> הוא רק במה שפטור הוא מרה"י לרה"י </w:t>
      </w:r>
      <w:r>
        <w:rPr>
          <w:rtl/>
        </w:rPr>
        <w:t>–</w:t>
      </w:r>
      <w:r>
        <w:rPr>
          <w:rFonts w:hint="cs"/>
          <w:rtl/>
        </w:rPr>
        <w:t xml:space="preserve"> ואין לך בו אלא חידושו </w:t>
      </w:r>
      <w:r w:rsidRPr="00A30E75">
        <w:rPr>
          <w:rFonts w:hint="cs"/>
          <w:bCs/>
          <w:rtl/>
        </w:rPr>
        <w:t>בהפטור</w:t>
      </w:r>
      <w:r w:rsidRPr="004E0C1A">
        <w:rPr>
          <w:rStyle w:val="FootnoteReference"/>
          <w:rtl/>
        </w:rPr>
        <w:footnoteReference w:id="30"/>
      </w:r>
      <w:r>
        <w:rPr>
          <w:rFonts w:hint="cs"/>
          <w:rtl/>
        </w:rPr>
        <w:t>.</w:t>
      </w:r>
    </w:p>
    <w:p w14:paraId="32E81524" w14:textId="77777777" w:rsidR="00531DED" w:rsidRDefault="00531DED" w:rsidP="00E60D97">
      <w:pPr>
        <w:pStyle w:val="a3"/>
        <w:rPr>
          <w:rtl/>
        </w:rPr>
      </w:pPr>
      <w:r>
        <w:rPr>
          <w:rFonts w:hint="cs"/>
          <w:rtl/>
        </w:rPr>
        <w:t xml:space="preserve">ואם נאמר כאופן השני (דהחידוש הוא בהפטור) נמצא דהגם דמרה"י לרה"י פטור הוא (ולא ידעינן סברא לחלק בינו לבין מרה"י לרה"ר) מ"מ מלאכת הוצאה </w:t>
      </w:r>
      <w:r w:rsidRPr="009D492C">
        <w:rPr>
          <w:rFonts w:hint="cs"/>
          <w:bCs/>
          <w:rtl/>
        </w:rPr>
        <w:t>לא</w:t>
      </w:r>
      <w:r>
        <w:rPr>
          <w:rFonts w:hint="cs"/>
          <w:rtl/>
        </w:rPr>
        <w:t xml:space="preserve"> הוי מלאכה גרועה (ואין צורך לרבות הוצאה דעני והוצאה דבעה"ב וכו').</w:t>
      </w:r>
    </w:p>
    <w:p w14:paraId="0C7FD402" w14:textId="050C4C6A" w:rsidR="00531DED" w:rsidRDefault="00531DED" w:rsidP="00E60D97">
      <w:pPr>
        <w:pStyle w:val="a3"/>
        <w:rPr>
          <w:rtl/>
        </w:rPr>
      </w:pPr>
      <w:r>
        <w:rPr>
          <w:rFonts w:hint="cs"/>
          <w:rtl/>
        </w:rPr>
        <w:t xml:space="preserve">ועפי"ז מתורץ דיוק הנ"ל בתוס', דכדי להוכיח דהוצאה מאלכה גרועה היא לא סגי במה דמרה"י לרה"י פטור הוא (ומה לי מרה"י לרה"ר וכו') </w:t>
      </w:r>
      <w:r>
        <w:rPr>
          <w:rtl/>
        </w:rPr>
        <w:t>–</w:t>
      </w:r>
      <w:r>
        <w:rPr>
          <w:rFonts w:hint="cs"/>
          <w:rtl/>
        </w:rPr>
        <w:t xml:space="preserve"> כנ"ל (באופן הב') דאפשר לומר דהחידוש הוא רק בהפטור. ולכן מוסיפים תוס' ד"תדע" דמלאכה גרוע היא מדישנו פסוק למלאכת הוצאה (ואין למדים מהמשכן) ע"כ שהחידוש הוא במלאכת הוצאה גופא (כאופן א הנ"ל) והוי מלאכה גרועה</w:t>
      </w:r>
      <w:r>
        <w:rPr>
          <w:rStyle w:val="FootnoteReference"/>
          <w:rtl/>
        </w:rPr>
        <w:footnoteReference w:id="31"/>
      </w:r>
      <w:r>
        <w:rPr>
          <w:rFonts w:hint="cs"/>
          <w:rtl/>
        </w:rPr>
        <w:t>.</w:t>
      </w:r>
    </w:p>
    <w:p w14:paraId="68E4B1EA" w14:textId="77777777" w:rsidR="00631F2A" w:rsidRDefault="00631F2A" w:rsidP="00E60D97">
      <w:pPr>
        <w:pStyle w:val="a3"/>
        <w:rPr>
          <w:rtl/>
        </w:rPr>
        <w:sectPr w:rsidR="00631F2A" w:rsidSect="00541E5D">
          <w:footnotePr>
            <w:numRestart w:val="eachSect"/>
          </w:footnotePr>
          <w:type w:val="continuous"/>
          <w:pgSz w:w="7920" w:h="12240"/>
          <w:pgMar w:top="-810" w:right="864" w:bottom="720" w:left="864" w:header="270" w:footer="0" w:gutter="0"/>
          <w:cols w:space="720"/>
          <w:docGrid w:linePitch="360"/>
        </w:sectPr>
      </w:pPr>
    </w:p>
    <w:p w14:paraId="43DC43E4" w14:textId="55B7026B" w:rsidR="0072178A" w:rsidRDefault="0072178A" w:rsidP="00E60D97">
      <w:pPr>
        <w:pStyle w:val="M"/>
      </w:pPr>
      <w:r>
        <w:rPr>
          <w:noProof/>
        </w:rPr>
        <w:drawing>
          <wp:inline distT="0" distB="0" distL="0" distR="0" wp14:anchorId="2CDE92A0" wp14:editId="71ABC1F0">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6F900CD" w14:textId="77777777" w:rsidR="00531DED" w:rsidRDefault="00531DED" w:rsidP="00531DED">
      <w:pPr>
        <w:pStyle w:val="a0"/>
        <w:bidi w:val="0"/>
        <w:rPr>
          <w:rtl/>
        </w:rPr>
      </w:pPr>
      <w:bookmarkStart w:id="122" w:name="_Toc81540405"/>
      <w:r>
        <w:rPr>
          <w:rFonts w:hint="cs"/>
          <w:rtl/>
        </w:rPr>
        <w:t>איסור בעל קרי במחנה לויה</w:t>
      </w:r>
      <w:bookmarkEnd w:id="122"/>
    </w:p>
    <w:p w14:paraId="59A09A07" w14:textId="4F55F77F" w:rsidR="00531DED" w:rsidRDefault="00E31722" w:rsidP="0046124A">
      <w:pPr>
        <w:pStyle w:val="a"/>
        <w:rPr>
          <w:rtl/>
        </w:rPr>
      </w:pPr>
      <w:bookmarkStart w:id="123" w:name="_Toc81540406"/>
      <w:r>
        <w:rPr>
          <w:rFonts w:hint="cs"/>
          <w:rtl/>
        </w:rPr>
        <w:t xml:space="preserve">הרב </w:t>
      </w:r>
      <w:r w:rsidR="00531DED">
        <w:rPr>
          <w:rFonts w:hint="cs"/>
          <w:rtl/>
        </w:rPr>
        <w:t>שמואל גינזבורג</w:t>
      </w:r>
      <w:bookmarkEnd w:id="123"/>
    </w:p>
    <w:p w14:paraId="0141EB6B" w14:textId="77777777" w:rsidR="00531DED" w:rsidRPr="00261E9D" w:rsidRDefault="00531DED" w:rsidP="00531DED">
      <w:pPr>
        <w:pStyle w:val="a1"/>
        <w:rPr>
          <w:rtl/>
        </w:rPr>
      </w:pPr>
      <w:r>
        <w:rPr>
          <w:rFonts w:hint="cs"/>
          <w:rtl/>
        </w:rPr>
        <w:t>צפת עיה"ק</w:t>
      </w:r>
    </w:p>
    <w:p w14:paraId="58F1186C" w14:textId="77777777" w:rsidR="00531DED" w:rsidRDefault="00531DED" w:rsidP="00E60D97">
      <w:pPr>
        <w:pStyle w:val="a3"/>
        <w:rPr>
          <w:rtl/>
        </w:rPr>
      </w:pPr>
      <w:r w:rsidRPr="00261E9D">
        <w:rPr>
          <w:rtl/>
        </w:rPr>
        <w:t xml:space="preserve">איתא בגמ' (פסחים סז, ב ואילך): "א"ר יוחנן מחילות לא נתקדשו </w:t>
      </w:r>
      <w:r w:rsidRPr="00D35CC5">
        <w:rPr>
          <w:bCs/>
          <w:rtl/>
        </w:rPr>
        <w:t>ובעל קרי משתלח חוץ לשתי מחנות</w:t>
      </w:r>
      <w:r w:rsidRPr="00261E9D">
        <w:rPr>
          <w:rtl/>
        </w:rPr>
        <w:t>.</w:t>
      </w:r>
      <w:r>
        <w:rPr>
          <w:rFonts w:hint="cs"/>
          <w:rtl/>
        </w:rPr>
        <w:t>"</w:t>
      </w:r>
      <w:r w:rsidRPr="00261E9D">
        <w:rPr>
          <w:rtl/>
        </w:rPr>
        <w:t xml:space="preserve"> ועיי"ש </w:t>
      </w:r>
      <w:r>
        <w:rPr>
          <w:rFonts w:hint="cs"/>
          <w:rtl/>
        </w:rPr>
        <w:t>השקו"ט בהמשך הגמ' וההוכחות להנ"ל.</w:t>
      </w:r>
    </w:p>
    <w:p w14:paraId="3442DC0D" w14:textId="77777777" w:rsidR="00531DED" w:rsidRPr="00261E9D" w:rsidRDefault="00531DED" w:rsidP="00E60D97">
      <w:pPr>
        <w:pStyle w:val="a3"/>
        <w:rPr>
          <w:rtl/>
        </w:rPr>
      </w:pPr>
      <w:r>
        <w:rPr>
          <w:rFonts w:hint="cs"/>
          <w:rtl/>
        </w:rPr>
        <w:t>וממשיכה הגמ': "</w:t>
      </w:r>
      <w:r w:rsidRPr="00261E9D">
        <w:rPr>
          <w:rtl/>
        </w:rPr>
        <w:t>תני תנא קמיה דרב יצחק בר אבדימי ויצא אל מחוץ למחנה זו מחנה שכינה, לא יבא אל תוך המחנה זו מחנה לויה מכאן לבעל קרי שיצא חוץ לשתי מחנות . . אל תוך המחנה למה לי שמע מינה ליתן לו מחנה אחרת".</w:t>
      </w:r>
    </w:p>
    <w:p w14:paraId="0400A47C" w14:textId="77777777" w:rsidR="00531DED" w:rsidRDefault="00531DED" w:rsidP="00E60D97">
      <w:pPr>
        <w:pStyle w:val="a3"/>
        <w:rPr>
          <w:rtl/>
        </w:rPr>
      </w:pPr>
      <w:r>
        <w:rPr>
          <w:rFonts w:hint="cs"/>
          <w:rtl/>
        </w:rPr>
        <w:t xml:space="preserve">והנה "מחנה לויה" כפשטות הלשון הוא מקום מגורי הלווים במשכן, וכמ"ש </w:t>
      </w:r>
      <w:r>
        <w:rPr>
          <w:rFonts w:hint="cs"/>
          <w:rtl/>
        </w:rPr>
        <w:lastRenderedPageBreak/>
        <w:t>רש"י</w:t>
      </w:r>
      <w:r>
        <w:rPr>
          <w:rStyle w:val="FootnoteReference"/>
          <w:rFonts w:ascii="David" w:hAnsi="David" w:cs="David"/>
          <w:sz w:val="28"/>
          <w:szCs w:val="28"/>
          <w:rtl/>
        </w:rPr>
        <w:footnoteReference w:id="32"/>
      </w:r>
      <w:r>
        <w:rPr>
          <w:rFonts w:hint="cs"/>
          <w:rtl/>
        </w:rPr>
        <w:t>: "</w:t>
      </w:r>
      <w:r w:rsidRPr="003C30E0">
        <w:rPr>
          <w:rtl/>
        </w:rPr>
        <w:t xml:space="preserve">ובמדבר נמי היו ג' מחנות לפנים מן הקלעים מחנה שכינה </w:t>
      </w:r>
      <w:r w:rsidRPr="003C30E0">
        <w:rPr>
          <w:bCs/>
          <w:rtl/>
        </w:rPr>
        <w:t>והלוים יחנו סביב למשכן העדות זה מחנה לויה</w:t>
      </w:r>
      <w:r>
        <w:rPr>
          <w:rFonts w:hint="cs"/>
          <w:rtl/>
        </w:rPr>
        <w:t xml:space="preserve"> כו'".</w:t>
      </w:r>
    </w:p>
    <w:p w14:paraId="27B2E0A5" w14:textId="77777777" w:rsidR="00531DED" w:rsidRDefault="00531DED" w:rsidP="00E60D97">
      <w:pPr>
        <w:pStyle w:val="a3"/>
        <w:rPr>
          <w:rtl/>
        </w:rPr>
      </w:pPr>
      <w:r>
        <w:rPr>
          <w:rFonts w:hint="cs"/>
          <w:rtl/>
        </w:rPr>
        <w:t xml:space="preserve">ועפ"ז צע"ג כיצד הותרו הלוויים בתשה"מ כל מ' שנה שהיו במדבר, כיון שמיד אח"כ היו טמאים והיה אסור להם להשאר במחנם; ואילו היו משמשים (ובפשטות הכי גדולה אכן שימשו), היה יוצא שהזידו בטומאה במקום אסור </w:t>
      </w:r>
      <w:r>
        <w:rPr>
          <w:rtl/>
        </w:rPr>
        <w:t>–</w:t>
      </w:r>
    </w:p>
    <w:p w14:paraId="1460EB3E" w14:textId="77777777" w:rsidR="00531DED" w:rsidRDefault="00531DED" w:rsidP="00E60D97">
      <w:pPr>
        <w:pStyle w:val="a3"/>
        <w:rPr>
          <w:rtl/>
        </w:rPr>
      </w:pPr>
      <w:r>
        <w:rPr>
          <w:rFonts w:hint="cs"/>
          <w:rtl/>
        </w:rPr>
        <w:t>וגבי שאר טומאות כתב הרמב"ם</w:t>
      </w:r>
      <w:r>
        <w:rPr>
          <w:rStyle w:val="FootnoteReference"/>
          <w:rFonts w:ascii="David" w:hAnsi="David" w:cs="David"/>
          <w:sz w:val="28"/>
          <w:szCs w:val="28"/>
          <w:rtl/>
        </w:rPr>
        <w:footnoteReference w:id="33"/>
      </w:r>
      <w:r w:rsidRPr="003C30E0">
        <w:rPr>
          <w:rFonts w:hint="cs"/>
          <w:rtl/>
        </w:rPr>
        <w:t>:</w:t>
      </w:r>
      <w:r w:rsidRPr="003C30E0">
        <w:rPr>
          <w:rtl/>
        </w:rPr>
        <w:t xml:space="preserve"> </w:t>
      </w:r>
      <w:r w:rsidRPr="003C30E0">
        <w:rPr>
          <w:rFonts w:hint="cs"/>
          <w:rtl/>
        </w:rPr>
        <w:t>"</w:t>
      </w:r>
      <w:r w:rsidRPr="003C30E0">
        <w:rPr>
          <w:rtl/>
        </w:rPr>
        <w:t>אחד טמא שנכנס למקדש טהור, או טהור שנכנס למקדש שיש בו טומאה, כגון שהיה מת תחת אוהל במקדש, ונכנס הוא תחת האוהל--</w:t>
      </w:r>
      <w:r w:rsidRPr="003C30E0">
        <w:rPr>
          <w:bCs/>
          <w:rtl/>
        </w:rPr>
        <w:t>הרי זה חייב</w:t>
      </w:r>
      <w:r w:rsidRPr="003C30E0">
        <w:rPr>
          <w:rtl/>
        </w:rPr>
        <w:t xml:space="preserve"> כרת, שהרי </w:t>
      </w:r>
      <w:r w:rsidRPr="003C30E0">
        <w:rPr>
          <w:bCs/>
          <w:rtl/>
        </w:rPr>
        <w:t>ביאתו וטומאתו באין כאחת</w:t>
      </w:r>
      <w:r>
        <w:rPr>
          <w:rFonts w:hint="cs"/>
          <w:rtl/>
        </w:rPr>
        <w:t>"</w:t>
      </w:r>
      <w:r w:rsidRPr="003C30E0">
        <w:rPr>
          <w:rtl/>
        </w:rPr>
        <w:t>.</w:t>
      </w:r>
    </w:p>
    <w:p w14:paraId="652D6012" w14:textId="77777777" w:rsidR="00531DED" w:rsidRDefault="00531DED" w:rsidP="00E60D97">
      <w:pPr>
        <w:pStyle w:val="a3"/>
        <w:rPr>
          <w:rtl/>
        </w:rPr>
      </w:pPr>
      <w:r>
        <w:rPr>
          <w:rFonts w:hint="cs"/>
          <w:rtl/>
        </w:rPr>
        <w:t>*</w:t>
      </w:r>
    </w:p>
    <w:p w14:paraId="18CB755F" w14:textId="77777777" w:rsidR="00531DED" w:rsidRDefault="00531DED" w:rsidP="00E60D97">
      <w:pPr>
        <w:pStyle w:val="a3"/>
        <w:rPr>
          <w:rtl/>
        </w:rPr>
      </w:pPr>
      <w:r>
        <w:rPr>
          <w:rFonts w:hint="cs"/>
          <w:rtl/>
        </w:rPr>
        <w:t>והנה הרמב"ם לא הביא את שיטת ר"י להלכה והשמיט את איסור בעל קרי במחנה לויה (ובהר הבית) הן בהל' ביהב"ח (שם הל' טז) והן בהל' ביאת המקדש (פ"ג).</w:t>
      </w:r>
    </w:p>
    <w:p w14:paraId="50628764" w14:textId="77777777" w:rsidR="00531DED" w:rsidRDefault="00531DED" w:rsidP="00E60D97">
      <w:pPr>
        <w:pStyle w:val="a3"/>
        <w:rPr>
          <w:rtl/>
        </w:rPr>
      </w:pPr>
      <w:r>
        <w:rPr>
          <w:rFonts w:hint="cs"/>
          <w:rtl/>
        </w:rPr>
        <w:t>ותמה עליו המל"מ בב' המקומות, וז"ל בהל' ביהב"ח:</w:t>
      </w:r>
    </w:p>
    <w:p w14:paraId="6EF0E4E9" w14:textId="77777777" w:rsidR="00531DED" w:rsidRDefault="00531DED" w:rsidP="00E60D97">
      <w:pPr>
        <w:pStyle w:val="a3"/>
        <w:rPr>
          <w:rtl/>
        </w:rPr>
      </w:pPr>
      <w:r>
        <w:rPr>
          <w:rFonts w:hint="cs"/>
          <w:rtl/>
        </w:rPr>
        <w:t>"לא ידעתי למה לא הזכירו ג"כ בעל קרי שהוא משתלח חוץ לב' מחנות . . אך נראה שהדין אמת</w:t>
      </w:r>
      <w:r>
        <w:rPr>
          <w:rStyle w:val="FootnoteReference"/>
          <w:rFonts w:ascii="David" w:hAnsi="David" w:cs="David"/>
          <w:sz w:val="28"/>
          <w:szCs w:val="28"/>
          <w:rtl/>
        </w:rPr>
        <w:footnoteReference w:id="34"/>
      </w:r>
      <w:r>
        <w:rPr>
          <w:rFonts w:hint="cs"/>
          <w:rtl/>
        </w:rPr>
        <w:t xml:space="preserve"> שהרי כתב שם "הטמא המשולח מהר הבית אם נכנס עובר בלא תעשה כו' וקרא דמייתי בבעל קרי מיירי</w:t>
      </w:r>
      <w:r>
        <w:rPr>
          <w:rStyle w:val="FootnoteReference"/>
          <w:rFonts w:ascii="David" w:hAnsi="David" w:cs="David"/>
          <w:sz w:val="28"/>
          <w:szCs w:val="28"/>
          <w:rtl/>
        </w:rPr>
        <w:footnoteReference w:id="35"/>
      </w:r>
      <w:r>
        <w:rPr>
          <w:rFonts w:hint="cs"/>
          <w:rtl/>
        </w:rPr>
        <w:t>".</w:t>
      </w:r>
    </w:p>
    <w:p w14:paraId="2A8AB9D4" w14:textId="77777777" w:rsidR="00531DED" w:rsidRPr="00FA7DE5" w:rsidRDefault="00531DED" w:rsidP="00E60D97">
      <w:pPr>
        <w:pStyle w:val="a3"/>
        <w:rPr>
          <w:rtl/>
        </w:rPr>
      </w:pPr>
      <w:r>
        <w:rPr>
          <w:rFonts w:hint="cs"/>
          <w:rtl/>
        </w:rPr>
        <w:t>ואולי מחומר הקושיא הנ</w:t>
      </w:r>
      <w:r w:rsidRPr="00FA7DE5">
        <w:rPr>
          <w:rFonts w:hint="cs"/>
          <w:rtl/>
        </w:rPr>
        <w:t>"ל יש לתרץ את תמיהתו ולומר, שאכן לא שייך לומר שבעל קרי אסור במחנה לויה מטעם הנ"ל וצ"ל שרק זב ממש אסור.</w:t>
      </w:r>
    </w:p>
    <w:p w14:paraId="2707C52C" w14:textId="77777777" w:rsidR="00531DED" w:rsidRPr="00FA7DE5" w:rsidRDefault="00531DED" w:rsidP="00E60D97">
      <w:pPr>
        <w:pStyle w:val="a3"/>
        <w:rPr>
          <w:rtl/>
        </w:rPr>
      </w:pPr>
      <w:r w:rsidRPr="00FA7DE5">
        <w:rPr>
          <w:rFonts w:hint="cs"/>
          <w:rtl/>
        </w:rPr>
        <w:t xml:space="preserve">אך עדיין צ"ע, שהרי המל"מ מביא הוכחות מפורשות הן כאן והן לקמן בהל' ביהב"ח לכך שבעל קרי אסור גם במחנה לויה, וכמפורש בגמ' שם; וגם אם נאמר שדברי ר"י לא התקבלו להלכה, מ"מ צ"ע כיצד ר' יוחנן כן פסק שבעל קרי אסור </w:t>
      </w:r>
      <w:r w:rsidRPr="00FA7DE5">
        <w:rPr>
          <w:rFonts w:hint="cs"/>
          <w:rtl/>
        </w:rPr>
        <w:lastRenderedPageBreak/>
        <w:t>במחנה לויה</w:t>
      </w:r>
      <w:r w:rsidRPr="00E60D97">
        <w:rPr>
          <w:rStyle w:val="FootnoteReference"/>
          <w:rtl/>
        </w:rPr>
        <w:footnoteReference w:id="36"/>
      </w:r>
      <w:r w:rsidRPr="00FA7DE5">
        <w:rPr>
          <w:rFonts w:hint="cs"/>
          <w:rtl/>
        </w:rPr>
        <w:t>?</w:t>
      </w:r>
    </w:p>
    <w:p w14:paraId="7023E393" w14:textId="43790FC6" w:rsidR="00531DED" w:rsidRDefault="00531DED" w:rsidP="00E60D97">
      <w:pPr>
        <w:pStyle w:val="a3"/>
        <w:rPr>
          <w:rtl/>
        </w:rPr>
      </w:pPr>
      <w:r w:rsidRPr="00FA7DE5">
        <w:rPr>
          <w:rFonts w:hint="cs"/>
          <w:rtl/>
        </w:rPr>
        <w:t>וצע"ג, ואשמח לשמוע דעת הקוראים בזה</w:t>
      </w:r>
      <w:r w:rsidRPr="00E60D97">
        <w:rPr>
          <w:rStyle w:val="FootnoteReference"/>
          <w:rtl/>
        </w:rPr>
        <w:footnoteReference w:id="37"/>
      </w:r>
      <w:r w:rsidRPr="00FA7DE5">
        <w:rPr>
          <w:rFonts w:hint="cs"/>
          <w:rtl/>
        </w:rPr>
        <w:t>.</w:t>
      </w:r>
    </w:p>
    <w:p w14:paraId="165F092E" w14:textId="56EFF2EA" w:rsidR="0072178A" w:rsidRPr="00FA7DE5" w:rsidRDefault="0072178A" w:rsidP="00E60D97">
      <w:pPr>
        <w:pStyle w:val="M"/>
        <w:rPr>
          <w:rtl/>
        </w:rPr>
      </w:pPr>
      <w:r>
        <w:rPr>
          <w:noProof/>
        </w:rPr>
        <w:drawing>
          <wp:inline distT="0" distB="0" distL="0" distR="0" wp14:anchorId="4E46E69B" wp14:editId="11099BDB">
            <wp:extent cx="875763" cy="2340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ED6A806" w14:textId="77777777" w:rsidR="00631F2A" w:rsidRDefault="00631F2A" w:rsidP="00FA7DE5">
      <w:pPr>
        <w:pStyle w:val="a0"/>
        <w:rPr>
          <w:rtl/>
        </w:rPr>
        <w:sectPr w:rsidR="00631F2A" w:rsidSect="00541E5D">
          <w:footnotePr>
            <w:numRestart w:val="eachSect"/>
          </w:footnotePr>
          <w:type w:val="continuous"/>
          <w:pgSz w:w="7920" w:h="12240"/>
          <w:pgMar w:top="-810" w:right="864" w:bottom="720" w:left="864" w:header="270" w:footer="0" w:gutter="0"/>
          <w:cols w:space="720"/>
          <w:docGrid w:linePitch="360"/>
        </w:sectPr>
      </w:pPr>
    </w:p>
    <w:p w14:paraId="3591F967" w14:textId="13938EB6" w:rsidR="00FA7DE5" w:rsidRDefault="00FA7DE5" w:rsidP="00FA7DE5">
      <w:pPr>
        <w:pStyle w:val="a0"/>
      </w:pPr>
      <w:bookmarkStart w:id="124" w:name="_Toc81540407"/>
      <w:r>
        <w:rPr>
          <w:rFonts w:hint="cs"/>
          <w:rtl/>
        </w:rPr>
        <w:t>ביאור בשיטת רש"י ותוס' בדיוקו של ר' אשי "המוציא מרל"ר מי לא עסקינן וכו'"</w:t>
      </w:r>
      <w:bookmarkEnd w:id="124"/>
    </w:p>
    <w:p w14:paraId="3C19C321" w14:textId="456528AB" w:rsidR="00FA7DE5" w:rsidRPr="0043608C" w:rsidRDefault="00E31722" w:rsidP="0046124A">
      <w:pPr>
        <w:pStyle w:val="a"/>
        <w:rPr>
          <w:rtl/>
        </w:rPr>
      </w:pPr>
      <w:bookmarkStart w:id="125" w:name="_Toc81540408"/>
      <w:r>
        <w:rPr>
          <w:rFonts w:hint="cs"/>
          <w:rtl/>
        </w:rPr>
        <w:t xml:space="preserve">הרב </w:t>
      </w:r>
      <w:r w:rsidR="00FA7DE5" w:rsidRPr="0043608C">
        <w:rPr>
          <w:rFonts w:hint="cs"/>
          <w:rtl/>
        </w:rPr>
        <w:t>אלי' סימפסאן</w:t>
      </w:r>
      <w:bookmarkEnd w:id="125"/>
    </w:p>
    <w:p w14:paraId="44A08B96" w14:textId="6CBAA70D" w:rsidR="00FA7DE5" w:rsidRPr="0043608C" w:rsidRDefault="00FA7DE5" w:rsidP="00FA7DE5">
      <w:pPr>
        <w:pStyle w:val="a1"/>
        <w:bidi/>
        <w:jc w:val="right"/>
        <w:rPr>
          <w:rtl/>
        </w:rPr>
      </w:pPr>
      <w:r>
        <w:rPr>
          <w:rFonts w:hint="cs"/>
          <w:rtl/>
        </w:rPr>
        <w:t>ר"מ בישיבת ליובאוויטש סינסינאטי</w:t>
      </w:r>
    </w:p>
    <w:p w14:paraId="5E17E011" w14:textId="77777777" w:rsidR="00FA7DE5" w:rsidRPr="00FA7DE5" w:rsidRDefault="00FA7DE5" w:rsidP="00E60D97">
      <w:pPr>
        <w:pStyle w:val="a3"/>
        <w:rPr>
          <w:rtl/>
        </w:rPr>
      </w:pPr>
      <w:r w:rsidRPr="00FA7DE5">
        <w:rPr>
          <w:rFonts w:hint="cs"/>
          <w:rtl/>
        </w:rPr>
        <w:t xml:space="preserve">במס' שבת דף ב' ע"ב: "אמר ר' אשי, תנא הכנסה נמי הוצאה קרי לי'. ממאי? מדתנן 'המוציא מרשות לרשות'. מי לא עסקינן דקא מעייל מרה"ר לרה"י? וקא קרי לי' הוצאה." ופרש"י "מדתנן המוציא מרשות לרשות </w:t>
      </w:r>
      <w:r w:rsidRPr="00FA7DE5">
        <w:rPr>
          <w:rtl/>
        </w:rPr>
        <w:t>–</w:t>
      </w:r>
      <w:r w:rsidRPr="00FA7DE5">
        <w:rPr>
          <w:rFonts w:hint="cs"/>
          <w:rtl/>
        </w:rPr>
        <w:t xml:space="preserve"> קחשיב מנין אבות מלאכות בפרק כלל גדול. מי לא עסקינן כו' </w:t>
      </w:r>
      <w:r w:rsidRPr="00FA7DE5">
        <w:rPr>
          <w:rtl/>
        </w:rPr>
        <w:t>–</w:t>
      </w:r>
      <w:r w:rsidRPr="00FA7DE5">
        <w:rPr>
          <w:rFonts w:hint="cs"/>
          <w:rtl/>
        </w:rPr>
        <w:t xml:space="preserve"> דהא ע"כ אהכנסה נמי חייב כדקתני מתניתין 'העני חייב' וקתני 'המוציא'". והיינו דלדעת רש"י לאחרי שלמדנו ממשנתינו דחייב נמי אהכנסה, א"כ כדקתני בפ' כלל גדול 'המוציא מרשות לרשות' ע"כ הכנסה נמי בכלל.</w:t>
      </w:r>
    </w:p>
    <w:p w14:paraId="54FBDF90" w14:textId="77777777" w:rsidR="00FA7DE5" w:rsidRPr="00FA7DE5" w:rsidRDefault="00FA7DE5" w:rsidP="00E60D97">
      <w:pPr>
        <w:pStyle w:val="a3"/>
        <w:rPr>
          <w:rtl/>
        </w:rPr>
      </w:pPr>
      <w:r w:rsidRPr="00FA7DE5">
        <w:rPr>
          <w:rFonts w:hint="cs"/>
          <w:rtl/>
        </w:rPr>
        <w:t xml:space="preserve">ולכאורה צריך להבין כמו שהק' בתוס' הרא"ש אפרש"י "ולאו דיוקא היא, דנהי </w:t>
      </w:r>
      <w:r w:rsidRPr="00FA7DE5">
        <w:rPr>
          <w:rFonts w:hint="cs"/>
          <w:rtl/>
        </w:rPr>
        <w:lastRenderedPageBreak/>
        <w:t>דחייב אהכנסה, מ"מ תולדה דהוצאה היא, ולא חשיב התם אלא אבות".</w:t>
      </w:r>
    </w:p>
    <w:p w14:paraId="5DBC8D06" w14:textId="77777777" w:rsidR="00FA7DE5" w:rsidRPr="00FA7DE5" w:rsidRDefault="00FA7DE5" w:rsidP="00E60D97">
      <w:pPr>
        <w:pStyle w:val="a3"/>
        <w:rPr>
          <w:rtl/>
        </w:rPr>
      </w:pPr>
      <w:r w:rsidRPr="00FA7DE5">
        <w:rPr>
          <w:rFonts w:hint="cs"/>
          <w:rtl/>
        </w:rPr>
        <w:t>והנה סוגיא זו נמצא ג"כ במס' שבועות ושם הקשו אדיוקא דר' אשי "ודלמא דקא מפיק מרה"י לרה"ר?" והיינו כקושיית התוס' הרא"ש, ותירצו "א"כ ניתני המוציא מרשות היחיד לרשות הרבים. מאי מרשות לרשות? דאפילו מרשות הרבים לרשות היחיד, וקא קרי לי' הוצאה". ובתוס' הרא"ש מפרש ג"כ הכא כמו כן דהדיוק של ר' אשי הוא ממאי דקתני "מרשות לרשות" ולא "מרה"י לרה"ר". אך דא עקא, דהגמרא כאן לא הזכירה מזה דבר וחצי דבר.</w:t>
      </w:r>
    </w:p>
    <w:p w14:paraId="257B06BC" w14:textId="77777777" w:rsidR="00FA7DE5" w:rsidRPr="00FA7DE5" w:rsidRDefault="00FA7DE5" w:rsidP="00E60D97">
      <w:pPr>
        <w:pStyle w:val="a3"/>
        <w:rPr>
          <w:rtl/>
        </w:rPr>
      </w:pPr>
      <w:r w:rsidRPr="00FA7DE5">
        <w:rPr>
          <w:rFonts w:hint="cs"/>
          <w:rtl/>
        </w:rPr>
        <w:t>ובתוס' ד"ה מי לא עסקינן כתבו "ובפ"ק דשבועות פריך ואימא דקא מפיק מרה"י לרה"ר, ומשני א"כ ליתני המוציא לרה"ר, מאי מרשות לרשות, אפילו מרה"ר לרה"י." ובהשקפה ראשונה נראה דהתוס' מסכימים לדברי תוס' הרא"ש דהביאור בדיוקו של ר' אשי במכילתין הוא כמו במס' שבועות, דהיינו מהא דתנן המוציא מרל"ר ולא מרה"י לרה"ר. אך יש לומר גם להיפך דאדרבה כוונת התוס' לומר דדוקא בסוגיא דשבועות הקשו כן, משא"כ בסוגייתנו.</w:t>
      </w:r>
    </w:p>
    <w:p w14:paraId="7BBE0ED1" w14:textId="77777777" w:rsidR="00FA7DE5" w:rsidRPr="00FA7DE5" w:rsidRDefault="00FA7DE5" w:rsidP="00E60D97">
      <w:pPr>
        <w:pStyle w:val="a3"/>
        <w:rPr>
          <w:rtl/>
        </w:rPr>
      </w:pPr>
      <w:r w:rsidRPr="00FA7DE5">
        <w:rPr>
          <w:rFonts w:hint="cs"/>
          <w:rtl/>
        </w:rPr>
        <w:t xml:space="preserve">ובהמשך דבריהם כתבו התוס' "וא"ת ומ"ש דתני תולדה דהוצאה ולא תני שום תולדה דכל שאר אבות? ותירץ ריב"א דבכל שאר תולדות אם הי' רוצה לשנותם הי' צריך להאריך בלשונו, אבל הכנסה דקרוי' הוצאה כוללה עמו בקוצר." </w:t>
      </w:r>
    </w:p>
    <w:p w14:paraId="454B74CA" w14:textId="77777777" w:rsidR="00FA7DE5" w:rsidRPr="00FA7DE5" w:rsidRDefault="00FA7DE5" w:rsidP="00E60D97">
      <w:pPr>
        <w:pStyle w:val="a3"/>
        <w:rPr>
          <w:rtl/>
        </w:rPr>
      </w:pPr>
      <w:r w:rsidRPr="00FA7DE5">
        <w:rPr>
          <w:rFonts w:hint="cs"/>
          <w:rtl/>
        </w:rPr>
        <w:t xml:space="preserve">והנה במס' שבועות (ה' ע"ב) הקשו התוס' ג"כ בסגנון דומה וז"ל: "וא"ת ומאי שנא דתני תולדה דהוצאה משאר תולדות של אבות? ועוד תימה דקתני סיפא הרי אלו מ' אבות חסר אחת, משמע דלא תני שום תולדה? וי"ל דודאי המוציא מרשות לרשות עיקרה לא תנא אלא משום הוצאה, אלא דכייל הכנסה דרך קצרה. ור"ת פי' משום דהוצאה והכנסה גרועות הן והוי חידוש, תנא לה להכנסה לחודה בהדה." והנראה בהשקפה ראשונה דקושיא ראשונה דתוס' שבועות הוא קושיית התוס' דילן, רק דהוסיפו עוד קושיא מסיפא דמתניתין דכלל גדול. וכמו"כ תירוץ הראשון דתוס' הוא אותו התירוץ דתוס' דילן רק דהוסיפו עוד תירוץ מר"ת. </w:t>
      </w:r>
    </w:p>
    <w:p w14:paraId="7ACC55CD" w14:textId="77777777" w:rsidR="00FA7DE5" w:rsidRPr="00FA7DE5" w:rsidRDefault="00FA7DE5" w:rsidP="00E60D97">
      <w:pPr>
        <w:pStyle w:val="a3"/>
        <w:rPr>
          <w:rtl/>
        </w:rPr>
      </w:pPr>
      <w:r w:rsidRPr="00FA7DE5">
        <w:rPr>
          <w:rFonts w:hint="cs"/>
          <w:rtl/>
        </w:rPr>
        <w:t>ולכאורה איפכא מסתברא. דבשלמא אקושיא ראשונה דתוס', דהוא קושיית התוס' דילן, שייך שפיר תירוצו של ר"ת. דמשו"ה נשתנה תולדה דהוצאה מכל שאר תולדות דאיצטריך למיתניי' משום דהוי מלאכה גרועה. משא"כ אקושיא שני' ד"משמע דלא תני שום תולדה", מה תירצו התוס' משום דמלאכה גרועה? וכי משו"ה תני לה במתני' דאבות מלאכות? ובתוס' שלנו לא הזכירו תירוצו של ר"ת כי אם דוקא במס' שבועות, אתמהה.</w:t>
      </w:r>
    </w:p>
    <w:p w14:paraId="0C04934F" w14:textId="77777777" w:rsidR="00FA7DE5" w:rsidRPr="00FA7DE5" w:rsidRDefault="00FA7DE5" w:rsidP="00E60D97">
      <w:pPr>
        <w:pStyle w:val="a3"/>
        <w:rPr>
          <w:rtl/>
        </w:rPr>
      </w:pPr>
      <w:r w:rsidRPr="00FA7DE5">
        <w:rPr>
          <w:rFonts w:hint="cs"/>
          <w:rtl/>
        </w:rPr>
        <w:t xml:space="preserve">והנראה לומר בכל זה בהקדים ביאור דברי רש"י "מדתנן המוציא מרשות לרשות </w:t>
      </w:r>
      <w:r w:rsidRPr="00FA7DE5">
        <w:rPr>
          <w:rtl/>
        </w:rPr>
        <w:t>–</w:t>
      </w:r>
      <w:r w:rsidRPr="00FA7DE5">
        <w:rPr>
          <w:rFonts w:hint="cs"/>
          <w:rtl/>
        </w:rPr>
        <w:t xml:space="preserve"> קחשיב [גבי] מנין אבות מלאכות בפרק כלל גדול", דמאי בעי בזה? אי כוונתו רק לציין מקור המשנה דהוא בפ' כלל גדול הול"ל בקצרה "[גבי אבות מלאכות] בפרק </w:t>
      </w:r>
      <w:r w:rsidRPr="00FA7DE5">
        <w:rPr>
          <w:rFonts w:hint="cs"/>
          <w:rtl/>
        </w:rPr>
        <w:lastRenderedPageBreak/>
        <w:t>כלל גדול". ולאיזה צורך הוסיף "קחשיב גבי מנין וכו'"?!</w:t>
      </w:r>
    </w:p>
    <w:p w14:paraId="2693FEAA" w14:textId="77777777" w:rsidR="00FA7DE5" w:rsidRPr="00FA7DE5" w:rsidRDefault="00FA7DE5" w:rsidP="00E60D97">
      <w:pPr>
        <w:pStyle w:val="a3"/>
        <w:rPr>
          <w:rtl/>
        </w:rPr>
      </w:pPr>
      <w:r w:rsidRPr="00FA7DE5">
        <w:rPr>
          <w:rFonts w:hint="cs"/>
          <w:rtl/>
        </w:rPr>
        <w:t xml:space="preserve">והנה בפ' כלל גדול אמתניתין דאבות מלאכות מ' חסר אחת הקשו בגמ' "מנינא למה לי?" ותירצו "א"ר יוחנן שאם עשאן כולם בהעלם אחד חייב על כל אחת ואחת." ופרש"י (ע"פ הגהות הב"ח) "שאם עשאן כו' </w:t>
      </w:r>
      <w:r w:rsidRPr="00FA7DE5">
        <w:rPr>
          <w:rtl/>
        </w:rPr>
        <w:t>–</w:t>
      </w:r>
      <w:r w:rsidRPr="00FA7DE5">
        <w:rPr>
          <w:rFonts w:hint="cs"/>
          <w:rtl/>
        </w:rPr>
        <w:t xml:space="preserve"> ובא להודיעך שאם נתעלמו כל הלכות שבת ממנו כמה חטאות חייב עליו". היינו דכוונת המשנה להודיענו מספר הכי גבוה של חטאות שיכול אדם להתחייב כשנתעלמו ממנו כל הלכות שבת ועבר על כולם בהעלם אחד (של מלאכות). כלומר, דאפילו נתעלמו ממנו כל הלכות שבת </w:t>
      </w:r>
      <w:r w:rsidRPr="00FA7DE5">
        <w:rPr>
          <w:rtl/>
        </w:rPr>
        <w:t>–</w:t>
      </w:r>
      <w:r w:rsidRPr="00FA7DE5">
        <w:rPr>
          <w:rFonts w:hint="cs"/>
          <w:rtl/>
        </w:rPr>
        <w:t xml:space="preserve"> קרי כל האבות וכל התולדות של מלאכות </w:t>
      </w:r>
      <w:r w:rsidRPr="00FA7DE5">
        <w:rPr>
          <w:rtl/>
        </w:rPr>
        <w:t>–</w:t>
      </w:r>
      <w:r w:rsidRPr="00FA7DE5">
        <w:rPr>
          <w:rFonts w:hint="cs"/>
          <w:rtl/>
        </w:rPr>
        <w:t xml:space="preserve"> ועבר על כולם </w:t>
      </w:r>
      <w:r w:rsidRPr="00FA7DE5">
        <w:rPr>
          <w:rtl/>
        </w:rPr>
        <w:t>–</w:t>
      </w:r>
      <w:r w:rsidRPr="00FA7DE5">
        <w:rPr>
          <w:rFonts w:hint="cs"/>
          <w:rtl/>
        </w:rPr>
        <w:t xml:space="preserve"> על כל האבות עם כל תולדותיהן </w:t>
      </w:r>
      <w:r w:rsidRPr="00FA7DE5">
        <w:rPr>
          <w:rtl/>
        </w:rPr>
        <w:t>–</w:t>
      </w:r>
      <w:r w:rsidRPr="00FA7DE5">
        <w:rPr>
          <w:rFonts w:hint="cs"/>
          <w:rtl/>
        </w:rPr>
        <w:t xml:space="preserve"> אינו חייב כ"א מ' חסר אחת כיון שיש רק שלושים ותשע סוגי מלאכות, ואכל סוג חייב רק חטאת אחת.</w:t>
      </w:r>
    </w:p>
    <w:p w14:paraId="169D85BE" w14:textId="77777777" w:rsidR="00FA7DE5" w:rsidRPr="00FA7DE5" w:rsidRDefault="00FA7DE5" w:rsidP="00E60D97">
      <w:pPr>
        <w:pStyle w:val="a3"/>
        <w:rPr>
          <w:rtl/>
        </w:rPr>
      </w:pPr>
      <w:r w:rsidRPr="00FA7DE5">
        <w:rPr>
          <w:rFonts w:hint="cs"/>
          <w:rtl/>
        </w:rPr>
        <w:t xml:space="preserve">ועפ"ז יוצא דאין כוונת המשנה למנות דוקא האבות ולא התולדות כ"א למנות סוגי המלאכות, ולומר דאף אם עבר אכולם חייב רק שלושים ותשע מלאכות. ועפ"ז אדרבה כל שיכול לכלול התולדות עם האבות במתני' כל שכן שהוא כוללם, דהרי זהו כל כוונת המשנה, דאף אם עבר אכל האבות עם כל התולדות אינו חייב כ"א מ' חסר אחת. </w:t>
      </w:r>
    </w:p>
    <w:p w14:paraId="34209687" w14:textId="77777777" w:rsidR="00FA7DE5" w:rsidRPr="00FA7DE5" w:rsidRDefault="00FA7DE5" w:rsidP="00E60D97">
      <w:pPr>
        <w:pStyle w:val="a3"/>
        <w:rPr>
          <w:rtl/>
        </w:rPr>
      </w:pPr>
      <w:r w:rsidRPr="00FA7DE5">
        <w:rPr>
          <w:rFonts w:hint="cs"/>
          <w:rtl/>
        </w:rPr>
        <w:t>וי"ל דזהו דיוקו של רש"י, דכיון דדין המוציא מרשות לרשות "קחשיב גבי מנין אבות מלאכות בפ' כלל גדול", ומנינא למה לי, כדי להודיענו דאם עבר גם אתולדות מ"מ אינו חייב כ"א מ' חסר אחת, והרי "ע"כ אהכנסה נמי חייב כדקתני מתני' העני חייב" הרי על כרחינו דהכנסה נכלל בדרך ממילא בכלל דהמוציא מרשות לרשות, דכל שאתה יכול לכלול תולדות עם האבות אתה כולל (דאל"כ מנינא למה לי?), "וקתני המוציא".</w:t>
      </w:r>
    </w:p>
    <w:p w14:paraId="613B7DFA" w14:textId="77777777" w:rsidR="00FA7DE5" w:rsidRPr="00FA7DE5" w:rsidRDefault="00FA7DE5" w:rsidP="00E60D97">
      <w:pPr>
        <w:pStyle w:val="a3"/>
        <w:rPr>
          <w:rtl/>
        </w:rPr>
      </w:pPr>
      <w:r w:rsidRPr="00FA7DE5">
        <w:rPr>
          <w:rFonts w:hint="cs"/>
          <w:rtl/>
        </w:rPr>
        <w:t>וי"ל דזהו גם כן כוונת התוס', דדוקא במס' שבועות הקשו ואימא דקא מפיק מרה"י לרה"ר, דהגמרא שם לא ניחא להו בפרש"י (אולי משום דהם מפרשים "אבות" כפשוטו וכמ"ש בתוהרא"ש, ולא כרש"י דהכוונה "סוגי" מלאכות, עיין רש"י ריש ס"ח ע"א, ואולי תלוי אי גרסינן "המוציא מרשות לרשות חייב", ועי' הגהות בן ארי', ואכמ"ל) ולכן הקשו כנ"ל. משא"כ כאן דלא הזכירה הגמרא קושיא הנ"ל ע"כ ס"ל כפרש"י (ובאמת נראה דרש"י לא גריס קושיא זו גם בגמרא דשבועות עיי"ש ברש"י ריש דף ה' ע"ב).</w:t>
      </w:r>
    </w:p>
    <w:p w14:paraId="425CBDDB" w14:textId="77777777" w:rsidR="00FA7DE5" w:rsidRPr="00FA7DE5" w:rsidRDefault="00FA7DE5" w:rsidP="00E60D97">
      <w:pPr>
        <w:pStyle w:val="a3"/>
        <w:rPr>
          <w:rtl/>
        </w:rPr>
      </w:pPr>
      <w:r w:rsidRPr="00FA7DE5">
        <w:rPr>
          <w:rFonts w:hint="cs"/>
          <w:rtl/>
        </w:rPr>
        <w:t xml:space="preserve">ועפ"ז יוצא דקושיית התוס' כאן "ומ"ש דתני תולדה דהוצאה ולא תני שום תולדה דכל שאר אבות" וקושיית התוס' במס' שבועות "ומאי שנא דתני תולדה דהוצאה משאר תולדות של אבות" לא רק שהם קושיות שונות אלא הם גם הפכיות! דכאן לא איכפת להו לתוס' דתני תולדה דהוצאה, ואדרבה, כל מה שאפשר להרבות תולדות במשנה דאבות מלאכות שפיר טפי! אלא דקשיא להו, מדוע באמת לא תני שום תולדה דכל שאר אבות? משא"כ במס' שבועות הקושיא הוא להיפך, דכיון דאין כאן מקומם </w:t>
      </w:r>
      <w:r w:rsidRPr="00FA7DE5">
        <w:rPr>
          <w:rFonts w:hint="cs"/>
          <w:rtl/>
        </w:rPr>
        <w:lastRenderedPageBreak/>
        <w:t>של תולדות במשנה זו, מאי שנא תולדה דהוצאה שכן הזכירו? ומדויק שפיר בלשונם דכאן הקשו "מדוע לא תני שום תולדה דכל שאר מלאכות" ושם הקשו "מאי שנא דתני תולדה דהוצאה".</w:t>
      </w:r>
    </w:p>
    <w:p w14:paraId="7AEC52D2" w14:textId="77777777" w:rsidR="00FA7DE5" w:rsidRPr="00FA7DE5" w:rsidRDefault="00FA7DE5" w:rsidP="00E60D97">
      <w:pPr>
        <w:pStyle w:val="a3"/>
        <w:rPr>
          <w:rtl/>
        </w:rPr>
      </w:pPr>
      <w:r w:rsidRPr="00FA7DE5">
        <w:rPr>
          <w:rFonts w:hint="cs"/>
          <w:rtl/>
        </w:rPr>
        <w:t>וכמו"כ תירוצי שתי התוס' הם תירוצים שונים. דכאן תי' דבאמת אם הי' יכול לכלול תולדות דשאר אבות מבלי להאריך בלשונו בודאי הי' כוללם, ורק משום דהי' צריך להאריך לא הזכירם, ובהוצאה שלא הי' צריך להאריך, כלל תולדתו. ושם תירץ דבאמת אם הי' צריך לפרט התולדה דהכנסה לא הי' מזכירו ג"כ, ורק משום דכיון דאפשר להזכירו בדרך רמז (באופן שאינו ניכר כל כך) מבלי להאריך בלשונו, כייל לי' דרך קצרה.</w:t>
      </w:r>
    </w:p>
    <w:p w14:paraId="57324171" w14:textId="77777777" w:rsidR="00FA7DE5" w:rsidRPr="00FA7DE5" w:rsidRDefault="00FA7DE5" w:rsidP="00E60D97">
      <w:pPr>
        <w:pStyle w:val="a3"/>
        <w:rPr>
          <w:rtl/>
        </w:rPr>
      </w:pPr>
      <w:r w:rsidRPr="00FA7DE5">
        <w:rPr>
          <w:rFonts w:hint="cs"/>
          <w:rtl/>
        </w:rPr>
        <w:t xml:space="preserve">ועפ"ז אתי שפיר ג"כ מה שלא הקשו כאן קושיא השני' של תוס' "ועוד תימה דקתני סיפא 'הרי אלו מ' אבות מלאכות חסר אחת', משמע דלא תני שום תולדה", דאדרבה, לפום סוגיא דהכא כל מה שיכול להרבות תולדות במשנה דאבות מלאכות שפיר טפי (ופירוש "אבות מלאכות" הוא כמ"ש ברש"י ריש ס"ח ע"א) וכנ"ל. </w:t>
      </w:r>
    </w:p>
    <w:p w14:paraId="3E056F55" w14:textId="77777777" w:rsidR="00FA7DE5" w:rsidRPr="00FA7DE5" w:rsidRDefault="00FA7DE5" w:rsidP="00E60D97">
      <w:pPr>
        <w:pStyle w:val="a3"/>
        <w:rPr>
          <w:rtl/>
        </w:rPr>
      </w:pPr>
      <w:r w:rsidRPr="00FA7DE5">
        <w:rPr>
          <w:rFonts w:hint="cs"/>
          <w:rtl/>
        </w:rPr>
        <w:t xml:space="preserve">ומובן ג"כ דאין מקום כאן לתירוץ ר"ת "משום דהוצאה והכנסה גרועות הן", דאז לא תיהוי התירוץ מענין הקושיא. דהקושיא היתה מדוע לא תני שום תולדה דכל שאר מלאכות, ומה תירוץ שייך ע"ז דהוצאה מלאכה גרועה? וכי משום דהוצאה והכנסה מלאכות גרועות הן יגרע נחלתן של כל שאר תולדות שלא להפקד במשנה דאבות מלאכות? </w:t>
      </w:r>
    </w:p>
    <w:p w14:paraId="718CDD34" w14:textId="77777777" w:rsidR="00FA7DE5" w:rsidRPr="00FA7DE5" w:rsidRDefault="00FA7DE5" w:rsidP="00E60D97">
      <w:pPr>
        <w:pStyle w:val="a3"/>
        <w:rPr>
          <w:rtl/>
        </w:rPr>
      </w:pPr>
      <w:r w:rsidRPr="00FA7DE5">
        <w:rPr>
          <w:rFonts w:hint="cs"/>
          <w:rtl/>
        </w:rPr>
        <w:t>אלא דאקושיא דמס' שבועות שייך שפיר תירוצו דר"ת. דהנה לכאורה מדוע הזכירו התוס' הא דהוצאה והכנסה גרועות הן, וכי הוצאה מאן דכר שמי'? הרי כל הקושיא הוא אהכנסה. והרשב"א ביאר בתי' ר"ת "לפי שהוצאה מלאכה גרועה היא, וה"א שאין לה תולדה, לפיכך הוצרך לכוללה עמה". ומלבד שעפ"ז יש להקשות לאידך גיסא מדוע הזכיר דהכנסה הוי גרועה, והול"ל רק דהוצאה מלאכה גרועה וכמ"ש הרשב"א, הרי עדיין לכאו' אינו מובן מדוע כללו הכנסה במשנה זו, והלא משנה זו מפרט רק האבות? ודין דהכנסה שפיר יש ללמוד ממשנתינו דיציאות השבת ואין צורך לכללו בין אבות מלאכות.</w:t>
      </w:r>
    </w:p>
    <w:p w14:paraId="440EFF1D" w14:textId="52608629" w:rsidR="00FA7DE5" w:rsidRDefault="00FA7DE5" w:rsidP="00E60D97">
      <w:pPr>
        <w:pStyle w:val="a3"/>
        <w:rPr>
          <w:rtl/>
        </w:rPr>
      </w:pPr>
      <w:r w:rsidRPr="00FA7DE5">
        <w:rPr>
          <w:rFonts w:hint="cs"/>
          <w:rtl/>
        </w:rPr>
        <w:t xml:space="preserve">ונ"ל דכוונת התוס' לומר דבין הוצאה ובין הכנסה, כל אחד לבד הוי מלאכה גרועה. והנה זה ברור דאם הי' חייב אהוצאה ולא אהכנסה הוי הוצאה מלאכה גרועה טפי. דמה לי מרה"י לרה"ר, מה לי מרה"ר לרה"י? ומכיון דחייב בין אהוצאה בין אהכנסה הוי הוצאה קצת פחות גרוע. (וכמו ה"אטבי" דלקמן צ"ח ע"ב ברש"י "ששתי צלעות האטבי...מחזיקות זו את זו", כמו"כ הא דחייב אהכנסה ג"כ מעלי להוצאה דלא ייחשב כ"כ גרוע.) וזהו דיוק לשון התוס' "משום דהוצאה והכנסה גרועות הן והוי חידוש, תנא לה להכנסה לחודה בהדה", כלומר הטעם דחשיב הכנסה בהדי הוצאה אינו כמש"כ </w:t>
      </w:r>
      <w:r w:rsidRPr="00FA7DE5">
        <w:rPr>
          <w:rFonts w:hint="cs"/>
          <w:rtl/>
        </w:rPr>
        <w:lastRenderedPageBreak/>
        <w:t>הרשב"א דאל"כ ה"א דאין לה תולדה, אלא דחשיב הכנסה משום הוצאה. דהא דחשיב הכנסה בהדי הוצאה מוציא מלאכת הוצאה מכלל גרוע ממש שייחשב קצת פחות גרוע. ורק לצורך</w:t>
      </w:r>
      <w:r>
        <w:rPr>
          <w:rFonts w:hint="cs"/>
          <w:rtl/>
        </w:rPr>
        <w:t xml:space="preserve"> הגדרת מלאכת </w:t>
      </w:r>
      <w:r w:rsidRPr="00AD0195">
        <w:rPr>
          <w:rFonts w:hint="cs"/>
          <w:u w:val="single"/>
          <w:rtl/>
        </w:rPr>
        <w:t>הוצאה</w:t>
      </w:r>
      <w:r>
        <w:rPr>
          <w:rFonts w:hint="cs"/>
          <w:rtl/>
        </w:rPr>
        <w:t xml:space="preserve"> שפיר חשיב הכנסה בהדי' במתני' דאבות מלאכות.</w:t>
      </w:r>
    </w:p>
    <w:p w14:paraId="5C07BF3D" w14:textId="77777777" w:rsidR="007D73B5" w:rsidRPr="00613619" w:rsidRDefault="007D73B5" w:rsidP="00E60D97">
      <w:pPr>
        <w:pStyle w:val="a3"/>
        <w:rPr>
          <w:rtl/>
        </w:rPr>
      </w:pPr>
    </w:p>
    <w:p w14:paraId="33EE81B1" w14:textId="40A4674E" w:rsidR="00531DED" w:rsidRPr="00FA7DE5" w:rsidRDefault="0072178A" w:rsidP="00492226">
      <w:pPr>
        <w:pStyle w:val="M"/>
        <w:rPr>
          <w:rtl/>
          <w:lang w:val="en-US"/>
        </w:rPr>
      </w:pPr>
      <w:r>
        <w:rPr>
          <w:noProof/>
        </w:rPr>
        <w:drawing>
          <wp:inline distT="0" distB="0" distL="0" distR="0" wp14:anchorId="7E1BF94B" wp14:editId="1237A9E9">
            <wp:extent cx="875763" cy="23404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C14464F" w14:textId="15DBE256" w:rsidR="00531DED" w:rsidRPr="004E3A96" w:rsidRDefault="00531DED" w:rsidP="004E3A96">
      <w:pPr>
        <w:pStyle w:val="12"/>
        <w:rPr>
          <w:rStyle w:val="Char0"/>
          <w:rFonts w:ascii="FbSfaradi Medium" w:hAnsi="FbSfaradi Medium" w:cs="FbSfaradi Medium"/>
          <w:bCs w:val="0"/>
          <w:sz w:val="70"/>
          <w:szCs w:val="70"/>
          <w:rtl/>
        </w:rPr>
      </w:pPr>
      <w:bookmarkStart w:id="126" w:name="_Toc26492280"/>
      <w:bookmarkStart w:id="127" w:name="_Toc81540409"/>
      <w:r w:rsidRPr="006D006C">
        <w:rPr>
          <w:rFonts w:hint="cs"/>
          <w:rtl/>
        </w:rPr>
        <w:t>חסידות</w:t>
      </w:r>
      <w:bookmarkEnd w:id="126"/>
      <w:bookmarkEnd w:id="127"/>
    </w:p>
    <w:p w14:paraId="70DA0BA7" w14:textId="77777777" w:rsidR="004E3A96" w:rsidRPr="00132042" w:rsidRDefault="004E3A96" w:rsidP="004E3A96">
      <w:pPr>
        <w:pStyle w:val="a0"/>
        <w:bidi w:val="0"/>
        <w:rPr>
          <w:sz w:val="20"/>
          <w:szCs w:val="20"/>
          <w:rtl/>
        </w:rPr>
      </w:pPr>
      <w:bookmarkStart w:id="128" w:name="_Toc81540410"/>
      <w:r w:rsidRPr="00132042">
        <w:rPr>
          <w:rFonts w:hint="cs"/>
          <w:rtl/>
        </w:rPr>
        <w:t xml:space="preserve">י"ג </w:t>
      </w:r>
      <w:r w:rsidRPr="00FA7DE5">
        <w:rPr>
          <w:rFonts w:hint="cs"/>
          <w:rtl/>
        </w:rPr>
        <w:t>מדות הרחמים</w:t>
      </w:r>
      <w:r w:rsidRPr="00FA7DE5">
        <w:rPr>
          <w:rStyle w:val="FootnoteReference"/>
          <w:rFonts w:cs="David"/>
          <w:b/>
          <w:bCs w:val="0"/>
          <w:rtl/>
        </w:rPr>
        <w:footnoteReference w:id="38"/>
      </w:r>
      <w:r w:rsidRPr="00FA7DE5">
        <w:rPr>
          <w:rFonts w:hint="cs"/>
          <w:rtl/>
        </w:rPr>
        <w:t xml:space="preserve"> </w:t>
      </w:r>
      <w:r w:rsidRPr="00FA7DE5">
        <w:rPr>
          <w:rtl/>
        </w:rPr>
        <w:t>–</w:t>
      </w:r>
      <w:r w:rsidRPr="00FA7DE5">
        <w:rPr>
          <w:rFonts w:hint="cs"/>
          <w:rtl/>
        </w:rPr>
        <w:t xml:space="preserve"> חילוקי השיטות בזה</w:t>
      </w:r>
      <w:bookmarkEnd w:id="128"/>
    </w:p>
    <w:p w14:paraId="77FE0664" w14:textId="5CB5DEBE" w:rsidR="004E3A96" w:rsidRDefault="00E60D97" w:rsidP="0046124A">
      <w:pPr>
        <w:pStyle w:val="a"/>
      </w:pPr>
      <w:bookmarkStart w:id="129" w:name="_Toc81540411"/>
      <w:r>
        <w:rPr>
          <w:rFonts w:hint="cs"/>
          <w:rtl/>
        </w:rPr>
        <w:t xml:space="preserve">הרב </w:t>
      </w:r>
      <w:r w:rsidR="004E3A96" w:rsidRPr="00C0223A">
        <w:rPr>
          <w:rFonts w:hint="cs"/>
          <w:rtl/>
        </w:rPr>
        <w:t>פינחס אש</w:t>
      </w:r>
      <w:bookmarkEnd w:id="129"/>
    </w:p>
    <w:p w14:paraId="67482CED" w14:textId="77777777" w:rsidR="004E3A96" w:rsidRPr="003336E8" w:rsidRDefault="004E3A96" w:rsidP="004E3A96">
      <w:pPr>
        <w:tabs>
          <w:tab w:val="left" w:pos="284"/>
          <w:tab w:val="left" w:pos="2175"/>
          <w:tab w:val="center" w:pos="4513"/>
        </w:tabs>
        <w:spacing w:after="0"/>
        <w:jc w:val="center"/>
        <w:rPr>
          <w:rFonts w:cs="David"/>
          <w:sz w:val="20"/>
          <w:szCs w:val="20"/>
        </w:rPr>
      </w:pPr>
    </w:p>
    <w:p w14:paraId="56F07103" w14:textId="77777777" w:rsidR="004E3A96" w:rsidRPr="00C0223A" w:rsidRDefault="004E3A96" w:rsidP="00E60D97">
      <w:pPr>
        <w:pStyle w:val="a3"/>
        <w:rPr>
          <w:rtl/>
        </w:rPr>
      </w:pPr>
      <w:r w:rsidRPr="00C0223A">
        <w:rPr>
          <w:rFonts w:hint="cs"/>
          <w:rtl/>
        </w:rPr>
        <w:t xml:space="preserve">בלקוטי תורה, פרשת ראה, במאמר ד"ה אני לדודי ודודי לי, </w:t>
      </w:r>
      <w:r>
        <w:rPr>
          <w:rFonts w:hint="cs"/>
          <w:rtl/>
        </w:rPr>
        <w:t>כותב</w:t>
      </w:r>
      <w:r w:rsidRPr="00C0223A">
        <w:rPr>
          <w:rFonts w:hint="cs"/>
          <w:rtl/>
        </w:rPr>
        <w:t xml:space="preserve"> אדמו"ר הזקן ש"נודע שבאלול הוא זמן התגלות י"ג מדות הרחמים"</w:t>
      </w:r>
      <w:r w:rsidRPr="00C0223A">
        <w:rPr>
          <w:rStyle w:val="FootnoteReference"/>
          <w:rFonts w:cs="David"/>
          <w:rtl/>
        </w:rPr>
        <w:footnoteReference w:id="39"/>
      </w:r>
      <w:r w:rsidRPr="00C0223A">
        <w:rPr>
          <w:rFonts w:hint="cs"/>
          <w:rtl/>
        </w:rPr>
        <w:t xml:space="preserve">.   </w:t>
      </w:r>
    </w:p>
    <w:p w14:paraId="612C7606" w14:textId="77777777" w:rsidR="004E3A96" w:rsidRPr="00C0223A" w:rsidRDefault="004E3A96" w:rsidP="00E60D97">
      <w:pPr>
        <w:pStyle w:val="a3"/>
        <w:rPr>
          <w:rtl/>
        </w:rPr>
      </w:pPr>
      <w:r w:rsidRPr="00C0223A">
        <w:rPr>
          <w:rFonts w:hint="cs"/>
          <w:rtl/>
        </w:rPr>
        <w:t>באגרות קודש, חלק ב', עמוד שסט</w:t>
      </w:r>
      <w:r w:rsidRPr="00C0223A">
        <w:rPr>
          <w:rStyle w:val="FootnoteReference"/>
          <w:rFonts w:cs="David"/>
          <w:rtl/>
        </w:rPr>
        <w:footnoteReference w:id="40"/>
      </w:r>
      <w:r w:rsidRPr="00C0223A">
        <w:rPr>
          <w:rFonts w:hint="cs"/>
          <w:rtl/>
        </w:rPr>
        <w:t xml:space="preserve">, כותב כ"ק אדמו"ר </w:t>
      </w:r>
      <w:r>
        <w:rPr>
          <w:rFonts w:hint="cs"/>
          <w:rtl/>
        </w:rPr>
        <w:t>במענה ל</w:t>
      </w:r>
      <w:r w:rsidRPr="00C0223A">
        <w:rPr>
          <w:rFonts w:hint="cs"/>
          <w:rtl/>
        </w:rPr>
        <w:t xml:space="preserve">שאלת הרה"ח הר"ר יהודה צבי פאגעלמאן </w:t>
      </w:r>
      <w:r>
        <w:rPr>
          <w:rFonts w:hint="cs"/>
          <w:rtl/>
        </w:rPr>
        <w:t xml:space="preserve">ע"ה ששאל: </w:t>
      </w:r>
      <w:r w:rsidRPr="00C0223A">
        <w:rPr>
          <w:rFonts w:hint="cs"/>
          <w:rtl/>
        </w:rPr>
        <w:t>במאמר ד"ה עשרה שיושבין, תרפ"ח, מביא כ"ק מוהריי"צ ש"המדה הראשונה די"ג מדות הרחמים שהוא שם א-ל"</w:t>
      </w:r>
      <w:r w:rsidRPr="00C0223A">
        <w:rPr>
          <w:rStyle w:val="FootnoteReference"/>
          <w:rFonts w:cs="David"/>
          <w:rtl/>
        </w:rPr>
        <w:footnoteReference w:id="41"/>
      </w:r>
      <w:r w:rsidRPr="00C0223A">
        <w:rPr>
          <w:rFonts w:hint="cs"/>
          <w:rtl/>
        </w:rPr>
        <w:t xml:space="preserve"> והלא </w:t>
      </w:r>
      <w:r>
        <w:rPr>
          <w:rFonts w:hint="cs"/>
          <w:rtl/>
        </w:rPr>
        <w:t>זה נגד דעת התוספות ב</w:t>
      </w:r>
      <w:r w:rsidRPr="00C0223A">
        <w:rPr>
          <w:rFonts w:hint="cs"/>
          <w:rtl/>
        </w:rPr>
        <w:t>ראש השנה</w:t>
      </w:r>
      <w:r w:rsidRPr="00C0223A">
        <w:rPr>
          <w:rStyle w:val="FootnoteReference"/>
          <w:rFonts w:cs="David"/>
          <w:rtl/>
        </w:rPr>
        <w:footnoteReference w:id="42"/>
      </w:r>
      <w:r w:rsidRPr="00C0223A">
        <w:rPr>
          <w:rFonts w:hint="cs"/>
          <w:rtl/>
        </w:rPr>
        <w:t xml:space="preserve">, ד"ה שלש עשרה מדות וההגהה על התוספות שם, ששם הוי' הראשון או שם הוי' השני הוא המדה הראשונה. </w:t>
      </w:r>
    </w:p>
    <w:p w14:paraId="01B8C0A4" w14:textId="77777777" w:rsidR="004E3A96" w:rsidRPr="00C0223A" w:rsidRDefault="004E3A96" w:rsidP="00E60D97">
      <w:pPr>
        <w:pStyle w:val="a3"/>
        <w:rPr>
          <w:lang w:val="en-AU"/>
        </w:rPr>
      </w:pPr>
      <w:r w:rsidRPr="00C0223A">
        <w:rPr>
          <w:rFonts w:hint="cs"/>
          <w:rtl/>
        </w:rPr>
        <w:t xml:space="preserve">באגרת זו מבאר כ"ק אדמו"ר שיש "ד' שיטות בהתחלת מנין י"ג מדות הרחמים </w:t>
      </w:r>
      <w:r w:rsidRPr="00C0223A">
        <w:rPr>
          <w:rFonts w:hint="cs"/>
          <w:sz w:val="20"/>
          <w:szCs w:val="20"/>
          <w:rtl/>
        </w:rPr>
        <w:t xml:space="preserve">[איזוהי המדה הראשונה] </w:t>
      </w:r>
      <w:r w:rsidRPr="00C0223A">
        <w:rPr>
          <w:rFonts w:hint="cs"/>
          <w:rtl/>
        </w:rPr>
        <w:t>(</w:t>
      </w:r>
      <w:r w:rsidRPr="00C0223A">
        <w:rPr>
          <w:rtl/>
        </w:rPr>
        <w:t>הוזכרו בקרבן נתנאל ספ"א דר"ה ועייג"כ ר</w:t>
      </w:r>
      <w:r w:rsidRPr="00C0223A">
        <w:rPr>
          <w:rFonts w:hint="cs"/>
          <w:rtl/>
        </w:rPr>
        <w:t>בנו</w:t>
      </w:r>
      <w:r w:rsidRPr="00C0223A">
        <w:rPr>
          <w:rtl/>
        </w:rPr>
        <w:t xml:space="preserve"> בחיי פ' תשא</w:t>
      </w:r>
      <w:r>
        <w:rPr>
          <w:rFonts w:hint="cs"/>
          <w:rtl/>
        </w:rPr>
        <w:t>)</w:t>
      </w:r>
      <w:r w:rsidRPr="00C0223A">
        <w:rPr>
          <w:rFonts w:hint="cs"/>
          <w:rtl/>
        </w:rPr>
        <w:t>:</w:t>
      </w:r>
    </w:p>
    <w:p w14:paraId="27C2FBBE" w14:textId="77777777" w:rsidR="004E3A96" w:rsidRPr="00C0223A" w:rsidRDefault="004E3A96" w:rsidP="00E60D97">
      <w:pPr>
        <w:pStyle w:val="a3"/>
      </w:pPr>
      <w:r w:rsidRPr="00C0223A">
        <w:rPr>
          <w:bCs/>
          <w:rtl/>
        </w:rPr>
        <w:t xml:space="preserve">שם הוי' הא' </w:t>
      </w:r>
      <w:r w:rsidRPr="00C0223A">
        <w:rPr>
          <w:rtl/>
        </w:rPr>
        <w:t>(פסיקתא רבתי</w:t>
      </w:r>
      <w:r w:rsidRPr="00C0223A">
        <w:rPr>
          <w:rFonts w:hint="cs"/>
          <w:rtl/>
        </w:rPr>
        <w:t xml:space="preserve"> </w:t>
      </w:r>
      <w:r w:rsidRPr="000560DF">
        <w:rPr>
          <w:rFonts w:hint="cs"/>
          <w:sz w:val="20"/>
          <w:szCs w:val="20"/>
          <w:rtl/>
        </w:rPr>
        <w:t>[פסקא לב אות ז]</w:t>
      </w:r>
      <w:r w:rsidRPr="00C0223A">
        <w:rPr>
          <w:rFonts w:hint="cs"/>
          <w:rtl/>
        </w:rPr>
        <w:t>,</w:t>
      </w:r>
      <w:r w:rsidRPr="00C0223A">
        <w:rPr>
          <w:rtl/>
        </w:rPr>
        <w:t xml:space="preserve"> שוח"ט צ"ג, חכמי צרפת הובאו באבודרהם פי' נעילה דתענית וכנראה הם הם ר</w:t>
      </w:r>
      <w:r w:rsidRPr="00C0223A">
        <w:rPr>
          <w:rFonts w:hint="cs"/>
          <w:rtl/>
        </w:rPr>
        <w:t xml:space="preserve">בנו </w:t>
      </w:r>
      <w:r w:rsidRPr="00C0223A">
        <w:rPr>
          <w:rtl/>
        </w:rPr>
        <w:t>ת</w:t>
      </w:r>
      <w:r w:rsidRPr="00C0223A">
        <w:rPr>
          <w:rFonts w:hint="cs"/>
          <w:rtl/>
        </w:rPr>
        <w:t>ם</w:t>
      </w:r>
      <w:r w:rsidRPr="00C0223A">
        <w:rPr>
          <w:rtl/>
        </w:rPr>
        <w:t xml:space="preserve"> בתוס' שם, הראב"ע עה"ת, רא"ש ועוד</w:t>
      </w:r>
      <w:r w:rsidRPr="00C0223A">
        <w:rPr>
          <w:rFonts w:hint="cs"/>
          <w:rtl/>
        </w:rPr>
        <w:t>).</w:t>
      </w:r>
    </w:p>
    <w:p w14:paraId="7E406949" w14:textId="77777777" w:rsidR="004E3A96" w:rsidRPr="00C0223A" w:rsidRDefault="004E3A96" w:rsidP="00E60D97">
      <w:pPr>
        <w:pStyle w:val="a3"/>
      </w:pPr>
      <w:r w:rsidRPr="00C0223A">
        <w:rPr>
          <w:bCs/>
          <w:rtl/>
        </w:rPr>
        <w:t xml:space="preserve">שם הוי' השני </w:t>
      </w:r>
      <w:r w:rsidRPr="00C0223A">
        <w:rPr>
          <w:rtl/>
        </w:rPr>
        <w:t>(</w:t>
      </w:r>
      <w:r w:rsidRPr="00C0223A">
        <w:rPr>
          <w:rFonts w:hint="cs"/>
          <w:rtl/>
        </w:rPr>
        <w:t xml:space="preserve">רבנו </w:t>
      </w:r>
      <w:r w:rsidRPr="00C0223A">
        <w:rPr>
          <w:rtl/>
        </w:rPr>
        <w:t>נ</w:t>
      </w:r>
      <w:r w:rsidRPr="00C0223A">
        <w:rPr>
          <w:rFonts w:hint="cs"/>
          <w:rtl/>
        </w:rPr>
        <w:t xml:space="preserve">סים </w:t>
      </w:r>
      <w:r w:rsidRPr="00C0223A">
        <w:rPr>
          <w:rtl/>
        </w:rPr>
        <w:t>ג</w:t>
      </w:r>
      <w:r w:rsidRPr="00C0223A">
        <w:rPr>
          <w:rFonts w:hint="cs"/>
          <w:rtl/>
        </w:rPr>
        <w:t>און הובא בתוס' שם</w:t>
      </w:r>
      <w:r w:rsidRPr="00C0223A">
        <w:rPr>
          <w:rtl/>
        </w:rPr>
        <w:t xml:space="preserve"> </w:t>
      </w:r>
      <w:r w:rsidRPr="00C0223A">
        <w:rPr>
          <w:rFonts w:hint="cs"/>
          <w:rtl/>
        </w:rPr>
        <w:t>ו</w:t>
      </w:r>
      <w:r w:rsidRPr="00C0223A">
        <w:rPr>
          <w:rtl/>
        </w:rPr>
        <w:t xml:space="preserve">בהגהה לתוס' שם, גאון הובא </w:t>
      </w:r>
      <w:r w:rsidRPr="00C0223A">
        <w:rPr>
          <w:rtl/>
        </w:rPr>
        <w:lastRenderedPageBreak/>
        <w:t>בראב"ע שם, וע"פ הקדמת הראב"ע לפירושו הוא ר' סעדי' גאון. וכ"מ קצת לפי</w:t>
      </w:r>
      <w:r w:rsidRPr="00C0223A">
        <w:rPr>
          <w:rFonts w:hint="cs"/>
          <w:rtl/>
        </w:rPr>
        <w:t xml:space="preserve"> </w:t>
      </w:r>
      <w:r w:rsidRPr="00C0223A">
        <w:rPr>
          <w:bCs/>
          <w:rtl/>
        </w:rPr>
        <w:t>אחד</w:t>
      </w:r>
      <w:r w:rsidRPr="00C0223A">
        <w:rPr>
          <w:rtl/>
        </w:rPr>
        <w:t xml:space="preserve"> בספר הלקוטים להאריז"ל פ' כי תשא</w:t>
      </w:r>
      <w:r w:rsidRPr="00C0223A">
        <w:rPr>
          <w:rFonts w:hint="cs"/>
          <w:rtl/>
        </w:rPr>
        <w:t>).</w:t>
      </w:r>
      <w:r w:rsidRPr="00C0223A">
        <w:rPr>
          <w:rStyle w:val="FootnoteReference"/>
          <w:rFonts w:cs="David"/>
          <w:rtl/>
        </w:rPr>
        <w:footnoteReference w:id="43"/>
      </w:r>
      <w:r w:rsidRPr="00C0223A">
        <w:rPr>
          <w:rFonts w:hint="cs"/>
          <w:rtl/>
        </w:rPr>
        <w:t xml:space="preserve"> </w:t>
      </w:r>
    </w:p>
    <w:p w14:paraId="08140E62" w14:textId="77777777" w:rsidR="004E3A96" w:rsidRPr="00C0223A" w:rsidRDefault="004E3A96" w:rsidP="00E60D97">
      <w:pPr>
        <w:pStyle w:val="a3"/>
      </w:pPr>
      <w:r w:rsidRPr="00C0223A">
        <w:rPr>
          <w:bCs/>
          <w:rtl/>
        </w:rPr>
        <w:t xml:space="preserve">א-ל </w:t>
      </w:r>
      <w:r w:rsidRPr="00C0223A">
        <w:rPr>
          <w:rtl/>
        </w:rPr>
        <w:t>(זח"ג קלא, ב. ע"ח שער א</w:t>
      </w:r>
      <w:r w:rsidRPr="00C0223A">
        <w:rPr>
          <w:rFonts w:hint="cs"/>
          <w:rtl/>
        </w:rPr>
        <w:t xml:space="preserve">ריך </w:t>
      </w:r>
      <w:r w:rsidRPr="00C0223A">
        <w:rPr>
          <w:rtl/>
        </w:rPr>
        <w:t>א</w:t>
      </w:r>
      <w:r w:rsidRPr="00C0223A">
        <w:rPr>
          <w:rFonts w:hint="cs"/>
          <w:rtl/>
        </w:rPr>
        <w:t>נפין</w:t>
      </w:r>
      <w:r w:rsidRPr="00C0223A">
        <w:rPr>
          <w:rtl/>
        </w:rPr>
        <w:t xml:space="preserve"> פי"א. פ</w:t>
      </w:r>
      <w:r w:rsidRPr="00C0223A">
        <w:rPr>
          <w:rFonts w:hint="cs"/>
          <w:rtl/>
        </w:rPr>
        <w:t xml:space="preserve">רי </w:t>
      </w:r>
      <w:r w:rsidRPr="00C0223A">
        <w:rPr>
          <w:rtl/>
        </w:rPr>
        <w:t>ע</w:t>
      </w:r>
      <w:r w:rsidRPr="00C0223A">
        <w:rPr>
          <w:rFonts w:hint="cs"/>
          <w:rtl/>
        </w:rPr>
        <w:t xml:space="preserve">ץ </w:t>
      </w:r>
      <w:r w:rsidRPr="00C0223A">
        <w:rPr>
          <w:rtl/>
        </w:rPr>
        <w:t>ח</w:t>
      </w:r>
      <w:r w:rsidRPr="00C0223A">
        <w:rPr>
          <w:rFonts w:hint="cs"/>
          <w:rtl/>
        </w:rPr>
        <w:t>יים</w:t>
      </w:r>
      <w:r w:rsidRPr="00C0223A">
        <w:rPr>
          <w:rtl/>
        </w:rPr>
        <w:t xml:space="preserve"> שער הסליחות פ"ד. שער הכוונות דרושי ויעבור דרוש ג' ואילך</w:t>
      </w:r>
      <w:r w:rsidRPr="00C0223A">
        <w:rPr>
          <w:rFonts w:hint="cs"/>
          <w:rtl/>
        </w:rPr>
        <w:t>.</w:t>
      </w:r>
      <w:r w:rsidRPr="00C0223A">
        <w:rPr>
          <w:rtl/>
        </w:rPr>
        <w:t xml:space="preserve"> משנת חסידים מסכת שארית האצילות פ"י ואילך. ועוד</w:t>
      </w:r>
      <w:r w:rsidRPr="00C0223A">
        <w:rPr>
          <w:rStyle w:val="FootnoteReference"/>
          <w:rFonts w:cs="David"/>
          <w:rtl/>
        </w:rPr>
        <w:footnoteReference w:id="44"/>
      </w:r>
      <w:r w:rsidRPr="00C0223A">
        <w:rPr>
          <w:rFonts w:hint="cs"/>
          <w:rtl/>
        </w:rPr>
        <w:t>).</w:t>
      </w:r>
    </w:p>
    <w:p w14:paraId="047878A2" w14:textId="77777777" w:rsidR="004E3A96" w:rsidRPr="00C0223A" w:rsidRDefault="004E3A96" w:rsidP="00E60D97">
      <w:pPr>
        <w:pStyle w:val="a3"/>
        <w:rPr>
          <w:rtl/>
        </w:rPr>
      </w:pPr>
      <w:r w:rsidRPr="00C0223A">
        <w:rPr>
          <w:bCs/>
          <w:rtl/>
        </w:rPr>
        <w:t>רחום</w:t>
      </w:r>
      <w:r w:rsidRPr="00C0223A">
        <w:rPr>
          <w:rtl/>
        </w:rPr>
        <w:t xml:space="preserve"> (ס' חסידים סי' רנ. מהר"ל מפראג בס' נתיבות עולם נתיב התשובה פ"ו</w:t>
      </w:r>
      <w:r w:rsidRPr="00C0223A">
        <w:rPr>
          <w:rFonts w:hint="cs"/>
          <w:rtl/>
        </w:rPr>
        <w:t>)".</w:t>
      </w:r>
    </w:p>
    <w:p w14:paraId="1CB886B7" w14:textId="77777777" w:rsidR="004E3A96" w:rsidRPr="00C0223A" w:rsidRDefault="004E3A96" w:rsidP="00E60D97">
      <w:pPr>
        <w:pStyle w:val="a3"/>
        <w:rPr>
          <w:rtl/>
        </w:rPr>
      </w:pPr>
      <w:r w:rsidRPr="00C0223A">
        <w:rPr>
          <w:rFonts w:hint="cs"/>
          <w:rtl/>
        </w:rPr>
        <w:t>ו</w:t>
      </w:r>
      <w:r>
        <w:rPr>
          <w:rFonts w:hint="cs"/>
          <w:rtl/>
        </w:rPr>
        <w:t xml:space="preserve">כ"ק אדמו"ר </w:t>
      </w:r>
      <w:r w:rsidRPr="00C0223A">
        <w:rPr>
          <w:rFonts w:hint="cs"/>
          <w:rtl/>
        </w:rPr>
        <w:t xml:space="preserve">ממשיך באגרת זו ש"ההחלטה המקובלת בעניני סתרי תורה היא על פי חכמי הקבלה". </w:t>
      </w:r>
      <w:r>
        <w:rPr>
          <w:rFonts w:hint="cs"/>
          <w:rtl/>
        </w:rPr>
        <w:t>ו</w:t>
      </w:r>
      <w:r w:rsidRPr="00C0223A">
        <w:rPr>
          <w:rFonts w:hint="cs"/>
          <w:rtl/>
        </w:rPr>
        <w:t xml:space="preserve">לפי זה מובן </w:t>
      </w:r>
      <w:r>
        <w:rPr>
          <w:rFonts w:hint="cs"/>
          <w:rtl/>
        </w:rPr>
        <w:t>ש</w:t>
      </w:r>
      <w:r w:rsidRPr="00C0223A">
        <w:rPr>
          <w:rFonts w:hint="cs"/>
          <w:rtl/>
        </w:rPr>
        <w:t>מה שכ"ק מוהריי"ץ מביא במאמר הנ"ל שהי"ג מדות הרחמים מתחילות משם א-ל,</w:t>
      </w:r>
      <w:r>
        <w:rPr>
          <w:rFonts w:hint="cs"/>
          <w:rtl/>
        </w:rPr>
        <w:t xml:space="preserve"> הוא</w:t>
      </w:r>
      <w:r w:rsidRPr="00C0223A">
        <w:rPr>
          <w:rFonts w:hint="cs"/>
          <w:rtl/>
        </w:rPr>
        <w:t xml:space="preserve"> מאחר שזה מתאים עם שיטת המקובלים. </w:t>
      </w:r>
    </w:p>
    <w:p w14:paraId="6E14E63B" w14:textId="77777777" w:rsidR="004E3A96" w:rsidRPr="00FA7DE5" w:rsidRDefault="004E3A96" w:rsidP="00E60D97">
      <w:pPr>
        <w:pStyle w:val="a3"/>
        <w:rPr>
          <w:rtl/>
        </w:rPr>
      </w:pPr>
      <w:r w:rsidRPr="00C0223A">
        <w:rPr>
          <w:rFonts w:hint="cs"/>
          <w:rtl/>
        </w:rPr>
        <w:t>מאחר ש</w:t>
      </w:r>
      <w:r>
        <w:rPr>
          <w:rFonts w:hint="cs"/>
          <w:rtl/>
        </w:rPr>
        <w:t xml:space="preserve">ישנן </w:t>
      </w:r>
      <w:r w:rsidRPr="00C0223A">
        <w:rPr>
          <w:rFonts w:hint="cs"/>
          <w:rtl/>
        </w:rPr>
        <w:t xml:space="preserve">ד' שיטות </w:t>
      </w:r>
      <w:r>
        <w:rPr>
          <w:rFonts w:hint="cs"/>
          <w:rtl/>
        </w:rPr>
        <w:t>מהיכן</w:t>
      </w:r>
      <w:r w:rsidRPr="00C0223A">
        <w:rPr>
          <w:rFonts w:hint="cs"/>
          <w:rtl/>
        </w:rPr>
        <w:t xml:space="preserve"> מתחילין למנות</w:t>
      </w:r>
      <w:r>
        <w:rPr>
          <w:rFonts w:hint="cs"/>
          <w:rtl/>
        </w:rPr>
        <w:t xml:space="preserve"> את</w:t>
      </w:r>
      <w:r w:rsidRPr="00C0223A">
        <w:rPr>
          <w:rFonts w:hint="cs"/>
          <w:rtl/>
        </w:rPr>
        <w:t xml:space="preserve"> הי"ג מדות שבפסוק ויעבור וגו'</w:t>
      </w:r>
      <w:r w:rsidRPr="00C0223A">
        <w:rPr>
          <w:rFonts w:hint="cs"/>
          <w:sz w:val="16"/>
          <w:vertAlign w:val="superscript"/>
          <w:rtl/>
        </w:rPr>
        <w:t>1</w:t>
      </w:r>
      <w:r w:rsidRPr="00C0223A">
        <w:rPr>
          <w:rFonts w:hint="cs"/>
          <w:rtl/>
        </w:rPr>
        <w:t>, ממילא מובן שיש</w:t>
      </w:r>
      <w:r>
        <w:rPr>
          <w:rFonts w:hint="cs"/>
          <w:rtl/>
        </w:rPr>
        <w:t>נם</w:t>
      </w:r>
      <w:r w:rsidRPr="00C0223A">
        <w:rPr>
          <w:rFonts w:hint="cs"/>
          <w:rtl/>
        </w:rPr>
        <w:t xml:space="preserve"> גם כן חילוקי </w:t>
      </w:r>
      <w:r>
        <w:rPr>
          <w:rFonts w:hint="cs"/>
          <w:rtl/>
        </w:rPr>
        <w:t>דעות</w:t>
      </w:r>
      <w:r w:rsidRPr="00C0223A">
        <w:rPr>
          <w:rFonts w:hint="cs"/>
          <w:rtl/>
        </w:rPr>
        <w:t xml:space="preserve"> מה הן בפרטיות הי"ג מדות הרחמים הכתובים בהמשך הפסוק.  להלן החלוקה לפי מה שכתבו הדעות השונות הנ"ל.</w:t>
      </w:r>
    </w:p>
    <w:p w14:paraId="32D157C6" w14:textId="77777777" w:rsidR="004E3A96" w:rsidRPr="00FA7DE5" w:rsidRDefault="004E3A96" w:rsidP="00E60D97">
      <w:pPr>
        <w:pStyle w:val="11"/>
        <w:bidi/>
        <w:rPr>
          <w:rFonts w:cs="David"/>
          <w:rtl/>
        </w:rPr>
      </w:pPr>
      <w:r w:rsidRPr="00C0223A">
        <w:rPr>
          <w:rFonts w:hint="cs"/>
          <w:rtl/>
        </w:rPr>
        <w:t>1</w:t>
      </w:r>
      <w:r>
        <w:rPr>
          <w:rFonts w:hint="cs"/>
          <w:rtl/>
        </w:rPr>
        <w:t xml:space="preserve"> </w:t>
      </w:r>
      <w:r w:rsidRPr="00C0223A">
        <w:rPr>
          <w:rFonts w:hint="cs"/>
          <w:rtl/>
        </w:rPr>
        <w:t>שם הוי' הא' הוא המדה הראשונה - שיטת ר"ת</w:t>
      </w:r>
      <w:r w:rsidRPr="00C0223A">
        <w:rPr>
          <w:rStyle w:val="FootnoteReference"/>
          <w:rFonts w:cs="David"/>
          <w:b/>
          <w:bCs w:val="0"/>
          <w:rtl/>
        </w:rPr>
        <w:footnoteReference w:id="45"/>
      </w:r>
      <w:r w:rsidRPr="00C0223A">
        <w:rPr>
          <w:rFonts w:hint="cs"/>
          <w:rtl/>
        </w:rPr>
        <w:t>, וראב"ע עה"ת</w:t>
      </w:r>
      <w:r w:rsidRPr="00C0223A">
        <w:rPr>
          <w:rFonts w:hint="cs"/>
          <w:sz w:val="16"/>
          <w:vertAlign w:val="superscript"/>
          <w:rtl/>
        </w:rPr>
        <w:t>1</w:t>
      </w:r>
      <w:r w:rsidRPr="00C0223A">
        <w:rPr>
          <w:rFonts w:hint="cs"/>
          <w:rtl/>
        </w:rPr>
        <w:t>, והרא"ש</w:t>
      </w:r>
      <w:r w:rsidRPr="00C0223A">
        <w:rPr>
          <w:rStyle w:val="FootnoteReference"/>
          <w:rFonts w:cs="David"/>
          <w:b/>
          <w:bCs w:val="0"/>
          <w:rtl/>
        </w:rPr>
        <w:footnoteReference w:id="46"/>
      </w:r>
      <w:r w:rsidRPr="00C0223A">
        <w:rPr>
          <w:rFonts w:hint="cs"/>
          <w:rtl/>
        </w:rPr>
        <w:t>.</w:t>
      </w:r>
    </w:p>
    <w:p w14:paraId="242127F7" w14:textId="77777777" w:rsidR="004E3A96" w:rsidRPr="00C0223A" w:rsidRDefault="004E3A96" w:rsidP="00E60D97">
      <w:pPr>
        <w:pStyle w:val="a3"/>
        <w:rPr>
          <w:rtl/>
        </w:rPr>
      </w:pPr>
      <w:r w:rsidRPr="00C0223A">
        <w:rPr>
          <w:rFonts w:hint="cs"/>
          <w:sz w:val="22"/>
          <w:szCs w:val="22"/>
          <w:rtl/>
        </w:rPr>
        <w:t>1</w:t>
      </w:r>
      <w:r w:rsidRPr="00C0223A">
        <w:rPr>
          <w:rFonts w:hint="cs"/>
          <w:rtl/>
        </w:rPr>
        <w:t xml:space="preserve"> - ה';  2 - ה';  3 </w:t>
      </w:r>
      <w:r w:rsidRPr="00C0223A">
        <w:rPr>
          <w:rtl/>
        </w:rPr>
        <w:t>–</w:t>
      </w:r>
      <w:r w:rsidRPr="00C0223A">
        <w:rPr>
          <w:rFonts w:hint="cs"/>
          <w:rtl/>
        </w:rPr>
        <w:t xml:space="preserve"> א-ל;  4 </w:t>
      </w:r>
      <w:r w:rsidRPr="00C0223A">
        <w:rPr>
          <w:rtl/>
        </w:rPr>
        <w:t>–</w:t>
      </w:r>
      <w:r w:rsidRPr="00C0223A">
        <w:rPr>
          <w:rFonts w:hint="cs"/>
          <w:rtl/>
        </w:rPr>
        <w:t xml:space="preserve"> רחום;  5 </w:t>
      </w:r>
      <w:r w:rsidRPr="00C0223A">
        <w:rPr>
          <w:rtl/>
        </w:rPr>
        <w:t>–</w:t>
      </w:r>
      <w:r w:rsidRPr="00C0223A">
        <w:rPr>
          <w:rFonts w:hint="cs"/>
          <w:rtl/>
        </w:rPr>
        <w:t xml:space="preserve"> וחנון;  6 </w:t>
      </w:r>
      <w:r w:rsidRPr="00C0223A">
        <w:rPr>
          <w:rtl/>
        </w:rPr>
        <w:t>–</w:t>
      </w:r>
      <w:r w:rsidRPr="00C0223A">
        <w:rPr>
          <w:rFonts w:hint="cs"/>
          <w:rtl/>
        </w:rPr>
        <w:t xml:space="preserve"> ארך אפים;  7 </w:t>
      </w:r>
      <w:r w:rsidRPr="00C0223A">
        <w:rPr>
          <w:rtl/>
        </w:rPr>
        <w:t>–</w:t>
      </w:r>
      <w:r w:rsidRPr="00C0223A">
        <w:rPr>
          <w:rFonts w:hint="cs"/>
          <w:rtl/>
        </w:rPr>
        <w:t xml:space="preserve"> ורב חסד;  8 </w:t>
      </w:r>
      <w:r w:rsidRPr="00C0223A">
        <w:rPr>
          <w:rtl/>
        </w:rPr>
        <w:t>–</w:t>
      </w:r>
      <w:r w:rsidRPr="00C0223A">
        <w:rPr>
          <w:rFonts w:hint="cs"/>
          <w:rtl/>
        </w:rPr>
        <w:t xml:space="preserve"> ואמת</w:t>
      </w:r>
      <w:r w:rsidRPr="00C0223A">
        <w:rPr>
          <w:rStyle w:val="FootnoteReference"/>
          <w:rFonts w:cs="David"/>
          <w:rtl/>
        </w:rPr>
        <w:footnoteReference w:id="47"/>
      </w:r>
      <w:r w:rsidRPr="00C0223A">
        <w:rPr>
          <w:rFonts w:hint="cs"/>
          <w:rtl/>
        </w:rPr>
        <w:t>;</w:t>
      </w:r>
    </w:p>
    <w:p w14:paraId="2706EAD3" w14:textId="77777777" w:rsidR="004E3A96" w:rsidRDefault="004E3A96" w:rsidP="00E60D97">
      <w:pPr>
        <w:pStyle w:val="a3"/>
        <w:rPr>
          <w:rtl/>
        </w:rPr>
      </w:pPr>
      <w:r w:rsidRPr="00C0223A">
        <w:rPr>
          <w:rFonts w:hint="cs"/>
          <w:rtl/>
        </w:rPr>
        <w:lastRenderedPageBreak/>
        <w:t xml:space="preserve">9 </w:t>
      </w:r>
      <w:r w:rsidRPr="00C0223A">
        <w:rPr>
          <w:rtl/>
        </w:rPr>
        <w:t>–</w:t>
      </w:r>
      <w:r w:rsidRPr="00C0223A">
        <w:rPr>
          <w:rFonts w:hint="cs"/>
          <w:rtl/>
        </w:rPr>
        <w:t xml:space="preserve"> נוצר חסד לאלפים;  10 </w:t>
      </w:r>
      <w:r w:rsidRPr="00C0223A">
        <w:rPr>
          <w:rtl/>
        </w:rPr>
        <w:t>–</w:t>
      </w:r>
      <w:r w:rsidRPr="00C0223A">
        <w:rPr>
          <w:rFonts w:hint="cs"/>
          <w:rtl/>
        </w:rPr>
        <w:t xml:space="preserve"> נושא עון</w:t>
      </w:r>
      <w:r w:rsidRPr="00C0223A">
        <w:rPr>
          <w:rStyle w:val="FootnoteReference"/>
          <w:rFonts w:cs="David"/>
          <w:rtl/>
        </w:rPr>
        <w:footnoteReference w:id="48"/>
      </w:r>
      <w:r w:rsidRPr="00C0223A">
        <w:rPr>
          <w:rFonts w:hint="cs"/>
          <w:rtl/>
        </w:rPr>
        <w:t xml:space="preserve">;  11 </w:t>
      </w:r>
      <w:r w:rsidRPr="00C0223A">
        <w:rPr>
          <w:rtl/>
        </w:rPr>
        <w:t>–</w:t>
      </w:r>
      <w:r w:rsidRPr="00C0223A">
        <w:rPr>
          <w:rFonts w:hint="cs"/>
          <w:rtl/>
        </w:rPr>
        <w:t xml:space="preserve"> ופשע</w:t>
      </w:r>
      <w:r w:rsidRPr="00C0223A">
        <w:rPr>
          <w:rStyle w:val="FootnoteReference"/>
          <w:rFonts w:cs="David"/>
          <w:rtl/>
        </w:rPr>
        <w:footnoteReference w:id="49"/>
      </w:r>
      <w:r w:rsidRPr="00C0223A">
        <w:rPr>
          <w:rFonts w:hint="cs"/>
          <w:rtl/>
        </w:rPr>
        <w:t xml:space="preserve">;  12 </w:t>
      </w:r>
      <w:r w:rsidRPr="00C0223A">
        <w:rPr>
          <w:rtl/>
        </w:rPr>
        <w:t>–</w:t>
      </w:r>
      <w:r w:rsidRPr="00C0223A">
        <w:rPr>
          <w:rFonts w:hint="cs"/>
          <w:rtl/>
        </w:rPr>
        <w:t xml:space="preserve"> וחטאה</w:t>
      </w:r>
      <w:r w:rsidRPr="00C0223A">
        <w:rPr>
          <w:rStyle w:val="FootnoteReference"/>
          <w:rFonts w:cs="David"/>
          <w:rtl/>
        </w:rPr>
        <w:footnoteReference w:id="50"/>
      </w:r>
      <w:r w:rsidRPr="00C0223A">
        <w:rPr>
          <w:rFonts w:hint="cs"/>
          <w:rtl/>
        </w:rPr>
        <w:t xml:space="preserve">;  13 </w:t>
      </w:r>
      <w:r w:rsidRPr="00C0223A">
        <w:rPr>
          <w:rtl/>
        </w:rPr>
        <w:t>–</w:t>
      </w:r>
      <w:r w:rsidRPr="00C0223A">
        <w:rPr>
          <w:rFonts w:hint="cs"/>
          <w:rtl/>
        </w:rPr>
        <w:t xml:space="preserve"> ונקה</w:t>
      </w:r>
      <w:r>
        <w:rPr>
          <w:rFonts w:hint="cs"/>
          <w:rtl/>
        </w:rPr>
        <w:t>.</w:t>
      </w:r>
    </w:p>
    <w:p w14:paraId="4F6B6E0D" w14:textId="77777777" w:rsidR="004E3A96" w:rsidRPr="00FA7DE5" w:rsidRDefault="004E3A96" w:rsidP="004E3A96">
      <w:pPr>
        <w:pStyle w:val="igroystext"/>
        <w:bidi/>
        <w:spacing w:before="0" w:beforeAutospacing="0" w:after="0" w:afterAutospacing="0" w:line="276" w:lineRule="auto"/>
        <w:jc w:val="center"/>
        <w:rPr>
          <w:rFonts w:cs="David"/>
          <w:rtl/>
          <w:lang w:bidi="he-IL"/>
        </w:rPr>
      </w:pPr>
    </w:p>
    <w:p w14:paraId="6769DAE9" w14:textId="77777777" w:rsidR="004E3A96" w:rsidRPr="00FA7DE5" w:rsidRDefault="004E3A96" w:rsidP="00E60D97">
      <w:pPr>
        <w:pStyle w:val="11"/>
        <w:bidi/>
        <w:rPr>
          <w:rtl/>
        </w:rPr>
      </w:pPr>
      <w:r w:rsidRPr="00FA7DE5">
        <w:rPr>
          <w:rFonts w:hint="cs"/>
          <w:rtl/>
        </w:rPr>
        <w:t>2.1 שם הוי' השני הוא המדה הראשונה - שיטת רבנו נסים גאון לפי הר"ת והרא"ש והר"ן שם,  והרי"ף לפי פירוש הר"ן.</w:t>
      </w:r>
    </w:p>
    <w:p w14:paraId="630015F4" w14:textId="77777777" w:rsidR="004E3A96" w:rsidRPr="00C0223A" w:rsidRDefault="004E3A96" w:rsidP="004E3A96">
      <w:pPr>
        <w:pStyle w:val="igroystext"/>
        <w:bidi/>
        <w:spacing w:before="0" w:beforeAutospacing="0" w:after="0" w:afterAutospacing="0" w:line="276" w:lineRule="auto"/>
        <w:rPr>
          <w:rFonts w:cs="David"/>
          <w:b/>
          <w:bCs/>
          <w:rtl/>
          <w:lang w:bidi="he-IL"/>
        </w:rPr>
      </w:pPr>
    </w:p>
    <w:p w14:paraId="15570E68" w14:textId="77777777" w:rsidR="004E3A96" w:rsidRPr="00C0223A" w:rsidRDefault="004E3A96" w:rsidP="00E60D97">
      <w:pPr>
        <w:pStyle w:val="a3"/>
        <w:rPr>
          <w:rtl/>
        </w:rPr>
      </w:pPr>
      <w:r w:rsidRPr="00C0223A">
        <w:rPr>
          <w:rFonts w:hint="cs"/>
          <w:sz w:val="22"/>
          <w:szCs w:val="22"/>
          <w:rtl/>
        </w:rPr>
        <w:t>1</w:t>
      </w:r>
      <w:r w:rsidRPr="00C0223A">
        <w:rPr>
          <w:rFonts w:hint="cs"/>
          <w:rtl/>
        </w:rPr>
        <w:t xml:space="preserve"> - ה' </w:t>
      </w:r>
      <w:r w:rsidRPr="00C0223A">
        <w:rPr>
          <w:rFonts w:hint="cs"/>
          <w:sz w:val="20"/>
          <w:szCs w:val="20"/>
          <w:rtl/>
        </w:rPr>
        <w:t>[השני]</w:t>
      </w:r>
      <w:r w:rsidRPr="00C0223A">
        <w:rPr>
          <w:rFonts w:hint="cs"/>
          <w:rtl/>
        </w:rPr>
        <w:t xml:space="preserve">;  2 </w:t>
      </w:r>
      <w:r w:rsidRPr="00C0223A">
        <w:rPr>
          <w:rtl/>
        </w:rPr>
        <w:t>–</w:t>
      </w:r>
      <w:r w:rsidRPr="00C0223A">
        <w:rPr>
          <w:rFonts w:hint="cs"/>
          <w:rtl/>
        </w:rPr>
        <w:t xml:space="preserve"> א-ל;  3 </w:t>
      </w:r>
      <w:r w:rsidRPr="00C0223A">
        <w:rPr>
          <w:rtl/>
        </w:rPr>
        <w:t>–</w:t>
      </w:r>
      <w:r w:rsidRPr="00C0223A">
        <w:rPr>
          <w:rFonts w:hint="cs"/>
          <w:rtl/>
        </w:rPr>
        <w:t xml:space="preserve"> רחום;  4 </w:t>
      </w:r>
      <w:r w:rsidRPr="00C0223A">
        <w:rPr>
          <w:rtl/>
        </w:rPr>
        <w:t>–</w:t>
      </w:r>
      <w:r w:rsidRPr="00C0223A">
        <w:rPr>
          <w:rFonts w:hint="cs"/>
          <w:rtl/>
        </w:rPr>
        <w:t xml:space="preserve"> וחנון;  5 </w:t>
      </w:r>
      <w:r w:rsidRPr="00C0223A">
        <w:rPr>
          <w:rtl/>
        </w:rPr>
        <w:t>–</w:t>
      </w:r>
      <w:r w:rsidRPr="00C0223A">
        <w:rPr>
          <w:rFonts w:hint="cs"/>
          <w:rtl/>
        </w:rPr>
        <w:t xml:space="preserve"> ארך אפים;  6 </w:t>
      </w:r>
      <w:r w:rsidRPr="00C0223A">
        <w:rPr>
          <w:rtl/>
        </w:rPr>
        <w:t>–</w:t>
      </w:r>
      <w:r w:rsidRPr="00C0223A">
        <w:rPr>
          <w:rFonts w:hint="cs"/>
          <w:rtl/>
        </w:rPr>
        <w:t xml:space="preserve"> ורב חסד;  7 </w:t>
      </w:r>
      <w:r w:rsidRPr="00C0223A">
        <w:rPr>
          <w:rtl/>
        </w:rPr>
        <w:t>–</w:t>
      </w:r>
      <w:r w:rsidRPr="00C0223A">
        <w:rPr>
          <w:rFonts w:hint="cs"/>
          <w:rtl/>
        </w:rPr>
        <w:t xml:space="preserve"> ואמת;</w:t>
      </w:r>
    </w:p>
    <w:p w14:paraId="47D05A50" w14:textId="77777777" w:rsidR="004E3A96" w:rsidRPr="00FA7DE5" w:rsidRDefault="004E3A96" w:rsidP="00E60D97">
      <w:pPr>
        <w:pStyle w:val="a3"/>
        <w:rPr>
          <w:rtl/>
        </w:rPr>
      </w:pPr>
      <w:r w:rsidRPr="00FA7DE5">
        <w:rPr>
          <w:rtl/>
        </w:rPr>
        <w:t>8 – נוצר חסד</w:t>
      </w:r>
      <w:r w:rsidRPr="00FA7DE5">
        <w:rPr>
          <w:rStyle w:val="FootnoteReference"/>
          <w:rtl/>
        </w:rPr>
        <w:footnoteReference w:id="51"/>
      </w:r>
      <w:r w:rsidRPr="00FA7DE5">
        <w:rPr>
          <w:rtl/>
        </w:rPr>
        <w:t xml:space="preserve">;  </w:t>
      </w:r>
      <w:r w:rsidRPr="00FA7DE5">
        <w:rPr>
          <w:rStyle w:val="Char2"/>
          <w:rtl/>
        </w:rPr>
        <w:t>9 - לאלפים;  10 – נושא עון;  11 – ופשע;  12 – וחטאה</w:t>
      </w:r>
      <w:r w:rsidRPr="00FA7DE5">
        <w:rPr>
          <w:rtl/>
        </w:rPr>
        <w:t>;  13 – ונקה.</w:t>
      </w:r>
    </w:p>
    <w:p w14:paraId="1F258130" w14:textId="77777777" w:rsidR="004E3A96" w:rsidRPr="00C0223A" w:rsidRDefault="004E3A96" w:rsidP="004E3A96">
      <w:pPr>
        <w:pStyle w:val="igroystext"/>
        <w:bidi/>
        <w:spacing w:before="0" w:beforeAutospacing="0" w:after="0" w:afterAutospacing="0" w:line="276" w:lineRule="auto"/>
        <w:jc w:val="center"/>
        <w:rPr>
          <w:rFonts w:cs="David"/>
          <w:rtl/>
          <w:lang w:bidi="he-IL"/>
        </w:rPr>
      </w:pPr>
    </w:p>
    <w:p w14:paraId="7CD9C4E8" w14:textId="77777777" w:rsidR="004E3A96" w:rsidRPr="00C0223A" w:rsidRDefault="004E3A96" w:rsidP="00E60D97">
      <w:pPr>
        <w:pStyle w:val="11"/>
        <w:bidi/>
        <w:rPr>
          <w:rtl/>
        </w:rPr>
      </w:pPr>
      <w:r w:rsidRPr="00C0223A">
        <w:rPr>
          <w:rFonts w:hint="cs"/>
          <w:rtl/>
        </w:rPr>
        <w:t>2.2 שם הוי' השני הוא המדה הראשונה - שיטת רבנו נסים גאון לפי ההגהה על התוספות שם, ולפי</w:t>
      </w:r>
      <w:r>
        <w:rPr>
          <w:rFonts w:hint="cs"/>
          <w:rtl/>
        </w:rPr>
        <w:t xml:space="preserve"> </w:t>
      </w:r>
      <w:r w:rsidRPr="00C0223A">
        <w:rPr>
          <w:rFonts w:hint="cs"/>
          <w:rtl/>
        </w:rPr>
        <w:t xml:space="preserve">האבן עזרא עה"ת שם. </w:t>
      </w:r>
      <w:r>
        <w:rPr>
          <w:rFonts w:hint="cs"/>
          <w:rtl/>
        </w:rPr>
        <w:t xml:space="preserve">  </w:t>
      </w:r>
    </w:p>
    <w:p w14:paraId="4963FA82" w14:textId="77777777" w:rsidR="004E3A96" w:rsidRPr="00C0223A" w:rsidRDefault="004E3A96" w:rsidP="00E60D97">
      <w:pPr>
        <w:pStyle w:val="a3"/>
        <w:rPr>
          <w:rtl/>
        </w:rPr>
      </w:pPr>
      <w:r w:rsidRPr="00C0223A">
        <w:rPr>
          <w:rFonts w:hint="cs"/>
          <w:sz w:val="22"/>
          <w:szCs w:val="22"/>
          <w:rtl/>
        </w:rPr>
        <w:t>1</w:t>
      </w:r>
      <w:r w:rsidRPr="00C0223A">
        <w:rPr>
          <w:rFonts w:hint="cs"/>
          <w:rtl/>
        </w:rPr>
        <w:t xml:space="preserve"> - ה' </w:t>
      </w:r>
      <w:r w:rsidRPr="00C0223A">
        <w:rPr>
          <w:rFonts w:hint="cs"/>
          <w:sz w:val="20"/>
          <w:szCs w:val="20"/>
          <w:rtl/>
        </w:rPr>
        <w:t>[השני]</w:t>
      </w:r>
      <w:r w:rsidRPr="00C0223A">
        <w:rPr>
          <w:rFonts w:hint="cs"/>
          <w:rtl/>
        </w:rPr>
        <w:t xml:space="preserve">;  2 </w:t>
      </w:r>
      <w:r w:rsidRPr="00C0223A">
        <w:rPr>
          <w:rtl/>
        </w:rPr>
        <w:t>–</w:t>
      </w:r>
      <w:r w:rsidRPr="00C0223A">
        <w:rPr>
          <w:rFonts w:hint="cs"/>
          <w:rtl/>
        </w:rPr>
        <w:t xml:space="preserve"> א-ל;  3 </w:t>
      </w:r>
      <w:r w:rsidRPr="00C0223A">
        <w:rPr>
          <w:rtl/>
        </w:rPr>
        <w:t>–</w:t>
      </w:r>
      <w:r w:rsidRPr="00C0223A">
        <w:rPr>
          <w:rFonts w:hint="cs"/>
          <w:rtl/>
        </w:rPr>
        <w:t xml:space="preserve"> רחום;  4 </w:t>
      </w:r>
      <w:r w:rsidRPr="00C0223A">
        <w:rPr>
          <w:rtl/>
        </w:rPr>
        <w:t>–</w:t>
      </w:r>
      <w:r w:rsidRPr="00C0223A">
        <w:rPr>
          <w:rFonts w:hint="cs"/>
          <w:rtl/>
        </w:rPr>
        <w:t xml:space="preserve"> וחנון;  6 &amp; 5 </w:t>
      </w:r>
      <w:r w:rsidRPr="00C0223A">
        <w:rPr>
          <w:rtl/>
        </w:rPr>
        <w:t>–</w:t>
      </w:r>
      <w:r w:rsidRPr="00C0223A">
        <w:rPr>
          <w:rFonts w:hint="cs"/>
          <w:rtl/>
        </w:rPr>
        <w:t xml:space="preserve"> ארך אפים</w:t>
      </w:r>
      <w:r w:rsidRPr="00C0223A">
        <w:rPr>
          <w:rStyle w:val="FootnoteReference"/>
          <w:rFonts w:cs="David"/>
          <w:rtl/>
        </w:rPr>
        <w:t xml:space="preserve"> </w:t>
      </w:r>
      <w:r w:rsidRPr="00C0223A">
        <w:rPr>
          <w:rStyle w:val="FootnoteReference"/>
          <w:rFonts w:cs="David"/>
          <w:rtl/>
        </w:rPr>
        <w:footnoteReference w:id="52"/>
      </w:r>
      <w:r w:rsidRPr="00C0223A">
        <w:rPr>
          <w:rFonts w:hint="cs"/>
          <w:rtl/>
        </w:rPr>
        <w:t xml:space="preserve">;  7 </w:t>
      </w:r>
      <w:r w:rsidRPr="00C0223A">
        <w:rPr>
          <w:rtl/>
        </w:rPr>
        <w:t>–</w:t>
      </w:r>
      <w:r w:rsidRPr="00C0223A">
        <w:rPr>
          <w:rFonts w:hint="cs"/>
          <w:rtl/>
        </w:rPr>
        <w:t xml:space="preserve"> ורב חסד;</w:t>
      </w:r>
    </w:p>
    <w:p w14:paraId="1B8E1B61" w14:textId="77777777" w:rsidR="004E3A96" w:rsidRDefault="004E3A96" w:rsidP="00E60D97">
      <w:pPr>
        <w:pStyle w:val="a3"/>
        <w:rPr>
          <w:rtl/>
        </w:rPr>
      </w:pPr>
      <w:r w:rsidRPr="00C0223A">
        <w:rPr>
          <w:rFonts w:hint="cs"/>
          <w:rtl/>
        </w:rPr>
        <w:t xml:space="preserve">8 </w:t>
      </w:r>
      <w:r w:rsidRPr="00C0223A">
        <w:rPr>
          <w:rtl/>
        </w:rPr>
        <w:t>–</w:t>
      </w:r>
      <w:r w:rsidRPr="00C0223A">
        <w:rPr>
          <w:rFonts w:hint="cs"/>
          <w:rtl/>
        </w:rPr>
        <w:t xml:space="preserve"> ואמת;  9 - נוצר חסד לאלפים;  10 </w:t>
      </w:r>
      <w:r w:rsidRPr="00C0223A">
        <w:rPr>
          <w:rtl/>
        </w:rPr>
        <w:t>–</w:t>
      </w:r>
      <w:r w:rsidRPr="00C0223A">
        <w:rPr>
          <w:rFonts w:hint="cs"/>
          <w:rtl/>
        </w:rPr>
        <w:t xml:space="preserve"> נושא עון;  11 </w:t>
      </w:r>
      <w:r w:rsidRPr="00C0223A">
        <w:rPr>
          <w:rtl/>
        </w:rPr>
        <w:t>–</w:t>
      </w:r>
      <w:r w:rsidRPr="00C0223A">
        <w:rPr>
          <w:rFonts w:hint="cs"/>
          <w:rtl/>
        </w:rPr>
        <w:t xml:space="preserve"> ופשע;  12 </w:t>
      </w:r>
      <w:r w:rsidRPr="00C0223A">
        <w:rPr>
          <w:rtl/>
        </w:rPr>
        <w:t>–</w:t>
      </w:r>
      <w:r w:rsidRPr="00C0223A">
        <w:rPr>
          <w:rFonts w:hint="cs"/>
          <w:rtl/>
        </w:rPr>
        <w:t xml:space="preserve"> וחטאה;  13 </w:t>
      </w:r>
      <w:r w:rsidRPr="00C0223A">
        <w:rPr>
          <w:rtl/>
        </w:rPr>
        <w:t>–</w:t>
      </w:r>
      <w:r w:rsidRPr="00C0223A">
        <w:rPr>
          <w:rFonts w:hint="cs"/>
          <w:rtl/>
        </w:rPr>
        <w:t xml:space="preserve"> ונקה.</w:t>
      </w:r>
    </w:p>
    <w:p w14:paraId="35BD1D06" w14:textId="77777777" w:rsidR="004E3A96" w:rsidRPr="00FA7DE5" w:rsidRDefault="004E3A96" w:rsidP="00E60D97">
      <w:pPr>
        <w:pStyle w:val="a3"/>
        <w:rPr>
          <w:rtl/>
        </w:rPr>
      </w:pPr>
    </w:p>
    <w:p w14:paraId="330F3F47" w14:textId="77777777" w:rsidR="004E3A96" w:rsidRPr="00C0223A" w:rsidRDefault="004E3A96" w:rsidP="00E60D97">
      <w:pPr>
        <w:pStyle w:val="11"/>
        <w:bidi/>
        <w:rPr>
          <w:rtl/>
        </w:rPr>
      </w:pPr>
      <w:r w:rsidRPr="00C0223A">
        <w:rPr>
          <w:rFonts w:hint="cs"/>
          <w:rtl/>
        </w:rPr>
        <w:t xml:space="preserve">2.3 שם הוי' השני הוא המדה הראשונה - שיטת הרמב"ם </w:t>
      </w:r>
      <w:r>
        <w:rPr>
          <w:rFonts w:hint="cs"/>
          <w:rtl/>
        </w:rPr>
        <w:t>ב</w:t>
      </w:r>
      <w:r w:rsidRPr="00C0223A">
        <w:rPr>
          <w:rFonts w:hint="cs"/>
          <w:rtl/>
        </w:rPr>
        <w:t>שו"ת</w:t>
      </w:r>
      <w:r>
        <w:rPr>
          <w:rFonts w:hint="cs"/>
          <w:rtl/>
        </w:rPr>
        <w:t xml:space="preserve"> (</w:t>
      </w:r>
      <w:r>
        <w:rPr>
          <w:rStyle w:val="HTMLCode"/>
          <w:rFonts w:ascii="Arial" w:eastAsia="SimSun" w:hAnsi="Arial" w:cs="David"/>
          <w:b/>
          <w:bCs w:val="0"/>
          <w:rtl/>
        </w:rPr>
        <w:t>מהדורת בלאו, ירושלים</w:t>
      </w:r>
      <w:r>
        <w:rPr>
          <w:rStyle w:val="HTMLCode"/>
          <w:rFonts w:ascii="Arial" w:eastAsia="SimSun" w:hAnsi="Arial" w:cs="David" w:hint="cs"/>
          <w:b/>
          <w:bCs w:val="0"/>
          <w:rtl/>
        </w:rPr>
        <w:t xml:space="preserve"> </w:t>
      </w:r>
      <w:r w:rsidRPr="00A10F2C">
        <w:rPr>
          <w:rStyle w:val="HTMLCode"/>
          <w:rFonts w:ascii="Arial" w:eastAsia="SimSun" w:hAnsi="Arial" w:cs="David"/>
          <w:b/>
          <w:bCs w:val="0"/>
          <w:rtl/>
        </w:rPr>
        <w:t>תשי"ח-תשכ"א</w:t>
      </w:r>
      <w:r>
        <w:rPr>
          <w:rStyle w:val="HTMLCode"/>
          <w:rFonts w:ascii="Arial" w:eastAsia="SimSun" w:hAnsi="Arial" w:cs="David" w:hint="cs"/>
          <w:b/>
          <w:bCs w:val="0"/>
          <w:rtl/>
        </w:rPr>
        <w:t xml:space="preserve">) </w:t>
      </w:r>
      <w:r w:rsidRPr="00C0223A">
        <w:rPr>
          <w:rFonts w:hint="cs"/>
          <w:rtl/>
        </w:rPr>
        <w:t>סימן רסז פירוש ראשון</w:t>
      </w:r>
      <w:r>
        <w:rPr>
          <w:rFonts w:hint="cs"/>
          <w:rtl/>
        </w:rPr>
        <w:t>.</w:t>
      </w:r>
    </w:p>
    <w:p w14:paraId="6AFB674C" w14:textId="77777777" w:rsidR="004E3A96" w:rsidRPr="00FA7DE5" w:rsidRDefault="004E3A96" w:rsidP="00E60D97">
      <w:pPr>
        <w:pStyle w:val="a3"/>
        <w:rPr>
          <w:rtl/>
        </w:rPr>
      </w:pPr>
      <w:r w:rsidRPr="00FA7DE5">
        <w:rPr>
          <w:sz w:val="22"/>
          <w:szCs w:val="22"/>
          <w:rtl/>
        </w:rPr>
        <w:t>1</w:t>
      </w:r>
      <w:r w:rsidRPr="00FA7DE5">
        <w:rPr>
          <w:rtl/>
        </w:rPr>
        <w:t xml:space="preserve"> - ה' </w:t>
      </w:r>
      <w:r w:rsidRPr="00FA7DE5">
        <w:rPr>
          <w:sz w:val="20"/>
          <w:szCs w:val="20"/>
          <w:rtl/>
        </w:rPr>
        <w:t>[השני]</w:t>
      </w:r>
      <w:r w:rsidRPr="00FA7DE5">
        <w:rPr>
          <w:rtl/>
        </w:rPr>
        <w:t>;  2 – א-ל;  3 – רחום;  4 – וחנון;  5 – ארך אפים;  6 – ורב חסד;  7 – ואמת;</w:t>
      </w:r>
    </w:p>
    <w:p w14:paraId="49B6CD03" w14:textId="77777777" w:rsidR="004E3A96" w:rsidRPr="00FA7DE5" w:rsidRDefault="004E3A96" w:rsidP="00E60D97">
      <w:pPr>
        <w:pStyle w:val="a3"/>
        <w:rPr>
          <w:rtl/>
        </w:rPr>
      </w:pPr>
      <w:r w:rsidRPr="00FA7DE5">
        <w:rPr>
          <w:rtl/>
        </w:rPr>
        <w:lastRenderedPageBreak/>
        <w:t>8 – נוצר חסד לאלפים;  9 – נושא עון;  10 – ופשע;  11 – וחטאה;  12 – ונקה;  13 – לא ינקה</w:t>
      </w:r>
      <w:r w:rsidRPr="00FA7DE5">
        <w:rPr>
          <w:rStyle w:val="FootnoteReference"/>
          <w:rtl/>
        </w:rPr>
        <w:footnoteReference w:id="53"/>
      </w:r>
      <w:r w:rsidRPr="00FA7DE5">
        <w:rPr>
          <w:rtl/>
        </w:rPr>
        <w:t>.</w:t>
      </w:r>
    </w:p>
    <w:p w14:paraId="04E3D66B" w14:textId="77777777" w:rsidR="004E3A96" w:rsidRPr="00C0223A" w:rsidRDefault="004E3A96" w:rsidP="004E3A96">
      <w:pPr>
        <w:pStyle w:val="igroystext"/>
        <w:bidi/>
        <w:spacing w:before="0" w:beforeAutospacing="0" w:line="276" w:lineRule="auto"/>
        <w:rPr>
          <w:rFonts w:cs="David"/>
          <w:b/>
          <w:bCs/>
          <w:rtl/>
          <w:lang w:bidi="he-IL"/>
        </w:rPr>
      </w:pPr>
    </w:p>
    <w:p w14:paraId="33A570AF" w14:textId="77777777" w:rsidR="004E3A96" w:rsidRPr="00C0223A" w:rsidRDefault="004E3A96" w:rsidP="00E60D97">
      <w:pPr>
        <w:pStyle w:val="11"/>
        <w:bidi/>
        <w:rPr>
          <w:rtl/>
        </w:rPr>
      </w:pPr>
      <w:r w:rsidRPr="00C0223A">
        <w:rPr>
          <w:rFonts w:hint="cs"/>
          <w:rtl/>
        </w:rPr>
        <w:t xml:space="preserve">2.4 שם הוי' השני הוא המדה הראשונה - שיטת הרמב"ם </w:t>
      </w:r>
      <w:r>
        <w:rPr>
          <w:rFonts w:hint="cs"/>
          <w:rtl/>
        </w:rPr>
        <w:t>ב</w:t>
      </w:r>
      <w:r w:rsidRPr="00C0223A">
        <w:rPr>
          <w:rFonts w:hint="cs"/>
          <w:rtl/>
        </w:rPr>
        <w:t>שו"ת סימן רסז פירוש שני.</w:t>
      </w:r>
    </w:p>
    <w:p w14:paraId="6CE0AAAF" w14:textId="77777777" w:rsidR="004E3A96" w:rsidRPr="00C0223A" w:rsidRDefault="004E3A96" w:rsidP="00E60D97">
      <w:pPr>
        <w:pStyle w:val="a3"/>
        <w:rPr>
          <w:rtl/>
        </w:rPr>
      </w:pPr>
      <w:r w:rsidRPr="00C0223A">
        <w:rPr>
          <w:rFonts w:hint="cs"/>
          <w:sz w:val="22"/>
          <w:szCs w:val="22"/>
          <w:rtl/>
        </w:rPr>
        <w:t>1</w:t>
      </w:r>
      <w:r w:rsidRPr="00C0223A">
        <w:rPr>
          <w:rFonts w:hint="cs"/>
          <w:rtl/>
        </w:rPr>
        <w:t xml:space="preserve"> - ה' </w:t>
      </w:r>
      <w:r w:rsidRPr="00C0223A">
        <w:rPr>
          <w:rFonts w:hint="cs"/>
          <w:sz w:val="20"/>
          <w:szCs w:val="20"/>
          <w:rtl/>
        </w:rPr>
        <w:t>[השני]</w:t>
      </w:r>
      <w:r w:rsidRPr="00C0223A">
        <w:rPr>
          <w:rFonts w:hint="cs"/>
          <w:rtl/>
        </w:rPr>
        <w:t xml:space="preserve">;  2 </w:t>
      </w:r>
      <w:r w:rsidRPr="00C0223A">
        <w:rPr>
          <w:rtl/>
        </w:rPr>
        <w:t>–</w:t>
      </w:r>
      <w:r w:rsidRPr="00C0223A">
        <w:rPr>
          <w:rFonts w:hint="cs"/>
          <w:rtl/>
        </w:rPr>
        <w:t xml:space="preserve"> א-ל;  3 </w:t>
      </w:r>
      <w:r w:rsidRPr="00C0223A">
        <w:rPr>
          <w:rtl/>
        </w:rPr>
        <w:t>–</w:t>
      </w:r>
      <w:r w:rsidRPr="00C0223A">
        <w:rPr>
          <w:rFonts w:hint="cs"/>
          <w:rtl/>
        </w:rPr>
        <w:t xml:space="preserve"> רחום;  4 </w:t>
      </w:r>
      <w:r w:rsidRPr="00C0223A">
        <w:rPr>
          <w:rtl/>
        </w:rPr>
        <w:t>–</w:t>
      </w:r>
      <w:r w:rsidRPr="00C0223A">
        <w:rPr>
          <w:rFonts w:hint="cs"/>
          <w:rtl/>
        </w:rPr>
        <w:t xml:space="preserve"> וחנון;  5 </w:t>
      </w:r>
      <w:r w:rsidRPr="00C0223A">
        <w:rPr>
          <w:rtl/>
        </w:rPr>
        <w:t>–</w:t>
      </w:r>
      <w:r w:rsidRPr="00C0223A">
        <w:rPr>
          <w:rFonts w:hint="cs"/>
          <w:rtl/>
        </w:rPr>
        <w:t xml:space="preserve"> ארך אפים;  6 </w:t>
      </w:r>
      <w:r w:rsidRPr="00C0223A">
        <w:rPr>
          <w:rtl/>
        </w:rPr>
        <w:t>–</w:t>
      </w:r>
      <w:r w:rsidRPr="00C0223A">
        <w:rPr>
          <w:rFonts w:hint="cs"/>
          <w:rtl/>
        </w:rPr>
        <w:t xml:space="preserve"> ורב חסד</w:t>
      </w:r>
      <w:r w:rsidRPr="00C0223A">
        <w:rPr>
          <w:rStyle w:val="FootnoteReference"/>
          <w:rFonts w:cs="David"/>
          <w:rtl/>
        </w:rPr>
        <w:footnoteReference w:id="54"/>
      </w:r>
      <w:r w:rsidRPr="00C0223A">
        <w:rPr>
          <w:rFonts w:hint="cs"/>
          <w:rtl/>
        </w:rPr>
        <w:t xml:space="preserve">;  7 </w:t>
      </w:r>
      <w:r w:rsidRPr="00C0223A">
        <w:rPr>
          <w:rtl/>
        </w:rPr>
        <w:t>–</w:t>
      </w:r>
      <w:r w:rsidRPr="00C0223A">
        <w:rPr>
          <w:rFonts w:hint="cs"/>
          <w:rtl/>
        </w:rPr>
        <w:t xml:space="preserve"> ואמת;</w:t>
      </w:r>
    </w:p>
    <w:p w14:paraId="0200F5DC" w14:textId="3B09ECCB" w:rsidR="004E3A96" w:rsidRPr="00C0223A" w:rsidRDefault="004E3A96" w:rsidP="00E60D97">
      <w:pPr>
        <w:pStyle w:val="a3"/>
        <w:rPr>
          <w:rtl/>
        </w:rPr>
      </w:pPr>
      <w:r w:rsidRPr="00C0223A">
        <w:rPr>
          <w:rFonts w:hint="cs"/>
          <w:rtl/>
        </w:rPr>
        <w:t xml:space="preserve">8 </w:t>
      </w:r>
      <w:r w:rsidRPr="00C0223A">
        <w:rPr>
          <w:rtl/>
        </w:rPr>
        <w:t>–</w:t>
      </w:r>
      <w:r w:rsidRPr="00C0223A">
        <w:rPr>
          <w:rFonts w:hint="cs"/>
          <w:rtl/>
        </w:rPr>
        <w:t xml:space="preserve"> נוצר חסד לאלפים;  9 </w:t>
      </w:r>
      <w:r w:rsidRPr="00C0223A">
        <w:rPr>
          <w:rtl/>
        </w:rPr>
        <w:t>–</w:t>
      </w:r>
      <w:r w:rsidRPr="00C0223A">
        <w:rPr>
          <w:rFonts w:hint="cs"/>
          <w:rtl/>
        </w:rPr>
        <w:t xml:space="preserve"> נושא עון;  10 </w:t>
      </w:r>
      <w:r w:rsidRPr="00C0223A">
        <w:rPr>
          <w:rtl/>
        </w:rPr>
        <w:t>–</w:t>
      </w:r>
      <w:r w:rsidRPr="00C0223A">
        <w:rPr>
          <w:rFonts w:hint="cs"/>
          <w:rtl/>
        </w:rPr>
        <w:t xml:space="preserve"> ופשע;  11 </w:t>
      </w:r>
      <w:r w:rsidRPr="00C0223A">
        <w:rPr>
          <w:rtl/>
        </w:rPr>
        <w:t>–</w:t>
      </w:r>
      <w:r w:rsidRPr="00C0223A">
        <w:rPr>
          <w:rFonts w:hint="cs"/>
          <w:rtl/>
        </w:rPr>
        <w:t xml:space="preserve"> וחטאה;  12 </w:t>
      </w:r>
      <w:r w:rsidRPr="00C0223A">
        <w:rPr>
          <w:rtl/>
        </w:rPr>
        <w:t>–</w:t>
      </w:r>
      <w:r w:rsidRPr="00C0223A">
        <w:rPr>
          <w:rFonts w:hint="cs"/>
          <w:rtl/>
        </w:rPr>
        <w:t xml:space="preserve"> ונקה לא ינקה;</w:t>
      </w:r>
    </w:p>
    <w:p w14:paraId="79E4BD2E" w14:textId="2AEC01B3" w:rsidR="004E3A96" w:rsidRPr="00FA7DE5" w:rsidRDefault="004E3A96" w:rsidP="00E60D97">
      <w:pPr>
        <w:pStyle w:val="a3"/>
        <w:rPr>
          <w:rFonts w:hint="cs"/>
          <w:rtl/>
        </w:rPr>
      </w:pPr>
      <w:r w:rsidRPr="00C0223A">
        <w:rPr>
          <w:rFonts w:hint="cs"/>
          <w:rtl/>
        </w:rPr>
        <w:t xml:space="preserve">13 </w:t>
      </w:r>
      <w:r w:rsidRPr="00C0223A">
        <w:rPr>
          <w:rtl/>
        </w:rPr>
        <w:t>–</w:t>
      </w:r>
      <w:r w:rsidRPr="00C0223A">
        <w:rPr>
          <w:rFonts w:hint="cs"/>
          <w:rtl/>
        </w:rPr>
        <w:t xml:space="preserve"> פוקד עון אבות.</w:t>
      </w:r>
    </w:p>
    <w:p w14:paraId="573A79C2" w14:textId="77777777" w:rsidR="004E3A96" w:rsidRPr="00C0223A" w:rsidRDefault="004E3A96" w:rsidP="00E60D97">
      <w:pPr>
        <w:pStyle w:val="11"/>
        <w:bidi/>
        <w:rPr>
          <w:rtl/>
        </w:rPr>
      </w:pPr>
      <w:r w:rsidRPr="00C0223A">
        <w:rPr>
          <w:rFonts w:hint="cs"/>
          <w:rtl/>
        </w:rPr>
        <w:t xml:space="preserve">3 שם א-ל הוא המדה הראשונה </w:t>
      </w:r>
      <w:r w:rsidRPr="00C0223A">
        <w:rPr>
          <w:rtl/>
        </w:rPr>
        <w:t>–</w:t>
      </w:r>
      <w:r w:rsidRPr="00C0223A">
        <w:rPr>
          <w:rFonts w:hint="cs"/>
          <w:rtl/>
        </w:rPr>
        <w:t xml:space="preserve"> שיטת המקובלים זוהר ח"ג, דף </w:t>
      </w:r>
      <w:r w:rsidRPr="00C0223A">
        <w:rPr>
          <w:rtl/>
        </w:rPr>
        <w:t xml:space="preserve">קלא, </w:t>
      </w:r>
      <w:r w:rsidRPr="00C0223A">
        <w:rPr>
          <w:rFonts w:hint="cs"/>
          <w:rtl/>
        </w:rPr>
        <w:t>ע"</w:t>
      </w:r>
      <w:r w:rsidRPr="00C0223A">
        <w:rPr>
          <w:rtl/>
        </w:rPr>
        <w:t>ב</w:t>
      </w:r>
      <w:r>
        <w:rPr>
          <w:rFonts w:hint="cs"/>
          <w:rtl/>
        </w:rPr>
        <w:t>;</w:t>
      </w:r>
      <w:r w:rsidRPr="00C0223A">
        <w:rPr>
          <w:rtl/>
        </w:rPr>
        <w:t xml:space="preserve"> </w:t>
      </w:r>
      <w:r w:rsidRPr="00C0223A">
        <w:rPr>
          <w:rFonts w:hint="cs"/>
          <w:rtl/>
        </w:rPr>
        <w:t>עץ חיים</w:t>
      </w:r>
      <w:r>
        <w:rPr>
          <w:rStyle w:val="FootnoteReference"/>
          <w:rFonts w:cs="David"/>
          <w:b/>
          <w:bCs w:val="0"/>
          <w:rtl/>
        </w:rPr>
        <w:footnoteReference w:id="55"/>
      </w:r>
      <w:r>
        <w:rPr>
          <w:rFonts w:hint="cs"/>
          <w:rtl/>
        </w:rPr>
        <w:t xml:space="preserve"> ;</w:t>
      </w:r>
      <w:r w:rsidRPr="00C0223A">
        <w:rPr>
          <w:rFonts w:hint="cs"/>
          <w:rtl/>
        </w:rPr>
        <w:t xml:space="preserve"> </w:t>
      </w:r>
      <w:r w:rsidRPr="00C0223A">
        <w:rPr>
          <w:rtl/>
        </w:rPr>
        <w:t>פ</w:t>
      </w:r>
      <w:r w:rsidRPr="00C0223A">
        <w:rPr>
          <w:rFonts w:hint="cs"/>
          <w:rtl/>
        </w:rPr>
        <w:t xml:space="preserve">רי </w:t>
      </w:r>
      <w:r w:rsidRPr="00C0223A">
        <w:rPr>
          <w:rtl/>
        </w:rPr>
        <w:t>ע</w:t>
      </w:r>
      <w:r w:rsidRPr="00C0223A">
        <w:rPr>
          <w:rFonts w:hint="cs"/>
          <w:rtl/>
        </w:rPr>
        <w:t xml:space="preserve">ץ </w:t>
      </w:r>
      <w:r w:rsidRPr="00C0223A">
        <w:rPr>
          <w:rtl/>
        </w:rPr>
        <w:t>ח</w:t>
      </w:r>
      <w:r>
        <w:rPr>
          <w:rFonts w:hint="cs"/>
          <w:rtl/>
        </w:rPr>
        <w:t>יים</w:t>
      </w:r>
      <w:r>
        <w:rPr>
          <w:rStyle w:val="FootnoteReference"/>
          <w:rFonts w:cs="David"/>
          <w:b/>
          <w:bCs w:val="0"/>
          <w:rtl/>
        </w:rPr>
        <w:footnoteReference w:id="56"/>
      </w:r>
      <w:r>
        <w:rPr>
          <w:rFonts w:hint="cs"/>
          <w:rtl/>
        </w:rPr>
        <w:t xml:space="preserve"> ; </w:t>
      </w:r>
      <w:r>
        <w:rPr>
          <w:rtl/>
        </w:rPr>
        <w:t>שער הכוונות</w:t>
      </w:r>
      <w:r>
        <w:rPr>
          <w:rStyle w:val="FootnoteReference"/>
          <w:rFonts w:cs="David"/>
          <w:b/>
          <w:bCs w:val="0"/>
          <w:rtl/>
        </w:rPr>
        <w:footnoteReference w:id="57"/>
      </w:r>
      <w:r>
        <w:rPr>
          <w:rFonts w:hint="cs"/>
          <w:rtl/>
        </w:rPr>
        <w:t xml:space="preserve"> ; </w:t>
      </w:r>
      <w:r w:rsidRPr="00C0223A">
        <w:rPr>
          <w:rtl/>
        </w:rPr>
        <w:t>משנת חסידים</w:t>
      </w:r>
      <w:r>
        <w:rPr>
          <w:rStyle w:val="FootnoteReference"/>
          <w:rFonts w:cs="David"/>
          <w:b/>
          <w:bCs w:val="0"/>
          <w:rtl/>
        </w:rPr>
        <w:footnoteReference w:id="58"/>
      </w:r>
      <w:r>
        <w:rPr>
          <w:rFonts w:hint="cs"/>
          <w:rtl/>
        </w:rPr>
        <w:t xml:space="preserve"> .</w:t>
      </w:r>
    </w:p>
    <w:p w14:paraId="795DF58B" w14:textId="77777777" w:rsidR="004E3A96" w:rsidRPr="00C0223A" w:rsidRDefault="004E3A96" w:rsidP="00E60D97">
      <w:pPr>
        <w:pStyle w:val="a3"/>
        <w:rPr>
          <w:rtl/>
        </w:rPr>
      </w:pPr>
      <w:r w:rsidRPr="00C0223A">
        <w:rPr>
          <w:rFonts w:hint="cs"/>
          <w:rtl/>
        </w:rPr>
        <w:t xml:space="preserve">1 </w:t>
      </w:r>
      <w:r w:rsidRPr="00C0223A">
        <w:rPr>
          <w:rtl/>
        </w:rPr>
        <w:t>–</w:t>
      </w:r>
      <w:r w:rsidRPr="00C0223A">
        <w:rPr>
          <w:rFonts w:hint="cs"/>
          <w:rtl/>
        </w:rPr>
        <w:t xml:space="preserve"> א-ל;  2 </w:t>
      </w:r>
      <w:r w:rsidRPr="00C0223A">
        <w:rPr>
          <w:rtl/>
        </w:rPr>
        <w:t>–</w:t>
      </w:r>
      <w:r w:rsidRPr="00C0223A">
        <w:rPr>
          <w:rFonts w:hint="cs"/>
          <w:rtl/>
        </w:rPr>
        <w:t xml:space="preserve"> רחום;  3 </w:t>
      </w:r>
      <w:r w:rsidRPr="00C0223A">
        <w:rPr>
          <w:rtl/>
        </w:rPr>
        <w:t>–</w:t>
      </w:r>
      <w:r w:rsidRPr="00C0223A">
        <w:rPr>
          <w:rFonts w:hint="cs"/>
          <w:rtl/>
        </w:rPr>
        <w:t xml:space="preserve"> וחנון</w:t>
      </w:r>
      <w:r w:rsidRPr="00FA7DE5">
        <w:rPr>
          <w:rStyle w:val="Char2"/>
          <w:rFonts w:hint="cs"/>
          <w:rtl/>
        </w:rPr>
        <w:t>;  4</w:t>
      </w:r>
      <w:r w:rsidRPr="00C0223A">
        <w:rPr>
          <w:rFonts w:hint="cs"/>
          <w:rtl/>
        </w:rPr>
        <w:t xml:space="preserve"> </w:t>
      </w:r>
      <w:r w:rsidRPr="00C0223A">
        <w:rPr>
          <w:rtl/>
        </w:rPr>
        <w:t>–</w:t>
      </w:r>
      <w:r w:rsidRPr="00C0223A">
        <w:rPr>
          <w:rFonts w:hint="cs"/>
          <w:rtl/>
        </w:rPr>
        <w:t xml:space="preserve"> ארך;  5 </w:t>
      </w:r>
      <w:r w:rsidRPr="00C0223A">
        <w:rPr>
          <w:rtl/>
        </w:rPr>
        <w:t>–</w:t>
      </w:r>
      <w:r w:rsidRPr="00C0223A">
        <w:rPr>
          <w:rFonts w:hint="cs"/>
          <w:rtl/>
        </w:rPr>
        <w:t xml:space="preserve"> אפים</w:t>
      </w:r>
      <w:r>
        <w:rPr>
          <w:rStyle w:val="FootnoteReference"/>
          <w:rFonts w:cs="David"/>
          <w:rtl/>
        </w:rPr>
        <w:footnoteReference w:id="59"/>
      </w:r>
      <w:r w:rsidRPr="00C0223A">
        <w:rPr>
          <w:rFonts w:hint="cs"/>
          <w:rtl/>
        </w:rPr>
        <w:t xml:space="preserve">;  6 </w:t>
      </w:r>
      <w:r w:rsidRPr="00C0223A">
        <w:rPr>
          <w:rtl/>
        </w:rPr>
        <w:t>–</w:t>
      </w:r>
      <w:r w:rsidRPr="00C0223A">
        <w:rPr>
          <w:rFonts w:hint="cs"/>
          <w:rtl/>
        </w:rPr>
        <w:t xml:space="preserve"> ורב חסד;  7 </w:t>
      </w:r>
      <w:r w:rsidRPr="00C0223A">
        <w:rPr>
          <w:rtl/>
        </w:rPr>
        <w:t>–</w:t>
      </w:r>
      <w:r w:rsidRPr="00C0223A">
        <w:rPr>
          <w:rFonts w:hint="cs"/>
          <w:rtl/>
        </w:rPr>
        <w:t xml:space="preserve"> </w:t>
      </w:r>
      <w:r w:rsidRPr="00C0223A">
        <w:rPr>
          <w:rFonts w:hint="cs"/>
          <w:rtl/>
        </w:rPr>
        <w:lastRenderedPageBreak/>
        <w:t>ואמת;</w:t>
      </w:r>
    </w:p>
    <w:p w14:paraId="24A1CF2E" w14:textId="77777777" w:rsidR="004E3A96" w:rsidRPr="00C0223A" w:rsidRDefault="004E3A96" w:rsidP="00E60D97">
      <w:pPr>
        <w:pStyle w:val="a3"/>
        <w:rPr>
          <w:rtl/>
        </w:rPr>
      </w:pPr>
      <w:r w:rsidRPr="00C0223A">
        <w:rPr>
          <w:rFonts w:hint="cs"/>
          <w:rtl/>
        </w:rPr>
        <w:t xml:space="preserve">8 </w:t>
      </w:r>
      <w:r w:rsidRPr="00C0223A">
        <w:rPr>
          <w:rtl/>
        </w:rPr>
        <w:t>–</w:t>
      </w:r>
      <w:r w:rsidRPr="00C0223A">
        <w:rPr>
          <w:rFonts w:hint="cs"/>
          <w:rtl/>
        </w:rPr>
        <w:t xml:space="preserve"> נוצר חסד;  9 - לאלפים;  10 </w:t>
      </w:r>
      <w:r w:rsidRPr="00C0223A">
        <w:rPr>
          <w:rtl/>
        </w:rPr>
        <w:t>–</w:t>
      </w:r>
      <w:r w:rsidRPr="00C0223A">
        <w:rPr>
          <w:rFonts w:hint="cs"/>
          <w:rtl/>
        </w:rPr>
        <w:t xml:space="preserve"> נושא עון;  11 </w:t>
      </w:r>
      <w:r w:rsidRPr="00C0223A">
        <w:rPr>
          <w:rtl/>
        </w:rPr>
        <w:t>–</w:t>
      </w:r>
      <w:r w:rsidRPr="00C0223A">
        <w:rPr>
          <w:rFonts w:hint="cs"/>
          <w:rtl/>
        </w:rPr>
        <w:t xml:space="preserve"> ופשע;  12 </w:t>
      </w:r>
      <w:r w:rsidRPr="00C0223A">
        <w:rPr>
          <w:rtl/>
        </w:rPr>
        <w:t>–</w:t>
      </w:r>
      <w:r w:rsidRPr="00C0223A">
        <w:rPr>
          <w:rFonts w:hint="cs"/>
          <w:rtl/>
        </w:rPr>
        <w:t xml:space="preserve"> וחטאה;  13 </w:t>
      </w:r>
      <w:r w:rsidRPr="00C0223A">
        <w:rPr>
          <w:rtl/>
        </w:rPr>
        <w:t>–</w:t>
      </w:r>
      <w:r w:rsidRPr="00C0223A">
        <w:rPr>
          <w:rFonts w:hint="cs"/>
          <w:rtl/>
        </w:rPr>
        <w:t xml:space="preserve"> ונקה.</w:t>
      </w:r>
    </w:p>
    <w:p w14:paraId="6E95F0F3" w14:textId="77777777" w:rsidR="004E3A96" w:rsidRPr="00C0223A" w:rsidRDefault="004E3A96" w:rsidP="004E3A96">
      <w:pPr>
        <w:pStyle w:val="igroystext"/>
        <w:bidi/>
        <w:spacing w:before="0" w:beforeAutospacing="0" w:after="0" w:afterAutospacing="0" w:line="276" w:lineRule="auto"/>
        <w:rPr>
          <w:rFonts w:cs="David"/>
          <w:lang w:bidi="he-IL"/>
        </w:rPr>
      </w:pPr>
    </w:p>
    <w:p w14:paraId="094980EF" w14:textId="77777777" w:rsidR="004E3A96" w:rsidRPr="00C0223A" w:rsidRDefault="004E3A96" w:rsidP="00E60D97">
      <w:pPr>
        <w:pStyle w:val="11"/>
        <w:bidi/>
        <w:rPr>
          <w:rtl/>
        </w:rPr>
      </w:pPr>
      <w:r w:rsidRPr="00C0223A">
        <w:rPr>
          <w:rFonts w:hint="cs"/>
          <w:rtl/>
        </w:rPr>
        <w:t xml:space="preserve">4.1 רחום הוא המדה הראשונה </w:t>
      </w:r>
      <w:r w:rsidRPr="00C0223A">
        <w:rPr>
          <w:rtl/>
        </w:rPr>
        <w:t>–</w:t>
      </w:r>
      <w:r w:rsidRPr="00C0223A">
        <w:rPr>
          <w:rFonts w:hint="cs"/>
          <w:rtl/>
        </w:rPr>
        <w:t xml:space="preserve"> שיטת ספר החסידים סימן רנ.</w:t>
      </w:r>
    </w:p>
    <w:p w14:paraId="63E3FE9B" w14:textId="77777777" w:rsidR="004E3A96" w:rsidRPr="00C0223A" w:rsidRDefault="004E3A96" w:rsidP="00E60D97">
      <w:pPr>
        <w:pStyle w:val="a3"/>
        <w:rPr>
          <w:rtl/>
        </w:rPr>
      </w:pPr>
    </w:p>
    <w:p w14:paraId="3CAB5979" w14:textId="77777777" w:rsidR="004E3A96" w:rsidRPr="00C0223A" w:rsidRDefault="004E3A96" w:rsidP="00E60D97">
      <w:pPr>
        <w:pStyle w:val="a3"/>
        <w:rPr>
          <w:rtl/>
        </w:rPr>
      </w:pPr>
      <w:r w:rsidRPr="00C0223A">
        <w:rPr>
          <w:rFonts w:hint="cs"/>
          <w:rtl/>
        </w:rPr>
        <w:t xml:space="preserve">1 </w:t>
      </w:r>
      <w:r w:rsidRPr="00C0223A">
        <w:rPr>
          <w:rtl/>
        </w:rPr>
        <w:t>–</w:t>
      </w:r>
      <w:r w:rsidRPr="00C0223A">
        <w:rPr>
          <w:rFonts w:hint="cs"/>
          <w:rtl/>
        </w:rPr>
        <w:t xml:space="preserve"> רחום;  2 </w:t>
      </w:r>
      <w:r w:rsidRPr="00C0223A">
        <w:rPr>
          <w:rtl/>
        </w:rPr>
        <w:t>–</w:t>
      </w:r>
      <w:r w:rsidRPr="00C0223A">
        <w:rPr>
          <w:rFonts w:hint="cs"/>
          <w:rtl/>
        </w:rPr>
        <w:t xml:space="preserve"> וחנון;  3 </w:t>
      </w:r>
      <w:r w:rsidRPr="00C0223A">
        <w:rPr>
          <w:rtl/>
        </w:rPr>
        <w:t>–</w:t>
      </w:r>
      <w:r w:rsidRPr="00C0223A">
        <w:rPr>
          <w:rFonts w:hint="cs"/>
          <w:rtl/>
        </w:rPr>
        <w:t xml:space="preserve"> ארך אפים;  4 </w:t>
      </w:r>
      <w:r w:rsidRPr="00C0223A">
        <w:rPr>
          <w:rtl/>
        </w:rPr>
        <w:t>–</w:t>
      </w:r>
      <w:r w:rsidRPr="00C0223A">
        <w:rPr>
          <w:rFonts w:hint="cs"/>
          <w:rtl/>
        </w:rPr>
        <w:t xml:space="preserve"> ורב חסד;  5 </w:t>
      </w:r>
      <w:r w:rsidRPr="00C0223A">
        <w:rPr>
          <w:rtl/>
        </w:rPr>
        <w:t>–</w:t>
      </w:r>
      <w:r w:rsidRPr="00C0223A">
        <w:rPr>
          <w:rFonts w:hint="cs"/>
          <w:rtl/>
        </w:rPr>
        <w:t xml:space="preserve"> ואמת;  6 </w:t>
      </w:r>
      <w:r w:rsidRPr="00C0223A">
        <w:rPr>
          <w:rtl/>
        </w:rPr>
        <w:t>–</w:t>
      </w:r>
      <w:r w:rsidRPr="00C0223A">
        <w:rPr>
          <w:rFonts w:hint="cs"/>
          <w:rtl/>
        </w:rPr>
        <w:t xml:space="preserve"> נוצר חסד לאלפים;</w:t>
      </w:r>
    </w:p>
    <w:p w14:paraId="149456A5" w14:textId="77777777" w:rsidR="004E3A96" w:rsidRPr="00C0223A" w:rsidRDefault="004E3A96" w:rsidP="00E60D97">
      <w:pPr>
        <w:pStyle w:val="a3"/>
        <w:rPr>
          <w:rtl/>
        </w:rPr>
      </w:pPr>
      <w:r w:rsidRPr="00C0223A">
        <w:rPr>
          <w:rFonts w:hint="cs"/>
          <w:rtl/>
        </w:rPr>
        <w:t xml:space="preserve">7 </w:t>
      </w:r>
      <w:r w:rsidRPr="00C0223A">
        <w:rPr>
          <w:rtl/>
        </w:rPr>
        <w:t>–</w:t>
      </w:r>
      <w:r w:rsidRPr="00C0223A">
        <w:rPr>
          <w:rFonts w:hint="cs"/>
          <w:rtl/>
        </w:rPr>
        <w:t xml:space="preserve"> נושא עון;  8 </w:t>
      </w:r>
      <w:r w:rsidRPr="00C0223A">
        <w:rPr>
          <w:rtl/>
        </w:rPr>
        <w:t>–</w:t>
      </w:r>
      <w:r w:rsidRPr="00C0223A">
        <w:rPr>
          <w:rFonts w:hint="cs"/>
          <w:rtl/>
        </w:rPr>
        <w:t xml:space="preserve"> ופשע;  9 </w:t>
      </w:r>
      <w:r w:rsidRPr="00C0223A">
        <w:rPr>
          <w:rtl/>
        </w:rPr>
        <w:t>–</w:t>
      </w:r>
      <w:r w:rsidRPr="00C0223A">
        <w:rPr>
          <w:rFonts w:hint="cs"/>
          <w:rtl/>
        </w:rPr>
        <w:t xml:space="preserve"> וחטאה;  10 </w:t>
      </w:r>
      <w:r w:rsidRPr="00C0223A">
        <w:rPr>
          <w:rtl/>
        </w:rPr>
        <w:t>–</w:t>
      </w:r>
      <w:r w:rsidRPr="00C0223A">
        <w:rPr>
          <w:rFonts w:hint="cs"/>
          <w:rtl/>
        </w:rPr>
        <w:t xml:space="preserve"> ונקה;  11 </w:t>
      </w:r>
      <w:r w:rsidRPr="00C0223A">
        <w:rPr>
          <w:rtl/>
        </w:rPr>
        <w:t>–</w:t>
      </w:r>
      <w:r w:rsidRPr="00C0223A">
        <w:rPr>
          <w:rFonts w:hint="cs"/>
          <w:rtl/>
        </w:rPr>
        <w:t xml:space="preserve"> וסלחת לעוונינו;  12 </w:t>
      </w:r>
      <w:r w:rsidRPr="00C0223A">
        <w:rPr>
          <w:rtl/>
        </w:rPr>
        <w:t>–</w:t>
      </w:r>
      <w:r w:rsidRPr="00C0223A">
        <w:rPr>
          <w:rFonts w:hint="cs"/>
          <w:rtl/>
        </w:rPr>
        <w:t xml:space="preserve"> ולחטאתינו;</w:t>
      </w:r>
    </w:p>
    <w:p w14:paraId="19CCA9B2" w14:textId="77777777" w:rsidR="004E3A96" w:rsidRPr="00FA7DE5" w:rsidRDefault="004E3A96" w:rsidP="00E60D97">
      <w:pPr>
        <w:pStyle w:val="a3"/>
        <w:rPr>
          <w:rtl/>
        </w:rPr>
      </w:pPr>
      <w:r w:rsidRPr="00C0223A">
        <w:rPr>
          <w:rFonts w:hint="cs"/>
          <w:rtl/>
        </w:rPr>
        <w:t xml:space="preserve">13 </w:t>
      </w:r>
      <w:r w:rsidRPr="00C0223A">
        <w:rPr>
          <w:rtl/>
        </w:rPr>
        <w:t>–</w:t>
      </w:r>
      <w:r w:rsidRPr="00C0223A">
        <w:rPr>
          <w:rFonts w:hint="cs"/>
          <w:rtl/>
        </w:rPr>
        <w:t xml:space="preserve"> ונחלתנו.</w:t>
      </w:r>
    </w:p>
    <w:p w14:paraId="5B96DC84" w14:textId="77777777" w:rsidR="004E3A96" w:rsidRPr="00C0223A" w:rsidRDefault="004E3A96" w:rsidP="00E60D97">
      <w:pPr>
        <w:pStyle w:val="11"/>
        <w:bidi/>
        <w:rPr>
          <w:rtl/>
        </w:rPr>
      </w:pPr>
      <w:r w:rsidRPr="00C0223A">
        <w:rPr>
          <w:rFonts w:hint="cs"/>
          <w:rtl/>
        </w:rPr>
        <w:t xml:space="preserve">4.2 רחום הוא המדה הראשונה </w:t>
      </w:r>
      <w:r w:rsidRPr="00C0223A">
        <w:rPr>
          <w:rtl/>
        </w:rPr>
        <w:t>–</w:t>
      </w:r>
      <w:r>
        <w:rPr>
          <w:rFonts w:hint="cs"/>
          <w:rtl/>
        </w:rPr>
        <w:t xml:space="preserve"> </w:t>
      </w:r>
      <w:r w:rsidRPr="00C0223A">
        <w:rPr>
          <w:rFonts w:hint="cs"/>
          <w:rtl/>
        </w:rPr>
        <w:t>שיטת המהר"ל מפראג, ספר נתיבות עולם, נתיב התשובה פרק ו.</w:t>
      </w:r>
    </w:p>
    <w:p w14:paraId="45969F66" w14:textId="77777777" w:rsidR="004E3A96" w:rsidRPr="00C0223A" w:rsidRDefault="004E3A96" w:rsidP="00E60D97">
      <w:pPr>
        <w:pStyle w:val="a3"/>
        <w:rPr>
          <w:rtl/>
        </w:rPr>
      </w:pPr>
      <w:r w:rsidRPr="00C0223A">
        <w:rPr>
          <w:rFonts w:hint="cs"/>
          <w:rtl/>
        </w:rPr>
        <w:t xml:space="preserve">1 </w:t>
      </w:r>
      <w:r w:rsidRPr="00C0223A">
        <w:rPr>
          <w:rtl/>
        </w:rPr>
        <w:t>–</w:t>
      </w:r>
      <w:r w:rsidRPr="00C0223A">
        <w:rPr>
          <w:rFonts w:hint="cs"/>
          <w:rtl/>
        </w:rPr>
        <w:t xml:space="preserve"> רחום;  2 </w:t>
      </w:r>
      <w:r w:rsidRPr="00C0223A">
        <w:rPr>
          <w:rtl/>
        </w:rPr>
        <w:t>–</w:t>
      </w:r>
      <w:r w:rsidRPr="00C0223A">
        <w:rPr>
          <w:rFonts w:hint="cs"/>
          <w:rtl/>
        </w:rPr>
        <w:t xml:space="preserve"> וחנון;  3 </w:t>
      </w:r>
      <w:r w:rsidRPr="00C0223A">
        <w:rPr>
          <w:rtl/>
        </w:rPr>
        <w:t>–</w:t>
      </w:r>
      <w:r w:rsidRPr="00C0223A">
        <w:rPr>
          <w:rFonts w:hint="cs"/>
          <w:rtl/>
        </w:rPr>
        <w:t xml:space="preserve"> ארך אפים;  4 </w:t>
      </w:r>
      <w:r w:rsidRPr="00C0223A">
        <w:rPr>
          <w:rtl/>
        </w:rPr>
        <w:t>–</w:t>
      </w:r>
      <w:r w:rsidRPr="00C0223A">
        <w:rPr>
          <w:rFonts w:hint="cs"/>
          <w:rtl/>
        </w:rPr>
        <w:t xml:space="preserve"> ורב חסד;  5 </w:t>
      </w:r>
      <w:r w:rsidRPr="00C0223A">
        <w:rPr>
          <w:rtl/>
        </w:rPr>
        <w:t>–</w:t>
      </w:r>
      <w:r w:rsidRPr="00C0223A">
        <w:rPr>
          <w:rFonts w:hint="cs"/>
          <w:rtl/>
        </w:rPr>
        <w:t xml:space="preserve"> ואמת;  6 </w:t>
      </w:r>
      <w:r w:rsidRPr="00C0223A">
        <w:rPr>
          <w:rtl/>
        </w:rPr>
        <w:t>–</w:t>
      </w:r>
      <w:r w:rsidRPr="00C0223A">
        <w:rPr>
          <w:rFonts w:hint="cs"/>
          <w:rtl/>
        </w:rPr>
        <w:t xml:space="preserve"> נוצר חסד לאלפים;</w:t>
      </w:r>
    </w:p>
    <w:p w14:paraId="3E6DF807" w14:textId="77777777" w:rsidR="004E3A96" w:rsidRPr="00C0223A" w:rsidRDefault="004E3A96" w:rsidP="00E60D97">
      <w:pPr>
        <w:pStyle w:val="a3"/>
        <w:rPr>
          <w:rtl/>
        </w:rPr>
      </w:pPr>
      <w:r w:rsidRPr="00C0223A">
        <w:rPr>
          <w:rFonts w:hint="cs"/>
          <w:rtl/>
        </w:rPr>
        <w:t xml:space="preserve">7 </w:t>
      </w:r>
      <w:r w:rsidRPr="00C0223A">
        <w:rPr>
          <w:rtl/>
        </w:rPr>
        <w:t>–</w:t>
      </w:r>
      <w:r w:rsidRPr="00C0223A">
        <w:rPr>
          <w:rFonts w:hint="cs"/>
          <w:rtl/>
        </w:rPr>
        <w:t xml:space="preserve"> נושא עון;  8 </w:t>
      </w:r>
      <w:r w:rsidRPr="00C0223A">
        <w:rPr>
          <w:rtl/>
        </w:rPr>
        <w:t>–</w:t>
      </w:r>
      <w:r w:rsidRPr="00C0223A">
        <w:rPr>
          <w:rFonts w:hint="cs"/>
          <w:rtl/>
        </w:rPr>
        <w:t xml:space="preserve"> ופשע;  9 </w:t>
      </w:r>
      <w:r w:rsidRPr="00C0223A">
        <w:rPr>
          <w:rtl/>
        </w:rPr>
        <w:t>–</w:t>
      </w:r>
      <w:r w:rsidRPr="00C0223A">
        <w:rPr>
          <w:rFonts w:hint="cs"/>
          <w:rtl/>
        </w:rPr>
        <w:t xml:space="preserve"> וחטאה;  10 </w:t>
      </w:r>
      <w:r w:rsidRPr="00C0223A">
        <w:rPr>
          <w:rtl/>
        </w:rPr>
        <w:t>–</w:t>
      </w:r>
      <w:r w:rsidRPr="00C0223A">
        <w:rPr>
          <w:rFonts w:hint="cs"/>
          <w:rtl/>
        </w:rPr>
        <w:t xml:space="preserve"> ונקה;</w:t>
      </w:r>
    </w:p>
    <w:p w14:paraId="1BD0F492" w14:textId="5EDE94A2" w:rsidR="004E3A96" w:rsidRPr="00C0223A" w:rsidRDefault="004E3A96" w:rsidP="00E60D97">
      <w:pPr>
        <w:pStyle w:val="a3"/>
        <w:rPr>
          <w:rtl/>
        </w:rPr>
      </w:pPr>
      <w:r w:rsidRPr="00C0223A">
        <w:rPr>
          <w:rFonts w:hint="cs"/>
          <w:rtl/>
        </w:rPr>
        <w:t xml:space="preserve">- פוקד עון אבות על בנים;  12 </w:t>
      </w:r>
      <w:r w:rsidRPr="00C0223A">
        <w:rPr>
          <w:rtl/>
        </w:rPr>
        <w:t>–</w:t>
      </w:r>
      <w:r w:rsidRPr="00C0223A">
        <w:rPr>
          <w:rFonts w:hint="cs"/>
          <w:rtl/>
        </w:rPr>
        <w:t xml:space="preserve"> ועל בני בנים [והיינו על שלשים];  13 </w:t>
      </w:r>
      <w:r w:rsidRPr="00C0223A">
        <w:rPr>
          <w:rtl/>
        </w:rPr>
        <w:t>–</w:t>
      </w:r>
      <w:r w:rsidRPr="00C0223A">
        <w:rPr>
          <w:rFonts w:hint="cs"/>
          <w:rtl/>
        </w:rPr>
        <w:t xml:space="preserve"> על רבעים</w:t>
      </w:r>
      <w:r>
        <w:rPr>
          <w:rFonts w:hint="cs"/>
          <w:rtl/>
        </w:rPr>
        <w:t>.</w:t>
      </w:r>
    </w:p>
    <w:p w14:paraId="3A433837" w14:textId="77777777" w:rsidR="004E3A96" w:rsidRPr="00C0223A" w:rsidRDefault="004E3A96" w:rsidP="00E60D97">
      <w:pPr>
        <w:pStyle w:val="a3"/>
      </w:pPr>
      <w:r>
        <w:rPr>
          <w:rFonts w:hint="cs"/>
          <w:rtl/>
        </w:rPr>
        <w:t xml:space="preserve">א. </w:t>
      </w:r>
      <w:r w:rsidRPr="00C0223A">
        <w:rPr>
          <w:rFonts w:hint="cs"/>
          <w:rtl/>
        </w:rPr>
        <w:t>לכל דעות הנ"ל, יש להן טעמים או ראיות שעליהם מיוסדות שיטתם, ולהלן מובאים כמה מהם.</w:t>
      </w:r>
    </w:p>
    <w:p w14:paraId="3FD07225" w14:textId="77777777" w:rsidR="004E3A96" w:rsidRPr="00C0223A" w:rsidRDefault="004E3A96" w:rsidP="00E60D97">
      <w:pPr>
        <w:pStyle w:val="a3"/>
        <w:rPr>
          <w:rtl/>
        </w:rPr>
      </w:pPr>
      <w:r w:rsidRPr="00C0223A">
        <w:rPr>
          <w:rFonts w:hint="cs"/>
          <w:rtl/>
        </w:rPr>
        <w:lastRenderedPageBreak/>
        <w:t xml:space="preserve"> שיטת רבנו נסים גאון, שמקדים לכותבה בספרו מגילת סתרים, היא ששם הוי' השני הוא המד</w:t>
      </w:r>
      <w:r>
        <w:rPr>
          <w:rFonts w:hint="cs"/>
          <w:rtl/>
        </w:rPr>
        <w:t xml:space="preserve">ה הראשונה של הי"ג מדות הרחמים. </w:t>
      </w:r>
      <w:r w:rsidRPr="00C0223A">
        <w:rPr>
          <w:rFonts w:hint="cs"/>
          <w:rtl/>
        </w:rPr>
        <w:t>הטעם שאינו מונה שם הוי' הראשון בי"ג</w:t>
      </w:r>
      <w:r>
        <w:rPr>
          <w:rFonts w:hint="cs"/>
          <w:rtl/>
        </w:rPr>
        <w:t xml:space="preserve"> מדות הרחמים, הובא בתוספות ב</w:t>
      </w:r>
      <w:r w:rsidRPr="00C0223A">
        <w:rPr>
          <w:rFonts w:hint="cs"/>
          <w:rtl/>
        </w:rPr>
        <w:t xml:space="preserve">ראש השנה </w:t>
      </w:r>
      <w:r w:rsidRPr="00CE5204">
        <w:rPr>
          <w:rFonts w:hint="cs"/>
          <w:sz w:val="20"/>
          <w:szCs w:val="20"/>
          <w:rtl/>
        </w:rPr>
        <w:t>[דף יז עמוד ב ד"ה שלש עשרה מדות]</w:t>
      </w:r>
      <w:r w:rsidRPr="00C0223A">
        <w:rPr>
          <w:rFonts w:hint="cs"/>
          <w:rtl/>
        </w:rPr>
        <w:t xml:space="preserve">, הוא מפני "שיש פסיק </w:t>
      </w:r>
      <w:r w:rsidRPr="00C0223A">
        <w:rPr>
          <w:rFonts w:hint="cs"/>
          <w:sz w:val="20"/>
          <w:szCs w:val="20"/>
          <w:rtl/>
        </w:rPr>
        <w:t>[</w:t>
      </w:r>
      <w:r>
        <w:rPr>
          <w:rFonts w:hint="cs"/>
          <w:sz w:val="20"/>
          <w:szCs w:val="20"/>
          <w:rtl/>
        </w:rPr>
        <w:t xml:space="preserve"> </w:t>
      </w:r>
      <w:r w:rsidRPr="00CE5204">
        <w:rPr>
          <w:rFonts w:hint="cs"/>
          <w:i/>
          <w:iCs/>
          <w:sz w:val="20"/>
          <w:szCs w:val="20"/>
          <w:rtl/>
        </w:rPr>
        <w:t>קו המפסיק</w:t>
      </w:r>
      <w:r w:rsidRPr="00C0223A">
        <w:rPr>
          <w:rFonts w:hint="cs"/>
          <w:sz w:val="20"/>
          <w:szCs w:val="20"/>
          <w:rtl/>
        </w:rPr>
        <w:t xml:space="preserve">] </w:t>
      </w:r>
      <w:r w:rsidRPr="00C0223A">
        <w:rPr>
          <w:rFonts w:hint="cs"/>
          <w:rtl/>
        </w:rPr>
        <w:t xml:space="preserve">בין השמות </w:t>
      </w:r>
      <w:r w:rsidRPr="00C0223A">
        <w:rPr>
          <w:rFonts w:hint="cs"/>
          <w:sz w:val="20"/>
          <w:szCs w:val="20"/>
          <w:rtl/>
        </w:rPr>
        <w:t>[</w:t>
      </w:r>
      <w:r>
        <w:rPr>
          <w:rFonts w:hint="cs"/>
          <w:sz w:val="20"/>
          <w:szCs w:val="20"/>
          <w:rtl/>
        </w:rPr>
        <w:t xml:space="preserve"> </w:t>
      </w:r>
      <w:r w:rsidRPr="00CE5204">
        <w:rPr>
          <w:rFonts w:hint="cs"/>
          <w:i/>
          <w:iCs/>
          <w:sz w:val="20"/>
          <w:szCs w:val="20"/>
          <w:rtl/>
        </w:rPr>
        <w:t>שני שמות ה'</w:t>
      </w:r>
      <w:r w:rsidRPr="00C0223A">
        <w:rPr>
          <w:rFonts w:hint="cs"/>
          <w:sz w:val="20"/>
          <w:szCs w:val="20"/>
          <w:rtl/>
        </w:rPr>
        <w:t>]</w:t>
      </w:r>
      <w:r w:rsidRPr="00C0223A">
        <w:rPr>
          <w:rFonts w:hint="cs"/>
          <w:rtl/>
        </w:rPr>
        <w:t xml:space="preserve"> משום דהכ</w:t>
      </w:r>
      <w:r>
        <w:rPr>
          <w:rFonts w:hint="cs"/>
          <w:rtl/>
        </w:rPr>
        <w:t>י קאמר קרא: הקב"ה ששמו הוי' קרא:</w:t>
      </w:r>
      <w:r w:rsidRPr="00C0223A">
        <w:rPr>
          <w:rFonts w:hint="cs"/>
          <w:rtl/>
        </w:rPr>
        <w:t xml:space="preserve"> הוי' רחום וחנון". </w:t>
      </w:r>
    </w:p>
    <w:p w14:paraId="3AB7B8F4" w14:textId="77777777" w:rsidR="004E3A96" w:rsidRDefault="004E3A96" w:rsidP="00E60D97">
      <w:pPr>
        <w:pStyle w:val="a3"/>
        <w:rPr>
          <w:rtl/>
        </w:rPr>
      </w:pPr>
      <w:r w:rsidRPr="00C0223A">
        <w:rPr>
          <w:rFonts w:hint="cs"/>
          <w:rtl/>
        </w:rPr>
        <w:t xml:space="preserve">עוד טעם לשיטתו, למנות רק אחד משני שמות הוי', נזכר בהגהה על התוספות שם וז"ל: "כיון דשניהם </w:t>
      </w:r>
    </w:p>
    <w:p w14:paraId="353F355E" w14:textId="77777777" w:rsidR="004E3A96" w:rsidRPr="00C0223A" w:rsidRDefault="004E3A96" w:rsidP="00E60D97">
      <w:pPr>
        <w:pStyle w:val="a3"/>
        <w:rPr>
          <w:rtl/>
        </w:rPr>
      </w:pPr>
      <w:r w:rsidRPr="00C0223A">
        <w:rPr>
          <w:rFonts w:hint="cs"/>
          <w:sz w:val="20"/>
          <w:szCs w:val="20"/>
          <w:rtl/>
        </w:rPr>
        <w:t>[</w:t>
      </w:r>
      <w:r>
        <w:rPr>
          <w:rFonts w:hint="cs"/>
          <w:sz w:val="20"/>
          <w:szCs w:val="20"/>
          <w:rtl/>
        </w:rPr>
        <w:t xml:space="preserve"> </w:t>
      </w:r>
      <w:r w:rsidRPr="003320AA">
        <w:rPr>
          <w:rFonts w:hint="cs"/>
          <w:i/>
          <w:iCs/>
          <w:sz w:val="20"/>
          <w:szCs w:val="20"/>
          <w:rtl/>
        </w:rPr>
        <w:t>ה' ה'</w:t>
      </w:r>
      <w:r w:rsidRPr="00C0223A">
        <w:rPr>
          <w:rFonts w:hint="cs"/>
          <w:sz w:val="20"/>
          <w:szCs w:val="20"/>
          <w:rtl/>
        </w:rPr>
        <w:t>]</w:t>
      </w:r>
      <w:r w:rsidRPr="00C0223A">
        <w:rPr>
          <w:rFonts w:hint="cs"/>
          <w:rtl/>
        </w:rPr>
        <w:t xml:space="preserve"> של רחמים, אין כאן שתי מדות לכך נראה שהן מדה אחת".</w:t>
      </w:r>
    </w:p>
    <w:p w14:paraId="54EF30FD" w14:textId="77777777" w:rsidR="004E3A96" w:rsidRDefault="004E3A96" w:rsidP="00E60D97">
      <w:pPr>
        <w:pStyle w:val="a3"/>
        <w:rPr>
          <w:rFonts w:hint="cs"/>
          <w:rtl/>
        </w:rPr>
      </w:pPr>
      <w:r>
        <w:rPr>
          <w:rFonts w:hint="cs"/>
          <w:rtl/>
        </w:rPr>
        <w:t xml:space="preserve">ב. </w:t>
      </w:r>
      <w:r w:rsidRPr="00C0223A">
        <w:rPr>
          <w:rFonts w:hint="cs"/>
          <w:rtl/>
        </w:rPr>
        <w:t xml:space="preserve">שיטת ר"ת </w:t>
      </w:r>
      <w:r w:rsidRPr="00C0223A">
        <w:rPr>
          <w:rFonts w:hint="cs"/>
          <w:sz w:val="20"/>
          <w:szCs w:val="20"/>
          <w:rtl/>
        </w:rPr>
        <w:t>[הובא</w:t>
      </w:r>
      <w:r>
        <w:rPr>
          <w:rFonts w:hint="cs"/>
          <w:sz w:val="20"/>
          <w:szCs w:val="20"/>
          <w:rtl/>
        </w:rPr>
        <w:t>ה</w:t>
      </w:r>
      <w:r w:rsidRPr="00C0223A">
        <w:rPr>
          <w:rFonts w:hint="cs"/>
          <w:sz w:val="20"/>
          <w:szCs w:val="20"/>
          <w:rtl/>
        </w:rPr>
        <w:t xml:space="preserve"> בתוס' שם]</w:t>
      </w:r>
      <w:r w:rsidRPr="00C0223A">
        <w:rPr>
          <w:rFonts w:hint="cs"/>
          <w:rtl/>
        </w:rPr>
        <w:t xml:space="preserve"> </w:t>
      </w:r>
      <w:r w:rsidRPr="00E944EF">
        <w:rPr>
          <w:rFonts w:hint="cs"/>
          <w:rtl/>
        </w:rPr>
        <w:t>שהיא גם שיטת</w:t>
      </w:r>
      <w:r>
        <w:rPr>
          <w:rFonts w:hint="cs"/>
          <w:rtl/>
        </w:rPr>
        <w:t xml:space="preserve"> </w:t>
      </w:r>
      <w:r w:rsidRPr="00C0223A">
        <w:rPr>
          <w:rFonts w:hint="cs"/>
          <w:rtl/>
        </w:rPr>
        <w:t>הרא"ש</w:t>
      </w:r>
      <w:r>
        <w:rPr>
          <w:rFonts w:hint="cs"/>
          <w:rtl/>
        </w:rPr>
        <w:t xml:space="preserve"> </w:t>
      </w:r>
      <w:r w:rsidRPr="00C0223A">
        <w:rPr>
          <w:rFonts w:hint="cs"/>
          <w:rtl/>
        </w:rPr>
        <w:t xml:space="preserve"> </w:t>
      </w:r>
      <w:r w:rsidRPr="00C0223A">
        <w:rPr>
          <w:rFonts w:hint="cs"/>
          <w:sz w:val="20"/>
          <w:szCs w:val="20"/>
          <w:rtl/>
        </w:rPr>
        <w:t>[ר"ה  פ"א ס"ה]</w:t>
      </w:r>
      <w:r w:rsidRPr="00C0223A">
        <w:rPr>
          <w:rFonts w:hint="cs"/>
          <w:rtl/>
        </w:rPr>
        <w:t xml:space="preserve">  והאבן עזרא </w:t>
      </w:r>
      <w:r w:rsidRPr="00C0223A">
        <w:rPr>
          <w:rFonts w:hint="cs"/>
          <w:sz w:val="20"/>
          <w:szCs w:val="20"/>
          <w:rtl/>
        </w:rPr>
        <w:t>[כי תשא לד, ו]</w:t>
      </w:r>
      <w:r w:rsidRPr="00C0223A">
        <w:rPr>
          <w:rFonts w:hint="cs"/>
          <w:rtl/>
        </w:rPr>
        <w:t xml:space="preserve"> שמתחילין למנות</w:t>
      </w:r>
      <w:r>
        <w:rPr>
          <w:rFonts w:hint="cs"/>
          <w:rtl/>
        </w:rPr>
        <w:t xml:space="preserve"> </w:t>
      </w:r>
      <w:r w:rsidRPr="00E944EF">
        <w:rPr>
          <w:rFonts w:hint="cs"/>
          <w:rtl/>
        </w:rPr>
        <w:t>את</w:t>
      </w:r>
      <w:r>
        <w:rPr>
          <w:rFonts w:hint="cs"/>
          <w:rtl/>
        </w:rPr>
        <w:t xml:space="preserve"> </w:t>
      </w:r>
      <w:r w:rsidRPr="00C0223A">
        <w:rPr>
          <w:rFonts w:hint="cs"/>
          <w:rtl/>
        </w:rPr>
        <w:t xml:space="preserve">הי"ג מדות הרחמים משם הוי' </w:t>
      </w:r>
      <w:r>
        <w:rPr>
          <w:rFonts w:hint="cs"/>
          <w:rtl/>
        </w:rPr>
        <w:t xml:space="preserve">הראשון. </w:t>
      </w:r>
      <w:r w:rsidRPr="00CF55B0">
        <w:rPr>
          <w:rFonts w:hint="cs"/>
          <w:rtl/>
        </w:rPr>
        <w:t>בהגהה על התוספות שם  מביא ראי'ה לשיטה זו מהפסיקתא רבתי פס' לב, אות ב, שכת</w:t>
      </w:r>
      <w:r w:rsidRPr="00E944EF">
        <w:rPr>
          <w:rFonts w:hint="cs"/>
          <w:rtl/>
        </w:rPr>
        <w:t>ו</w:t>
      </w:r>
      <w:r w:rsidRPr="00CF55B0">
        <w:rPr>
          <w:rFonts w:hint="cs"/>
          <w:rtl/>
        </w:rPr>
        <w:t>ב</w:t>
      </w:r>
      <w:r w:rsidRPr="00C0223A">
        <w:rPr>
          <w:rFonts w:hint="cs"/>
          <w:rtl/>
        </w:rPr>
        <w:t xml:space="preserve"> שם על הפסוק </w:t>
      </w:r>
      <w:r>
        <w:rPr>
          <w:rFonts w:hint="cs"/>
          <w:rtl/>
        </w:rPr>
        <w:t>'</w:t>
      </w:r>
      <w:r w:rsidRPr="00C0223A">
        <w:rPr>
          <w:rFonts w:hint="cs"/>
          <w:rtl/>
        </w:rPr>
        <w:t>ותאמר ציון עזבני ה' וה' שכחני</w:t>
      </w:r>
      <w:r>
        <w:rPr>
          <w:rFonts w:hint="cs"/>
          <w:rtl/>
        </w:rPr>
        <w:t>'</w:t>
      </w:r>
      <w:r w:rsidRPr="00C0223A">
        <w:rPr>
          <w:rFonts w:hint="cs"/>
          <w:rtl/>
        </w:rPr>
        <w:t xml:space="preserve"> </w:t>
      </w:r>
      <w:r w:rsidRPr="00C0223A">
        <w:rPr>
          <w:rFonts w:hint="cs"/>
          <w:sz w:val="20"/>
          <w:szCs w:val="20"/>
          <w:rtl/>
        </w:rPr>
        <w:t>[ישעי' מט, ד]</w:t>
      </w:r>
      <w:r w:rsidRPr="00C0223A">
        <w:rPr>
          <w:rFonts w:hint="cs"/>
          <w:rtl/>
        </w:rPr>
        <w:t xml:space="preserve"> וז"ל: "מהו ה' ה' </w:t>
      </w:r>
      <w:r w:rsidRPr="00C0223A">
        <w:rPr>
          <w:rFonts w:hint="cs"/>
          <w:sz w:val="20"/>
          <w:szCs w:val="20"/>
          <w:rtl/>
        </w:rPr>
        <w:t>[</w:t>
      </w:r>
      <w:r>
        <w:rPr>
          <w:rFonts w:hint="cs"/>
          <w:sz w:val="20"/>
          <w:szCs w:val="20"/>
          <w:rtl/>
        </w:rPr>
        <w:t xml:space="preserve"> </w:t>
      </w:r>
      <w:r w:rsidRPr="0020176B">
        <w:rPr>
          <w:rFonts w:hint="cs"/>
          <w:i/>
          <w:iCs/>
          <w:sz w:val="20"/>
          <w:szCs w:val="20"/>
          <w:rtl/>
        </w:rPr>
        <w:t>מדוע שם ה'</w:t>
      </w:r>
      <w:r w:rsidRPr="00C0223A">
        <w:rPr>
          <w:rFonts w:hint="cs"/>
          <w:sz w:val="20"/>
          <w:szCs w:val="20"/>
          <w:rtl/>
        </w:rPr>
        <w:t xml:space="preserve">  </w:t>
      </w:r>
      <w:r w:rsidRPr="0020176B">
        <w:rPr>
          <w:rFonts w:hint="cs"/>
          <w:i/>
          <w:iCs/>
          <w:sz w:val="20"/>
          <w:szCs w:val="20"/>
          <w:rtl/>
        </w:rPr>
        <w:t>נזכר בפסוק זה שתי פעמים</w:t>
      </w:r>
      <w:r w:rsidRPr="00C0223A">
        <w:rPr>
          <w:rFonts w:hint="cs"/>
          <w:sz w:val="20"/>
          <w:szCs w:val="20"/>
          <w:rtl/>
        </w:rPr>
        <w:t>]</w:t>
      </w:r>
      <w:r w:rsidRPr="00C0223A">
        <w:rPr>
          <w:rFonts w:hint="cs"/>
          <w:rtl/>
        </w:rPr>
        <w:t xml:space="preserve">? אמרה לו </w:t>
      </w:r>
      <w:r w:rsidRPr="00C0223A">
        <w:rPr>
          <w:rFonts w:hint="cs"/>
          <w:sz w:val="20"/>
          <w:szCs w:val="20"/>
          <w:rtl/>
        </w:rPr>
        <w:t>[</w:t>
      </w:r>
      <w:r>
        <w:rPr>
          <w:rFonts w:hint="cs"/>
          <w:sz w:val="20"/>
          <w:szCs w:val="20"/>
          <w:rtl/>
        </w:rPr>
        <w:t xml:space="preserve"> </w:t>
      </w:r>
      <w:r w:rsidRPr="0020176B">
        <w:rPr>
          <w:rFonts w:hint="cs"/>
          <w:i/>
          <w:iCs/>
          <w:sz w:val="20"/>
          <w:szCs w:val="20"/>
          <w:rtl/>
        </w:rPr>
        <w:t>כנסת ישראל להקב"ה</w:t>
      </w:r>
      <w:r w:rsidRPr="00C0223A">
        <w:rPr>
          <w:rFonts w:hint="cs"/>
          <w:sz w:val="20"/>
          <w:szCs w:val="20"/>
          <w:rtl/>
        </w:rPr>
        <w:t>]</w:t>
      </w:r>
      <w:r w:rsidRPr="00C0223A">
        <w:rPr>
          <w:rFonts w:hint="cs"/>
          <w:rtl/>
        </w:rPr>
        <w:t xml:space="preserve"> אפילו</w:t>
      </w:r>
      <w:r w:rsidRPr="00C0223A">
        <w:rPr>
          <w:rFonts w:hint="cs"/>
          <w:bCs/>
          <w:rtl/>
        </w:rPr>
        <w:t xml:space="preserve"> שתי מדות של רחמים שכתובים בך ה' ה'</w:t>
      </w:r>
      <w:r w:rsidRPr="00C0223A">
        <w:rPr>
          <w:rFonts w:hint="cs"/>
          <w:i/>
          <w:iCs/>
          <w:rtl/>
        </w:rPr>
        <w:t xml:space="preserve"> </w:t>
      </w:r>
      <w:r w:rsidRPr="00C0223A">
        <w:rPr>
          <w:rFonts w:hint="cs"/>
          <w:rtl/>
        </w:rPr>
        <w:t xml:space="preserve">אל רחום וחנון </w:t>
      </w:r>
      <w:r w:rsidRPr="00C0223A">
        <w:rPr>
          <w:rFonts w:hint="cs"/>
          <w:sz w:val="20"/>
          <w:szCs w:val="20"/>
          <w:rtl/>
        </w:rPr>
        <w:t>[כי תשא לד,ו]</w:t>
      </w:r>
      <w:r w:rsidRPr="00C0223A">
        <w:rPr>
          <w:rFonts w:hint="cs"/>
          <w:rtl/>
        </w:rPr>
        <w:t xml:space="preserve"> עזבו אותי, ושכחו אותי - עזבני ה' וה' שכחני".</w:t>
      </w:r>
    </w:p>
    <w:p w14:paraId="77372B94" w14:textId="77777777" w:rsidR="004E3A96" w:rsidRPr="00C0223A" w:rsidRDefault="004E3A96" w:rsidP="00E60D97">
      <w:pPr>
        <w:pStyle w:val="a3"/>
        <w:rPr>
          <w:rtl/>
        </w:rPr>
      </w:pPr>
      <w:r w:rsidRPr="00E944EF">
        <w:rPr>
          <w:rFonts w:hint="cs"/>
          <w:rtl/>
        </w:rPr>
        <w:t>ואיל</w:t>
      </w:r>
      <w:r>
        <w:rPr>
          <w:rFonts w:hint="cs"/>
          <w:rtl/>
        </w:rPr>
        <w:t xml:space="preserve">ו </w:t>
      </w:r>
      <w:r w:rsidRPr="00C0223A">
        <w:rPr>
          <w:rFonts w:hint="cs"/>
          <w:rtl/>
        </w:rPr>
        <w:t>הרא"ש מביא הוכחה לשיטתו זו ממנהג בית הכנסת וז"ל</w:t>
      </w:r>
      <w:r>
        <w:rPr>
          <w:rFonts w:hint="cs"/>
          <w:rtl/>
        </w:rPr>
        <w:t>:</w:t>
      </w:r>
      <w:r w:rsidRPr="00C0223A">
        <w:rPr>
          <w:rFonts w:hint="cs"/>
          <w:rtl/>
        </w:rPr>
        <w:t xml:space="preserve"> "וכן נהוג לאומרן </w:t>
      </w:r>
      <w:r w:rsidRPr="00C0223A">
        <w:rPr>
          <w:rFonts w:hint="cs"/>
          <w:sz w:val="20"/>
          <w:szCs w:val="20"/>
          <w:rtl/>
        </w:rPr>
        <w:t>[</w:t>
      </w:r>
      <w:r>
        <w:rPr>
          <w:rFonts w:hint="cs"/>
          <w:sz w:val="20"/>
          <w:szCs w:val="20"/>
          <w:rtl/>
        </w:rPr>
        <w:t xml:space="preserve"> </w:t>
      </w:r>
      <w:r w:rsidRPr="0020176B">
        <w:rPr>
          <w:rFonts w:hint="cs"/>
          <w:i/>
          <w:iCs/>
          <w:sz w:val="20"/>
          <w:szCs w:val="20"/>
          <w:rtl/>
        </w:rPr>
        <w:t>הי"ג מדה"ר</w:t>
      </w:r>
      <w:r w:rsidRPr="00C0223A">
        <w:rPr>
          <w:rFonts w:hint="cs"/>
          <w:sz w:val="20"/>
          <w:szCs w:val="20"/>
          <w:rtl/>
        </w:rPr>
        <w:t>]</w:t>
      </w:r>
      <w:r w:rsidRPr="00C0223A">
        <w:rPr>
          <w:rFonts w:hint="cs"/>
          <w:rtl/>
        </w:rPr>
        <w:t xml:space="preserve"> בכל גלות ישראל שהחזן אומר ויעבור ה' על פניו ויקרא, והקהל מתחילין ה' ה' א-ל רחום וחנון וגו'. ולדברי הגאון </w:t>
      </w:r>
      <w:r w:rsidRPr="00C0223A">
        <w:rPr>
          <w:rFonts w:hint="cs"/>
          <w:sz w:val="20"/>
          <w:szCs w:val="20"/>
          <w:rtl/>
        </w:rPr>
        <w:t>[</w:t>
      </w:r>
      <w:r>
        <w:rPr>
          <w:rFonts w:hint="cs"/>
          <w:sz w:val="20"/>
          <w:szCs w:val="20"/>
          <w:rtl/>
        </w:rPr>
        <w:t xml:space="preserve"> </w:t>
      </w:r>
      <w:r w:rsidRPr="0020176B">
        <w:rPr>
          <w:rFonts w:hint="cs"/>
          <w:i/>
          <w:iCs/>
          <w:sz w:val="20"/>
          <w:szCs w:val="20"/>
          <w:rtl/>
        </w:rPr>
        <w:t>רבנו נסים</w:t>
      </w:r>
      <w:r w:rsidRPr="00C0223A">
        <w:rPr>
          <w:rFonts w:hint="cs"/>
          <w:sz w:val="20"/>
          <w:szCs w:val="20"/>
          <w:rtl/>
        </w:rPr>
        <w:t>]</w:t>
      </w:r>
      <w:r w:rsidRPr="00C0223A">
        <w:rPr>
          <w:rFonts w:hint="cs"/>
          <w:rtl/>
        </w:rPr>
        <w:t>, הי' לו לחזן לומר ויעבור ה' על פניו ויקרא ה', ולקהל להתחיל ה' א-ל רחום וגו'."</w:t>
      </w:r>
    </w:p>
    <w:p w14:paraId="1A8FCC85" w14:textId="77777777" w:rsidR="004E3A96" w:rsidRPr="00C0223A" w:rsidRDefault="004E3A96" w:rsidP="00E60D97">
      <w:pPr>
        <w:pStyle w:val="a3"/>
        <w:rPr>
          <w:rtl/>
        </w:rPr>
      </w:pPr>
      <w:r>
        <w:rPr>
          <w:rFonts w:hint="cs"/>
          <w:rtl/>
        </w:rPr>
        <w:t>מ</w:t>
      </w:r>
      <w:r w:rsidRPr="00C0223A">
        <w:rPr>
          <w:rFonts w:hint="cs"/>
          <w:rtl/>
        </w:rPr>
        <w:t>לבד זאת, הר</w:t>
      </w:r>
      <w:r>
        <w:rPr>
          <w:rFonts w:hint="cs"/>
          <w:rtl/>
        </w:rPr>
        <w:t>א"ש אינו מסכים עם שיטת רבנו נסים</w:t>
      </w:r>
      <w:r w:rsidRPr="00C0223A">
        <w:rPr>
          <w:rFonts w:hint="cs"/>
          <w:rtl/>
        </w:rPr>
        <w:t xml:space="preserve"> גאון בפירוש הפסוק ויעבור וגו'</w:t>
      </w:r>
      <w:r>
        <w:rPr>
          <w:rFonts w:hint="cs"/>
          <w:rtl/>
        </w:rPr>
        <w:t xml:space="preserve">. </w:t>
      </w:r>
      <w:r w:rsidRPr="00C0223A">
        <w:rPr>
          <w:rFonts w:hint="cs"/>
          <w:rtl/>
        </w:rPr>
        <w:t xml:space="preserve"> </w:t>
      </w:r>
      <w:r>
        <w:rPr>
          <w:rFonts w:hint="cs"/>
          <w:rtl/>
        </w:rPr>
        <w:t>ל</w:t>
      </w:r>
      <w:r w:rsidRPr="00C0223A">
        <w:rPr>
          <w:rFonts w:hint="cs"/>
          <w:rtl/>
        </w:rPr>
        <w:t>פי פירושו של הרב</w:t>
      </w:r>
      <w:r>
        <w:rPr>
          <w:rFonts w:hint="cs"/>
          <w:rtl/>
        </w:rPr>
        <w:t>נו</w:t>
      </w:r>
      <w:r w:rsidRPr="00C0223A">
        <w:rPr>
          <w:rFonts w:hint="cs"/>
          <w:rtl/>
        </w:rPr>
        <w:t xml:space="preserve"> נסים גאון, השם ה' הראשון שבפסוק צמוד למלת ויקרא וכאילו כתוב ויקרא ה':  ה', א-ל וגו'. על זה פריך הרא"ש: "למה לי' למיכתב ויקרא ה', הא כתיב ויעבור ה' על פניו ועלי' קאי ויקרא, ומה לו להזכיר השם אחרי ויקרא"</w:t>
      </w:r>
      <w:r w:rsidRPr="00E944EF">
        <w:rPr>
          <w:rFonts w:hint="cs"/>
          <w:rtl/>
        </w:rPr>
        <w:t>.</w:t>
      </w:r>
      <w:r w:rsidRPr="00C0223A">
        <w:rPr>
          <w:rFonts w:hint="cs"/>
          <w:rtl/>
        </w:rPr>
        <w:t xml:space="preserve">  האבן עזרא</w:t>
      </w:r>
      <w:r>
        <w:rPr>
          <w:rFonts w:hint="cs"/>
          <w:rtl/>
        </w:rPr>
        <w:t xml:space="preserve"> </w:t>
      </w:r>
      <w:r w:rsidRPr="00E944EF">
        <w:rPr>
          <w:rFonts w:hint="cs"/>
          <w:rtl/>
        </w:rPr>
        <w:t>בפירושו</w:t>
      </w:r>
      <w:r>
        <w:rPr>
          <w:rFonts w:hint="cs"/>
          <w:rtl/>
        </w:rPr>
        <w:t xml:space="preserve"> </w:t>
      </w:r>
      <w:r w:rsidRPr="00C0223A">
        <w:rPr>
          <w:rFonts w:hint="cs"/>
          <w:rtl/>
        </w:rPr>
        <w:t>עה"ת שם מוכיח גם כן שאין להצמיד מלת ויקרא שבפסוק עם מלת ה' שלאחר</w:t>
      </w:r>
      <w:r w:rsidRPr="00347560">
        <w:rPr>
          <w:rFonts w:hint="cs"/>
          <w:rtl/>
        </w:rPr>
        <w:t>יו</w:t>
      </w:r>
      <w:r w:rsidRPr="00E944EF">
        <w:rPr>
          <w:rFonts w:hint="cs"/>
          <w:rtl/>
        </w:rPr>
        <w:t>, וז"ל:</w:t>
      </w:r>
      <w:r w:rsidRPr="00C0223A">
        <w:rPr>
          <w:rFonts w:hint="cs"/>
          <w:rtl/>
        </w:rPr>
        <w:t xml:space="preserve"> "אמר הגאון כי השם הראשון דבוק עם ויקרא. ואילו הי' כן, למה לא דבקו בעל ה</w:t>
      </w:r>
      <w:r>
        <w:rPr>
          <w:rFonts w:hint="cs"/>
          <w:rtl/>
        </w:rPr>
        <w:t>טעמים?"; כי מלת "ויקרא" מוטעמת בטעם סגול, שזה עושה הפסק למלת "ה'"</w:t>
      </w:r>
      <w:r w:rsidRPr="00C0223A">
        <w:rPr>
          <w:rFonts w:hint="cs"/>
          <w:rtl/>
        </w:rPr>
        <w:t xml:space="preserve"> שלאחריו.</w:t>
      </w:r>
    </w:p>
    <w:p w14:paraId="19A5D89E" w14:textId="77777777" w:rsidR="004E3A96" w:rsidRPr="00C0223A" w:rsidRDefault="004E3A96" w:rsidP="00E60D97">
      <w:pPr>
        <w:pStyle w:val="a3"/>
        <w:rPr>
          <w:rtl/>
        </w:rPr>
      </w:pPr>
      <w:r w:rsidRPr="00C0223A">
        <w:rPr>
          <w:rFonts w:hint="cs"/>
          <w:rtl/>
        </w:rPr>
        <w:t xml:space="preserve">עוד ראי' לשיטה זו של ר"ת והרא"ש, כותב כ"ק אדמו"ר באגרת הנ"ל, כי </w:t>
      </w:r>
      <w:r w:rsidRPr="00C0223A">
        <w:rPr>
          <w:rFonts w:hint="cs"/>
          <w:bCs/>
          <w:rtl/>
        </w:rPr>
        <w:t xml:space="preserve">לפי גירסת הרא"ש </w:t>
      </w:r>
      <w:r>
        <w:rPr>
          <w:rFonts w:hint="cs"/>
          <w:rtl/>
        </w:rPr>
        <w:t>ב</w:t>
      </w:r>
      <w:r w:rsidRPr="009908B6">
        <w:rPr>
          <w:rFonts w:hint="cs"/>
          <w:rtl/>
        </w:rPr>
        <w:t>ראש</w:t>
      </w:r>
      <w:r w:rsidRPr="00C0223A">
        <w:rPr>
          <w:rFonts w:hint="cs"/>
          <w:rtl/>
        </w:rPr>
        <w:t xml:space="preserve"> השנה שם,  דרשת רב יהודה שברית כרותה לי"ג מדות שאינן חוזרות ריקן, באה תיכף אחר הדרשה </w:t>
      </w:r>
      <w:r>
        <w:rPr>
          <w:rFonts w:hint="cs"/>
          <w:rtl/>
        </w:rPr>
        <w:t xml:space="preserve">הנדרשת </w:t>
      </w:r>
      <w:r w:rsidRPr="00C0223A">
        <w:rPr>
          <w:rFonts w:hint="cs"/>
          <w:rtl/>
        </w:rPr>
        <w:t>על</w:t>
      </w:r>
      <w:r>
        <w:rPr>
          <w:rFonts w:hint="cs"/>
          <w:rtl/>
        </w:rPr>
        <w:t xml:space="preserve"> מה שנאמר</w:t>
      </w:r>
      <w:r w:rsidRPr="00C0223A">
        <w:rPr>
          <w:rFonts w:hint="cs"/>
          <w:rtl/>
        </w:rPr>
        <w:t xml:space="preserve">  </w:t>
      </w:r>
      <w:r>
        <w:rPr>
          <w:rFonts w:hint="cs"/>
          <w:rtl/>
        </w:rPr>
        <w:t>"</w:t>
      </w:r>
      <w:r w:rsidRPr="00C0223A">
        <w:rPr>
          <w:rFonts w:hint="cs"/>
          <w:rtl/>
        </w:rPr>
        <w:t xml:space="preserve">ה' ה' </w:t>
      </w:r>
      <w:r>
        <w:rPr>
          <w:rFonts w:hint="cs"/>
          <w:rtl/>
        </w:rPr>
        <w:t xml:space="preserve">" שתי פעמים </w:t>
      </w:r>
      <w:r>
        <w:rPr>
          <w:rFonts w:hint="cs"/>
          <w:rtl/>
        </w:rPr>
        <w:lastRenderedPageBreak/>
        <w:t xml:space="preserve">- </w:t>
      </w:r>
      <w:r w:rsidRPr="00C0223A">
        <w:rPr>
          <w:rFonts w:hint="cs"/>
          <w:rtl/>
        </w:rPr>
        <w:t>שאני הוא קודם שיחטא האדם, ואני הוא אחר שיחטא האדם</w:t>
      </w:r>
      <w:r w:rsidRPr="00C0223A">
        <w:rPr>
          <w:rStyle w:val="FootnoteReference"/>
          <w:rFonts w:cs="David"/>
          <w:rtl/>
        </w:rPr>
        <w:footnoteReference w:id="60"/>
      </w:r>
      <w:r w:rsidRPr="00C0223A">
        <w:rPr>
          <w:rFonts w:hint="cs"/>
          <w:rtl/>
        </w:rPr>
        <w:t xml:space="preserve">. ולכן </w:t>
      </w:r>
      <w:r w:rsidRPr="00C0223A">
        <w:rPr>
          <w:rFonts w:hint="cs"/>
          <w:bCs/>
          <w:rtl/>
        </w:rPr>
        <w:t>אפשר</w:t>
      </w:r>
      <w:r w:rsidRPr="00C0223A">
        <w:rPr>
          <w:rFonts w:hint="cs"/>
          <w:rtl/>
        </w:rPr>
        <w:t xml:space="preserve"> לומר דזהו </w:t>
      </w:r>
      <w:r>
        <w:rPr>
          <w:rtl/>
        </w:rPr>
        <w:br/>
      </w:r>
      <w:r w:rsidRPr="00C0223A">
        <w:rPr>
          <w:rFonts w:hint="cs"/>
          <w:sz w:val="20"/>
          <w:szCs w:val="20"/>
          <w:rtl/>
        </w:rPr>
        <w:t>[</w:t>
      </w:r>
      <w:r>
        <w:rPr>
          <w:rFonts w:hint="cs"/>
          <w:sz w:val="20"/>
          <w:szCs w:val="20"/>
          <w:rtl/>
        </w:rPr>
        <w:t xml:space="preserve"> </w:t>
      </w:r>
      <w:r w:rsidRPr="003320AA">
        <w:rPr>
          <w:rFonts w:hint="cs"/>
          <w:i/>
          <w:iCs/>
          <w:sz w:val="20"/>
          <w:szCs w:val="20"/>
          <w:rtl/>
        </w:rPr>
        <w:t>ה' ה'</w:t>
      </w:r>
      <w:r w:rsidRPr="00C0223A">
        <w:rPr>
          <w:rFonts w:hint="cs"/>
          <w:sz w:val="20"/>
          <w:szCs w:val="20"/>
          <w:rtl/>
        </w:rPr>
        <w:t>]</w:t>
      </w:r>
      <w:r w:rsidRPr="00C0223A">
        <w:rPr>
          <w:rFonts w:hint="cs"/>
          <w:rtl/>
        </w:rPr>
        <w:t xml:space="preserve"> התחלת י"ג מדות הרחמים.   </w:t>
      </w:r>
    </w:p>
    <w:p w14:paraId="0A73F81F" w14:textId="77777777" w:rsidR="004E3A96" w:rsidRPr="00C0223A" w:rsidRDefault="004E3A96" w:rsidP="00E60D97">
      <w:pPr>
        <w:pStyle w:val="a3"/>
        <w:rPr>
          <w:rtl/>
        </w:rPr>
      </w:pPr>
      <w:r>
        <w:rPr>
          <w:rFonts w:hint="cs"/>
          <w:rtl/>
        </w:rPr>
        <w:t xml:space="preserve">ג. </w:t>
      </w:r>
      <w:r w:rsidRPr="00C0223A">
        <w:rPr>
          <w:rFonts w:hint="cs"/>
          <w:rtl/>
        </w:rPr>
        <w:t>שיטת המקובלים היא שמתחילים למנות</w:t>
      </w:r>
      <w:r>
        <w:rPr>
          <w:rFonts w:hint="cs"/>
          <w:rtl/>
        </w:rPr>
        <w:t xml:space="preserve"> </w:t>
      </w:r>
      <w:r w:rsidRPr="009908B6">
        <w:rPr>
          <w:rFonts w:hint="cs"/>
          <w:rtl/>
        </w:rPr>
        <w:t>את</w:t>
      </w:r>
      <w:r w:rsidRPr="00C0223A">
        <w:rPr>
          <w:rFonts w:hint="cs"/>
          <w:rtl/>
        </w:rPr>
        <w:t xml:space="preserve"> הי"ג מדות </w:t>
      </w:r>
      <w:r w:rsidRPr="009908B6">
        <w:rPr>
          <w:rFonts w:hint="cs"/>
          <w:rtl/>
        </w:rPr>
        <w:t>הרחמים</w:t>
      </w:r>
      <w:r w:rsidRPr="00C0223A">
        <w:rPr>
          <w:rFonts w:hint="cs"/>
          <w:rtl/>
        </w:rPr>
        <w:t xml:space="preserve"> מ</w:t>
      </w:r>
      <w:r w:rsidRPr="009908B6">
        <w:rPr>
          <w:rFonts w:hint="cs"/>
          <w:rtl/>
        </w:rPr>
        <w:t>ה</w:t>
      </w:r>
      <w:r>
        <w:rPr>
          <w:rFonts w:hint="cs"/>
          <w:rtl/>
        </w:rPr>
        <w:t xml:space="preserve">שם א-ל. </w:t>
      </w:r>
      <w:r w:rsidRPr="00C0223A">
        <w:rPr>
          <w:rFonts w:hint="cs"/>
          <w:rtl/>
        </w:rPr>
        <w:t>טעם פשוט לשיטה זו. בעץ חיים</w:t>
      </w:r>
      <w:r w:rsidRPr="00C0223A">
        <w:rPr>
          <w:rStyle w:val="FootnoteReference"/>
          <w:rFonts w:cs="David"/>
          <w:rtl/>
        </w:rPr>
        <w:footnoteReference w:id="61"/>
      </w:r>
      <w:r w:rsidRPr="00C0223A">
        <w:rPr>
          <w:rFonts w:hint="cs"/>
          <w:rtl/>
        </w:rPr>
        <w:t xml:space="preserve"> הובא ששם הוי' הוא </w:t>
      </w:r>
      <w:r w:rsidRPr="009908B6">
        <w:rPr>
          <w:rFonts w:hint="cs"/>
          <w:bCs/>
          <w:rtl/>
        </w:rPr>
        <w:t>המקור</w:t>
      </w:r>
      <w:r w:rsidRPr="00C0223A">
        <w:rPr>
          <w:rFonts w:hint="cs"/>
          <w:rtl/>
        </w:rPr>
        <w:t xml:space="preserve"> לי"ג מדות הרחמים ולא שהוא אחת מהן, וז"ל:</w:t>
      </w:r>
    </w:p>
    <w:p w14:paraId="1E02851F" w14:textId="77777777" w:rsidR="004E3A96" w:rsidRPr="00C0223A" w:rsidRDefault="004E3A96" w:rsidP="00E60D97">
      <w:pPr>
        <w:pStyle w:val="a3"/>
        <w:rPr>
          <w:rtl/>
        </w:rPr>
      </w:pPr>
      <w:r w:rsidRPr="00C0223A">
        <w:rPr>
          <w:rFonts w:hint="cs"/>
          <w:rtl/>
        </w:rPr>
        <w:t xml:space="preserve">"מכח שערות הראש הנשארות בפאת הראש, מהם יוצאין שערות הי"ג תיקוני דיקנא כנ"ל. אם כן נמצא כי כל הי"ג מכילין </w:t>
      </w:r>
      <w:r w:rsidRPr="00C0223A">
        <w:rPr>
          <w:rFonts w:hint="cs"/>
          <w:sz w:val="20"/>
          <w:szCs w:val="20"/>
          <w:rtl/>
        </w:rPr>
        <w:t>[</w:t>
      </w:r>
      <w:r>
        <w:rPr>
          <w:rFonts w:hint="cs"/>
          <w:sz w:val="20"/>
          <w:szCs w:val="20"/>
          <w:rtl/>
        </w:rPr>
        <w:t xml:space="preserve"> </w:t>
      </w:r>
      <w:r w:rsidRPr="0060108B">
        <w:rPr>
          <w:rFonts w:hint="cs"/>
          <w:i/>
          <w:iCs/>
          <w:sz w:val="20"/>
          <w:szCs w:val="20"/>
          <w:rtl/>
        </w:rPr>
        <w:t>היינו הי"ג מדה"ר שהן כנגד הי"ג תיקוני דיקנא</w:t>
      </w:r>
      <w:r w:rsidRPr="00C0223A">
        <w:rPr>
          <w:rFonts w:hint="cs"/>
          <w:sz w:val="20"/>
          <w:szCs w:val="20"/>
          <w:rtl/>
        </w:rPr>
        <w:t>]</w:t>
      </w:r>
      <w:r w:rsidRPr="00C0223A">
        <w:rPr>
          <w:rFonts w:hint="cs"/>
          <w:rtl/>
        </w:rPr>
        <w:t xml:space="preserve"> יונקים מב' פאות הראש.  לכן בתחילתן אנו מזכירין ב'  הויות </w:t>
      </w:r>
      <w:r w:rsidRPr="00C0223A">
        <w:rPr>
          <w:rFonts w:hint="cs"/>
          <w:sz w:val="20"/>
          <w:szCs w:val="20"/>
          <w:rtl/>
        </w:rPr>
        <w:t>[</w:t>
      </w:r>
      <w:r>
        <w:rPr>
          <w:rFonts w:hint="cs"/>
          <w:sz w:val="20"/>
          <w:szCs w:val="20"/>
          <w:rtl/>
        </w:rPr>
        <w:t xml:space="preserve"> </w:t>
      </w:r>
      <w:r w:rsidRPr="0060108B">
        <w:rPr>
          <w:rFonts w:hint="cs"/>
          <w:i/>
          <w:iCs/>
          <w:sz w:val="20"/>
          <w:szCs w:val="20"/>
          <w:rtl/>
        </w:rPr>
        <w:t>שמות ה'</w:t>
      </w:r>
      <w:r w:rsidRPr="00C0223A">
        <w:rPr>
          <w:rFonts w:hint="cs"/>
          <w:sz w:val="20"/>
          <w:szCs w:val="20"/>
          <w:rtl/>
        </w:rPr>
        <w:t>]</w:t>
      </w:r>
      <w:r w:rsidRPr="00C0223A">
        <w:rPr>
          <w:rFonts w:hint="cs"/>
          <w:rtl/>
        </w:rPr>
        <w:t xml:space="preserve"> אלו, שהם סוד מצפ"ץ מצפ"ץ בחילוף </w:t>
      </w:r>
      <w:r w:rsidRPr="00C0223A">
        <w:rPr>
          <w:rFonts w:hint="cs"/>
          <w:sz w:val="20"/>
          <w:szCs w:val="20"/>
          <w:rtl/>
        </w:rPr>
        <w:t>[</w:t>
      </w:r>
      <w:r>
        <w:rPr>
          <w:rFonts w:hint="cs"/>
          <w:sz w:val="20"/>
          <w:szCs w:val="20"/>
          <w:rtl/>
        </w:rPr>
        <w:t xml:space="preserve"> </w:t>
      </w:r>
      <w:r w:rsidRPr="0060108B">
        <w:rPr>
          <w:rFonts w:hint="cs"/>
          <w:i/>
          <w:iCs/>
          <w:sz w:val="20"/>
          <w:szCs w:val="20"/>
          <w:rtl/>
        </w:rPr>
        <w:t>י-ה-ו-ה בחילוף אותיות א"ת ב"ש = מצפ"ץ</w:t>
      </w:r>
      <w:r w:rsidRPr="00C0223A">
        <w:rPr>
          <w:rFonts w:hint="cs"/>
          <w:sz w:val="20"/>
          <w:szCs w:val="20"/>
          <w:rtl/>
        </w:rPr>
        <w:t>]</w:t>
      </w:r>
      <w:r w:rsidRPr="00C0223A">
        <w:rPr>
          <w:rFonts w:hint="cs"/>
          <w:rtl/>
        </w:rPr>
        <w:t xml:space="preserve"> ואחר כך אנו מזכירין הי"ג מדות.</w:t>
      </w:r>
      <w:r>
        <w:rPr>
          <w:rFonts w:hint="cs"/>
          <w:rtl/>
        </w:rPr>
        <w:t xml:space="preserve">'' </w:t>
      </w:r>
      <w:r w:rsidRPr="00C0223A">
        <w:rPr>
          <w:rFonts w:hint="cs"/>
          <w:rtl/>
        </w:rPr>
        <w:t>על כל פנים, מוכח מספר עץ חיים ש</w:t>
      </w:r>
      <w:r>
        <w:rPr>
          <w:rFonts w:hint="cs"/>
          <w:rtl/>
        </w:rPr>
        <w:t>שני שמות הוי' הן הן היסוד והמקו</w:t>
      </w:r>
      <w:r w:rsidRPr="00C0223A">
        <w:rPr>
          <w:rFonts w:hint="cs"/>
          <w:rtl/>
        </w:rPr>
        <w:t>ר שממנו נמשכו הי"ג מדות הרחמים ואינן מנויין בי"ג מדות עצמן.</w:t>
      </w:r>
    </w:p>
    <w:p w14:paraId="61B9B127" w14:textId="77777777" w:rsidR="004E3A96" w:rsidRPr="00C0223A" w:rsidRDefault="004E3A96" w:rsidP="00E60D97">
      <w:pPr>
        <w:pStyle w:val="a3"/>
        <w:rPr>
          <w:rtl/>
        </w:rPr>
      </w:pPr>
      <w:r w:rsidRPr="00C0223A">
        <w:rPr>
          <w:rFonts w:hint="cs"/>
          <w:rtl/>
        </w:rPr>
        <w:t>עוד ראי' לשיטה זו, מביא כ"ק אדמו"ר באגרת הנ"</w:t>
      </w:r>
      <w:r w:rsidRPr="00347560">
        <w:rPr>
          <w:rFonts w:hint="cs"/>
          <w:rtl/>
        </w:rPr>
        <w:t>ל</w:t>
      </w:r>
      <w:r w:rsidRPr="00BE4AAB">
        <w:rPr>
          <w:rFonts w:hint="cs"/>
          <w:rtl/>
        </w:rPr>
        <w:t>,</w:t>
      </w:r>
      <w:r w:rsidRPr="00C0223A">
        <w:rPr>
          <w:rFonts w:hint="cs"/>
          <w:rtl/>
        </w:rPr>
        <w:t xml:space="preserve"> כי </w:t>
      </w:r>
      <w:r w:rsidRPr="00C0223A">
        <w:rPr>
          <w:rFonts w:hint="cs"/>
          <w:bCs/>
          <w:rtl/>
        </w:rPr>
        <w:t xml:space="preserve">לפי "הגירסא </w:t>
      </w:r>
      <w:r w:rsidRPr="00C0223A">
        <w:rPr>
          <w:rFonts w:ascii="Times New Roman" w:eastAsia="Times New Roman" w:hAnsi="Times New Roman" w:hint="cs"/>
          <w:bCs/>
          <w:rtl/>
          <w:lang w:val="en-AU" w:eastAsia="zh-CN"/>
        </w:rPr>
        <w:t>בש"ס שנתפשטה ונתקבלה אצלנו בש"ס"</w:t>
      </w:r>
      <w:r w:rsidRPr="00C0223A">
        <w:rPr>
          <w:rFonts w:hint="cs"/>
          <w:bCs/>
          <w:rtl/>
        </w:rPr>
        <w:t xml:space="preserve"> </w:t>
      </w:r>
      <w:r w:rsidRPr="00C0223A">
        <w:rPr>
          <w:rFonts w:hint="cs"/>
          <w:rtl/>
        </w:rPr>
        <w:t>בגמרא ראש השנה שם</w:t>
      </w:r>
      <w:r w:rsidRPr="00C0223A">
        <w:rPr>
          <w:rStyle w:val="FootnoteReference"/>
          <w:rFonts w:cs="David"/>
          <w:rtl/>
        </w:rPr>
        <w:footnoteReference w:id="62"/>
      </w:r>
      <w:r>
        <w:rPr>
          <w:rFonts w:hint="cs"/>
          <w:rtl/>
        </w:rPr>
        <w:t xml:space="preserve"> </w:t>
      </w:r>
      <w:r w:rsidRPr="00C0223A">
        <w:rPr>
          <w:rFonts w:hint="cs"/>
          <w:rtl/>
        </w:rPr>
        <w:t xml:space="preserve"> כתוב, כהקדמה לדרשת רב יהוד</w:t>
      </w:r>
      <w:r>
        <w:rPr>
          <w:rFonts w:hint="cs"/>
          <w:rtl/>
        </w:rPr>
        <w:t>ה על הי"ג מדות הרחמים, התיבות "</w:t>
      </w:r>
      <w:r w:rsidRPr="00C0223A">
        <w:rPr>
          <w:rFonts w:hint="cs"/>
          <w:rtl/>
        </w:rPr>
        <w:t>א-ל רחום וחנון" – "</w:t>
      </w:r>
      <w:r w:rsidRPr="00C0223A">
        <w:rPr>
          <w:rFonts w:hint="cs"/>
          <w:bCs/>
          <w:rtl/>
        </w:rPr>
        <w:t xml:space="preserve">הרי זה ראי' </w:t>
      </w:r>
      <w:r w:rsidRPr="00C0223A">
        <w:rPr>
          <w:rFonts w:ascii="Times New Roman" w:eastAsia="Times New Roman" w:hAnsi="Times New Roman" w:hint="cs"/>
          <w:bCs/>
          <w:rtl/>
          <w:lang w:val="en-AU" w:eastAsia="zh-CN"/>
        </w:rPr>
        <w:t>מכרעת</w:t>
      </w:r>
      <w:r w:rsidRPr="00C0223A">
        <w:rPr>
          <w:rFonts w:ascii="Times New Roman" w:eastAsia="Times New Roman" w:hAnsi="Times New Roman" w:cs="Times New Roman" w:hint="cs"/>
          <w:bCs/>
          <w:rtl/>
          <w:lang w:val="en-AU" w:eastAsia="zh-CN" w:bidi="ar-SA"/>
        </w:rPr>
        <w:t xml:space="preserve"> </w:t>
      </w:r>
      <w:r w:rsidRPr="00C0223A">
        <w:rPr>
          <w:rFonts w:ascii="Times New Roman" w:eastAsia="Times New Roman" w:hAnsi="Times New Roman" w:hint="cs"/>
          <w:bCs/>
          <w:rtl/>
          <w:lang w:val="en-AU" w:eastAsia="zh-CN"/>
        </w:rPr>
        <w:t xml:space="preserve">דהתחלת המנין </w:t>
      </w:r>
      <w:r w:rsidRPr="00C0223A">
        <w:rPr>
          <w:rFonts w:ascii="Times New Roman" w:eastAsia="Times New Roman" w:hAnsi="Times New Roman" w:hint="cs"/>
          <w:rtl/>
          <w:lang w:val="en-AU" w:eastAsia="zh-CN"/>
        </w:rPr>
        <w:t>[של</w:t>
      </w:r>
      <w:r w:rsidRPr="00C0223A">
        <w:rPr>
          <w:rFonts w:hint="cs"/>
          <w:rtl/>
        </w:rPr>
        <w:t xml:space="preserve"> הי"ג מדות הרחמים]</w:t>
      </w:r>
      <w:r w:rsidRPr="00C0223A">
        <w:rPr>
          <w:rFonts w:ascii="Times New Roman" w:eastAsia="Times New Roman" w:hAnsi="Times New Roman" w:hint="cs"/>
          <w:bCs/>
          <w:rtl/>
          <w:lang w:val="en-AU" w:eastAsia="zh-CN"/>
        </w:rPr>
        <w:t xml:space="preserve"> היא א-ל".</w:t>
      </w:r>
      <w:r w:rsidRPr="00C0223A">
        <w:rPr>
          <w:rFonts w:hint="cs"/>
          <w:bCs/>
          <w:rtl/>
        </w:rPr>
        <w:t xml:space="preserve"> </w:t>
      </w:r>
    </w:p>
    <w:p w14:paraId="2BCE1C88" w14:textId="77777777" w:rsidR="004E3A96" w:rsidRPr="00C0223A" w:rsidRDefault="004E3A96" w:rsidP="00E60D97">
      <w:pPr>
        <w:pStyle w:val="a3"/>
        <w:rPr>
          <w:rtl/>
        </w:rPr>
      </w:pPr>
      <w:r w:rsidRPr="00C0223A">
        <w:rPr>
          <w:rFonts w:hint="cs"/>
          <w:rtl/>
        </w:rPr>
        <w:t xml:space="preserve"> לפ"ז אפשר לומר שהמקובלים מפרשים </w:t>
      </w:r>
      <w:r w:rsidRPr="00BE4AAB">
        <w:rPr>
          <w:rFonts w:hint="cs"/>
          <w:rtl/>
        </w:rPr>
        <w:t>את</w:t>
      </w:r>
      <w:r>
        <w:rPr>
          <w:rFonts w:hint="cs"/>
          <w:rtl/>
        </w:rPr>
        <w:t xml:space="preserve"> </w:t>
      </w:r>
      <w:r w:rsidRPr="00C0223A">
        <w:rPr>
          <w:rFonts w:hint="cs"/>
          <w:rtl/>
        </w:rPr>
        <w:t>הפסוק ויעבור ה' על פניו ויקרא</w:t>
      </w:r>
      <w:r w:rsidRPr="00C0223A">
        <w:rPr>
          <w:rStyle w:val="FootnoteReference"/>
          <w:rFonts w:cs="David"/>
          <w:rtl/>
        </w:rPr>
        <w:footnoteReference w:id="63"/>
      </w:r>
      <w:r w:rsidRPr="00C0223A">
        <w:rPr>
          <w:rFonts w:hint="cs"/>
          <w:rtl/>
        </w:rPr>
        <w:t xml:space="preserve"> כהתרגום יונתן שם</w:t>
      </w:r>
      <w:r w:rsidRPr="00C0223A">
        <w:rPr>
          <w:rStyle w:val="FootnoteReference"/>
          <w:rFonts w:cs="David"/>
          <w:rtl/>
        </w:rPr>
        <w:footnoteReference w:id="64"/>
      </w:r>
      <w:r w:rsidRPr="00C0223A">
        <w:rPr>
          <w:rFonts w:hint="cs"/>
          <w:rtl/>
        </w:rPr>
        <w:t xml:space="preserve"> שמשה רבנו הי' הקורא – ויקרא </w:t>
      </w:r>
      <w:r w:rsidRPr="00BE4AAB">
        <w:rPr>
          <w:rFonts w:hint="cs"/>
          <w:rtl/>
        </w:rPr>
        <w:t>משה, ול</w:t>
      </w:r>
      <w:r w:rsidRPr="00C0223A">
        <w:rPr>
          <w:rFonts w:hint="cs"/>
          <w:rtl/>
        </w:rPr>
        <w:t>פ"ז פירוש הפסוק הוא</w:t>
      </w:r>
      <w:r>
        <w:rPr>
          <w:rFonts w:hint="cs"/>
          <w:rtl/>
        </w:rPr>
        <w:t xml:space="preserve"> </w:t>
      </w:r>
      <w:r w:rsidRPr="00BE4AAB">
        <w:rPr>
          <w:rFonts w:hint="cs"/>
          <w:rtl/>
        </w:rPr>
        <w:t>כך</w:t>
      </w:r>
      <w:r w:rsidRPr="00C0223A">
        <w:rPr>
          <w:rFonts w:hint="cs"/>
          <w:rtl/>
        </w:rPr>
        <w:t>:  שמשה קרא</w:t>
      </w:r>
      <w:r>
        <w:rPr>
          <w:rFonts w:hint="cs"/>
          <w:rtl/>
        </w:rPr>
        <w:t>:</w:t>
      </w:r>
      <w:r w:rsidRPr="00C0223A">
        <w:rPr>
          <w:rFonts w:hint="cs"/>
          <w:rtl/>
        </w:rPr>
        <w:t xml:space="preserve"> </w:t>
      </w:r>
      <w:r w:rsidRPr="00C0223A">
        <w:rPr>
          <w:rFonts w:hint="cs"/>
          <w:sz w:val="20"/>
          <w:szCs w:val="20"/>
          <w:rtl/>
        </w:rPr>
        <w:t>[</w:t>
      </w:r>
      <w:r>
        <w:rPr>
          <w:rFonts w:hint="cs"/>
          <w:sz w:val="20"/>
          <w:szCs w:val="20"/>
          <w:rtl/>
        </w:rPr>
        <w:t xml:space="preserve"> </w:t>
      </w:r>
      <w:r w:rsidRPr="0060108B">
        <w:rPr>
          <w:rFonts w:hint="cs"/>
          <w:i/>
          <w:iCs/>
          <w:sz w:val="20"/>
          <w:szCs w:val="20"/>
          <w:rtl/>
        </w:rPr>
        <w:t>אתה</w:t>
      </w:r>
      <w:r w:rsidRPr="00C0223A">
        <w:rPr>
          <w:rFonts w:hint="cs"/>
          <w:sz w:val="20"/>
          <w:szCs w:val="20"/>
          <w:rtl/>
        </w:rPr>
        <w:t>]</w:t>
      </w:r>
      <w:r w:rsidRPr="00C0223A">
        <w:rPr>
          <w:rFonts w:hint="cs"/>
          <w:rtl/>
        </w:rPr>
        <w:t xml:space="preserve"> ה' ה',  </w:t>
      </w:r>
      <w:r w:rsidRPr="00BE4AAB">
        <w:rPr>
          <w:rFonts w:hint="cs"/>
          <w:sz w:val="20"/>
          <w:szCs w:val="20"/>
          <w:rtl/>
        </w:rPr>
        <w:t>[</w:t>
      </w:r>
      <w:r>
        <w:rPr>
          <w:rFonts w:hint="cs"/>
          <w:sz w:val="20"/>
          <w:szCs w:val="20"/>
          <w:rtl/>
        </w:rPr>
        <w:t xml:space="preserve"> </w:t>
      </w:r>
      <w:r w:rsidRPr="0060108B">
        <w:rPr>
          <w:rFonts w:hint="cs"/>
          <w:i/>
          <w:iCs/>
          <w:sz w:val="20"/>
          <w:szCs w:val="20"/>
          <w:rtl/>
        </w:rPr>
        <w:t>אני מבקש שתהי'</w:t>
      </w:r>
      <w:r w:rsidRPr="00BE4AAB">
        <w:rPr>
          <w:rFonts w:hint="cs"/>
          <w:sz w:val="20"/>
          <w:szCs w:val="20"/>
          <w:rtl/>
        </w:rPr>
        <w:t>]</w:t>
      </w:r>
      <w:r>
        <w:rPr>
          <w:rFonts w:hint="cs"/>
          <w:rtl/>
        </w:rPr>
        <w:t xml:space="preserve"> א-ל רחום גו'. </w:t>
      </w:r>
      <w:r w:rsidRPr="00C0223A">
        <w:rPr>
          <w:rFonts w:hint="cs"/>
          <w:rtl/>
        </w:rPr>
        <w:t xml:space="preserve">ועפ"ז יומתק המנהג בבית הכנסת שהקהל מתחילין ה' ה' א-ל רחום וחנון וגו' אע"פ שבכתבי האריז"ל הי"ג </w:t>
      </w:r>
      <w:r w:rsidRPr="00C0223A">
        <w:rPr>
          <w:rFonts w:hint="cs"/>
          <w:rtl/>
        </w:rPr>
        <w:lastRenderedPageBreak/>
        <w:t>מדה"ר מתחילין משם א-ל, כי הפירוש הוא שאנחנו המתפללים קוראים ל:" הוי' הוי'", ואנו מבקשים ממנו שתהי' לנו: "א-ל רחום וגו'".</w:t>
      </w:r>
    </w:p>
    <w:p w14:paraId="7D2D9D52" w14:textId="77777777" w:rsidR="004E3A96" w:rsidRDefault="004E3A96" w:rsidP="00E60D97">
      <w:pPr>
        <w:pStyle w:val="a3"/>
        <w:rPr>
          <w:rtl/>
        </w:rPr>
      </w:pPr>
      <w:r>
        <w:rPr>
          <w:rFonts w:hint="cs"/>
          <w:rtl/>
        </w:rPr>
        <w:t xml:space="preserve">ד. </w:t>
      </w:r>
      <w:r w:rsidRPr="00C0223A">
        <w:rPr>
          <w:rFonts w:hint="cs"/>
          <w:rtl/>
        </w:rPr>
        <w:t>שיטת ספר חסידים [</w:t>
      </w:r>
      <w:r w:rsidRPr="00C0223A">
        <w:rPr>
          <w:rFonts w:hint="cs"/>
          <w:sz w:val="20"/>
          <w:szCs w:val="20"/>
          <w:rtl/>
        </w:rPr>
        <w:t>סי' רנ]</w:t>
      </w:r>
      <w:r w:rsidRPr="00C0223A">
        <w:rPr>
          <w:rFonts w:hint="cs"/>
          <w:rtl/>
        </w:rPr>
        <w:t xml:space="preserve"> והמהר"ל מפראג [</w:t>
      </w:r>
      <w:r w:rsidRPr="00C0223A">
        <w:rPr>
          <w:rFonts w:hint="cs"/>
          <w:sz w:val="20"/>
          <w:szCs w:val="20"/>
          <w:rtl/>
        </w:rPr>
        <w:t>בס' נתיבות עולם נתיב התשובה פ"ו]</w:t>
      </w:r>
      <w:r w:rsidRPr="00C0223A">
        <w:rPr>
          <w:rFonts w:hint="cs"/>
          <w:rtl/>
        </w:rPr>
        <w:t xml:space="preserve"> היא שמתחילים למנות הי"ג מדות הר</w:t>
      </w:r>
      <w:r>
        <w:rPr>
          <w:rFonts w:hint="cs"/>
          <w:rtl/>
        </w:rPr>
        <w:t xml:space="preserve">חמים מתיבת רחום. </w:t>
      </w:r>
      <w:r w:rsidRPr="00C0223A">
        <w:rPr>
          <w:rFonts w:hint="cs"/>
          <w:rtl/>
        </w:rPr>
        <w:t xml:space="preserve">נראה בפשטות שהטעם שלהם הוא שה' ה' א-ל, הם </w:t>
      </w:r>
      <w:r w:rsidRPr="00C0223A">
        <w:rPr>
          <w:rFonts w:hint="cs"/>
          <w:bCs/>
          <w:rtl/>
        </w:rPr>
        <w:t>שמות ה'</w:t>
      </w:r>
      <w:r w:rsidRPr="00C0223A">
        <w:rPr>
          <w:rFonts w:hint="cs"/>
          <w:rtl/>
        </w:rPr>
        <w:t xml:space="preserve"> שמהם מתפשט</w:t>
      </w:r>
      <w:r>
        <w:rPr>
          <w:rFonts w:hint="cs"/>
          <w:rtl/>
        </w:rPr>
        <w:t>ו</w:t>
      </w:r>
      <w:r w:rsidRPr="00C0223A">
        <w:rPr>
          <w:rFonts w:hint="cs"/>
          <w:rtl/>
        </w:rPr>
        <w:t xml:space="preserve">ת </w:t>
      </w:r>
      <w:r>
        <w:rPr>
          <w:rFonts w:hint="cs"/>
          <w:rtl/>
        </w:rPr>
        <w:t>ה</w:t>
      </w:r>
      <w:r w:rsidRPr="00C0223A">
        <w:rPr>
          <w:rFonts w:hint="cs"/>
          <w:rtl/>
        </w:rPr>
        <w:t xml:space="preserve">י"ג מדות של רחמים וזה לשון המהר"ל שם: "כי שלש שמות הראשונים שהם ה' ה' א-ל אשר אלו שמות הם שמות הרחמים והחסד, מצד אלו ג' שמות מתפשט הרחמים והחסד."  </w:t>
      </w:r>
    </w:p>
    <w:p w14:paraId="33EE8C23" w14:textId="30407A07" w:rsidR="0072178A" w:rsidRPr="004E3A96" w:rsidRDefault="0072178A" w:rsidP="00492226">
      <w:pPr>
        <w:pStyle w:val="M"/>
        <w:rPr>
          <w:rStyle w:val="Char0"/>
          <w:rFonts w:ascii="David" w:eastAsia="Calibri" w:hAnsi="FbFrankReal" w:cs="FbFrankReal"/>
          <w:bCs w:val="0"/>
          <w:sz w:val="24"/>
          <w:szCs w:val="24"/>
          <w:rtl/>
          <w:lang w:val="bg-BG"/>
        </w:rPr>
        <w:sectPr w:rsidR="0072178A" w:rsidRPr="004E3A96" w:rsidSect="00541E5D">
          <w:footnotePr>
            <w:numRestart w:val="eachSect"/>
          </w:footnotePr>
          <w:type w:val="continuous"/>
          <w:pgSz w:w="7920" w:h="12240"/>
          <w:pgMar w:top="-810" w:right="864" w:bottom="720" w:left="864" w:header="270" w:footer="0" w:gutter="0"/>
          <w:cols w:space="720"/>
          <w:docGrid w:linePitch="360"/>
        </w:sectPr>
      </w:pPr>
    </w:p>
    <w:p w14:paraId="1B914231" w14:textId="216094CC" w:rsidR="004E3A96" w:rsidRPr="0072178A" w:rsidRDefault="006D006C" w:rsidP="0072178A">
      <w:pPr>
        <w:pStyle w:val="12"/>
        <w:rPr>
          <w:rtl/>
        </w:rPr>
      </w:pPr>
      <w:bookmarkStart w:id="130" w:name="_Toc81540412"/>
      <w:r w:rsidRPr="006D006C">
        <w:rPr>
          <w:rFonts w:hint="cs"/>
          <w:rtl/>
        </w:rPr>
        <w:t>הלכה ומנהג</w:t>
      </w:r>
      <w:bookmarkEnd w:id="114"/>
      <w:bookmarkEnd w:id="130"/>
    </w:p>
    <w:p w14:paraId="2EA50DF8" w14:textId="77777777" w:rsidR="004E3A96" w:rsidRPr="00120DFF" w:rsidRDefault="004E3A96" w:rsidP="004E3A96">
      <w:pPr>
        <w:pStyle w:val="a0"/>
        <w:bidi w:val="0"/>
        <w:rPr>
          <w:rtl/>
        </w:rPr>
      </w:pPr>
      <w:bookmarkStart w:id="131" w:name="_Toc81540413"/>
      <w:r w:rsidRPr="00821490">
        <w:rPr>
          <w:rtl/>
        </w:rPr>
        <w:t>נפילת אפים בלא ספר</w:t>
      </w:r>
      <w:r>
        <w:rPr>
          <w:rFonts w:hint="cs"/>
          <w:rtl/>
        </w:rPr>
        <w:t xml:space="preserve"> </w:t>
      </w:r>
      <w:r w:rsidRPr="00821490">
        <w:rPr>
          <w:rtl/>
        </w:rPr>
        <w:t>תו</w:t>
      </w:r>
      <w:r>
        <w:rPr>
          <w:rFonts w:hint="cs"/>
          <w:rtl/>
        </w:rPr>
        <w:t>ר</w:t>
      </w:r>
      <w:r w:rsidRPr="00821490">
        <w:rPr>
          <w:rtl/>
        </w:rPr>
        <w:t>ה</w:t>
      </w:r>
      <w:r>
        <w:rPr>
          <w:rFonts w:hint="cs"/>
          <w:rtl/>
        </w:rPr>
        <w:t xml:space="preserve"> (גליון)</w:t>
      </w:r>
      <w:bookmarkEnd w:id="131"/>
    </w:p>
    <w:p w14:paraId="0D15B777" w14:textId="7F451839" w:rsidR="004E3A96" w:rsidRPr="00725F98" w:rsidRDefault="00E31722" w:rsidP="0046124A">
      <w:pPr>
        <w:pStyle w:val="a"/>
        <w:rPr>
          <w:rtl/>
        </w:rPr>
      </w:pPr>
      <w:bookmarkStart w:id="132" w:name="_Toc81540414"/>
      <w:r>
        <w:rPr>
          <w:rFonts w:hint="cs"/>
          <w:rtl/>
        </w:rPr>
        <w:t xml:space="preserve">הרב </w:t>
      </w:r>
      <w:r w:rsidR="004E3A96" w:rsidRPr="00725F98">
        <w:rPr>
          <w:rtl/>
        </w:rPr>
        <w:t>ברוך אבערלאנדער</w:t>
      </w:r>
      <w:bookmarkEnd w:id="132"/>
    </w:p>
    <w:p w14:paraId="152C17F1" w14:textId="77777777" w:rsidR="004E3A96" w:rsidRPr="00725F98" w:rsidRDefault="004E3A96" w:rsidP="004E3A96">
      <w:pPr>
        <w:pStyle w:val="a1"/>
        <w:spacing w:after="0"/>
        <w:rPr>
          <w:rtl/>
          <w:lang w:val="hu-HU"/>
        </w:rPr>
      </w:pPr>
      <w:r w:rsidRPr="00725F98">
        <w:rPr>
          <w:rtl/>
          <w:lang w:val="hu-HU"/>
        </w:rPr>
        <w:t>אב"ד הבד"צ דקהילות החרדים</w:t>
      </w:r>
    </w:p>
    <w:p w14:paraId="579F2582" w14:textId="77777777" w:rsidR="004E3A96" w:rsidRPr="00725F98" w:rsidRDefault="004E3A96" w:rsidP="004E3A96">
      <w:pPr>
        <w:pStyle w:val="a1"/>
        <w:spacing w:after="0"/>
        <w:rPr>
          <w:rtl/>
          <w:lang w:val="hu-HU"/>
        </w:rPr>
      </w:pPr>
      <w:r w:rsidRPr="00725F98">
        <w:rPr>
          <w:rtl/>
          <w:lang w:val="hu-HU"/>
        </w:rPr>
        <w:t>ושליח כ"ק אדמו"ר זי"ע</w:t>
      </w:r>
    </w:p>
    <w:p w14:paraId="0F6EC578" w14:textId="77777777" w:rsidR="004E3A96" w:rsidRPr="00725F98" w:rsidRDefault="004E3A96" w:rsidP="004E3A96">
      <w:pPr>
        <w:pStyle w:val="a1"/>
        <w:rPr>
          <w:rtl/>
          <w:lang w:val="hu-HU"/>
        </w:rPr>
      </w:pPr>
      <w:r w:rsidRPr="00725F98">
        <w:rPr>
          <w:rtl/>
          <w:lang w:val="hu-HU"/>
        </w:rPr>
        <w:t>בודאפעסט, הונגריה</w:t>
      </w:r>
    </w:p>
    <w:p w14:paraId="279A4CE2" w14:textId="77777777" w:rsidR="004E3A96" w:rsidRPr="00120DFF" w:rsidRDefault="004E3A96" w:rsidP="00E60D97">
      <w:pPr>
        <w:pStyle w:val="11"/>
        <w:rPr>
          <w:rtl/>
        </w:rPr>
      </w:pPr>
      <w:r w:rsidRPr="00821490">
        <w:rPr>
          <w:rtl/>
        </w:rPr>
        <w:t xml:space="preserve">נפילת אפים </w:t>
      </w:r>
      <w:r>
        <w:rPr>
          <w:rFonts w:hint="cs"/>
          <w:rtl/>
        </w:rPr>
        <w:t>בג"ע התחתון כשאין תפילה בביהכ"נ</w:t>
      </w:r>
    </w:p>
    <w:p w14:paraId="65844E18" w14:textId="77777777" w:rsidR="004E3A96" w:rsidRDefault="004E3A96" w:rsidP="00E60D97">
      <w:pPr>
        <w:pStyle w:val="a3"/>
        <w:rPr>
          <w:rtl/>
        </w:rPr>
      </w:pPr>
      <w:r>
        <w:rPr>
          <w:rFonts w:hint="cs"/>
          <w:rtl/>
        </w:rPr>
        <w:t xml:space="preserve">ב'הערות וביאורים' </w:t>
      </w:r>
      <w:r w:rsidRPr="00E5465F">
        <w:rPr>
          <w:rFonts w:hint="cs"/>
          <w:sz w:val="16"/>
          <w:szCs w:val="20"/>
          <w:rtl/>
        </w:rPr>
        <w:t xml:space="preserve">(גליון א'רא עמ' 56-58) </w:t>
      </w:r>
      <w:r>
        <w:rPr>
          <w:rFonts w:hint="cs"/>
          <w:rtl/>
        </w:rPr>
        <w:t xml:space="preserve">אודות נפילת אפים במקום שאין בו ספר תורה, הבאתי מיומנו של הריל"ג ז"ל שנתפרסם בספר 'המזכיר' </w:t>
      </w:r>
      <w:r w:rsidRPr="0077387C">
        <w:rPr>
          <w:rFonts w:hint="cs"/>
          <w:sz w:val="16"/>
          <w:szCs w:val="20"/>
          <w:rtl/>
        </w:rPr>
        <w:t xml:space="preserve">(עמ' 105) </w:t>
      </w:r>
      <w:r>
        <w:rPr>
          <w:rFonts w:hint="cs"/>
          <w:rtl/>
        </w:rPr>
        <w:t xml:space="preserve">שכשהתפלל כ"ק אדמו"ר זי"ע תפילת מנחה בבית הדפוס 'בלשן' "תחנון אמר בעמידה ולא עשה נפילת אפים", לעומת זה הבאתי </w:t>
      </w:r>
      <w:r w:rsidRPr="00E5465F">
        <w:rPr>
          <w:rFonts w:hint="cs"/>
          <w:rtl/>
        </w:rPr>
        <w:t>מה ש</w:t>
      </w:r>
      <w:r>
        <w:rPr>
          <w:rFonts w:hint="cs"/>
          <w:rtl/>
        </w:rPr>
        <w:t xml:space="preserve">כתב הרב יוסף שמחה גינזבורג ב'התקשרות' </w:t>
      </w:r>
      <w:r w:rsidRPr="00082A6E">
        <w:rPr>
          <w:rFonts w:hint="cs"/>
          <w:sz w:val="16"/>
          <w:szCs w:val="20"/>
          <w:rtl/>
        </w:rPr>
        <w:t>(גליון קסד עמ' 16)</w:t>
      </w:r>
      <w:r>
        <w:rPr>
          <w:rFonts w:hint="cs"/>
          <w:rtl/>
        </w:rPr>
        <w:t>: "</w:t>
      </w:r>
      <w:r w:rsidRPr="00082A6E">
        <w:rPr>
          <w:rtl/>
        </w:rPr>
        <w:t>כמו כן אירע כמה פעמים שהתפלל מנחה בג</w:t>
      </w:r>
      <w:r>
        <w:rPr>
          <w:rFonts w:hint="cs"/>
          <w:rtl/>
        </w:rPr>
        <w:t>ן-</w:t>
      </w:r>
      <w:r>
        <w:rPr>
          <w:rtl/>
        </w:rPr>
        <w:t>עדן התחתון</w:t>
      </w:r>
      <w:r>
        <w:rPr>
          <w:rFonts w:hint="cs"/>
          <w:rtl/>
        </w:rPr>
        <w:t xml:space="preserve">... </w:t>
      </w:r>
      <w:r w:rsidRPr="00082A6E">
        <w:rPr>
          <w:rtl/>
        </w:rPr>
        <w:t>ואף שאין שם ספר</w:t>
      </w:r>
      <w:r>
        <w:rPr>
          <w:rFonts w:hint="cs"/>
          <w:rtl/>
        </w:rPr>
        <w:t>-</w:t>
      </w:r>
      <w:r w:rsidRPr="00082A6E">
        <w:rPr>
          <w:rtl/>
        </w:rPr>
        <w:t>תורה</w:t>
      </w:r>
      <w:r>
        <w:rPr>
          <w:rFonts w:hint="cs"/>
          <w:rtl/>
        </w:rPr>
        <w:t>, עשה נפילת אפים.</w:t>
      </w:r>
    </w:p>
    <w:p w14:paraId="1FB4E050" w14:textId="77777777" w:rsidR="004E3A96" w:rsidRDefault="004E3A96" w:rsidP="00E60D97">
      <w:pPr>
        <w:pStyle w:val="a3"/>
        <w:rPr>
          <w:rtl/>
        </w:rPr>
      </w:pPr>
      <w:r>
        <w:rPr>
          <w:rFonts w:hint="cs"/>
          <w:rtl/>
        </w:rPr>
        <w:t>וכתבתי שהרבי לא נהג בזה כדעת המקובלים, אלא סמך על כך ש</w:t>
      </w:r>
      <w:r w:rsidRPr="00F15A62">
        <w:rPr>
          <w:rtl/>
        </w:rPr>
        <w:t>אפילו יחיד המתפלל בביתו כשמתפלל בשעה שהציבור מתפללין בבית הכנסת יכול ליפול עמהם בשעה שהם נופלים</w:t>
      </w:r>
      <w:r>
        <w:rPr>
          <w:rFonts w:hint="cs"/>
          <w:rtl/>
        </w:rPr>
        <w:t>,</w:t>
      </w:r>
      <w:r w:rsidRPr="00F15A62">
        <w:rPr>
          <w:rtl/>
        </w:rPr>
        <w:t xml:space="preserve"> </w:t>
      </w:r>
      <w:r>
        <w:rPr>
          <w:rFonts w:hint="cs"/>
          <w:rtl/>
        </w:rPr>
        <w:t>אבל חש לדעת היש אומרים בסימן נה "</w:t>
      </w:r>
      <w:r w:rsidRPr="00F15A62">
        <w:rPr>
          <w:rtl/>
        </w:rPr>
        <w:t>שמכל מקום צריך שלא יהיה מפסיק טינוף או עבודה זרה שהיא חשובה כצואה לענין זה</w:t>
      </w:r>
      <w:r>
        <w:rPr>
          <w:rFonts w:hint="cs"/>
          <w:rtl/>
        </w:rPr>
        <w:t>"</w:t>
      </w:r>
      <w:r w:rsidRPr="00F15A62">
        <w:rPr>
          <w:rtl/>
        </w:rPr>
        <w:t>.</w:t>
      </w:r>
      <w:r>
        <w:rPr>
          <w:rFonts w:hint="cs"/>
          <w:rtl/>
        </w:rPr>
        <w:t xml:space="preserve"> ומעתה כשהתפלל בגן עדן התחתון ודאי לא היה שום דבר המפסיק עד לביהכ"נ ששם הציבור מתפללים, ועל כן עשה נפילת אפים, ואילו כשהתפלל בדפוס 'בלשן' חייש לדבר המפסיק, ועל כן לא עשה נפילת אפים.</w:t>
      </w:r>
    </w:p>
    <w:p w14:paraId="790E1E9F" w14:textId="77777777" w:rsidR="004E3A96" w:rsidRDefault="004E3A96" w:rsidP="00E60D97">
      <w:pPr>
        <w:pStyle w:val="a3"/>
        <w:rPr>
          <w:rtl/>
        </w:rPr>
      </w:pPr>
      <w:r>
        <w:rPr>
          <w:rFonts w:hint="cs"/>
          <w:rtl/>
        </w:rPr>
        <w:t>אמנם עדיין צריך בירור בזה, שהרי הרב גינזבורג מפרט שם אודות התפילות בגן עדן התחתון: "</w:t>
      </w:r>
      <w:r w:rsidRPr="00D01A1E">
        <w:rPr>
          <w:rtl/>
        </w:rPr>
        <w:t xml:space="preserve">היו </w:t>
      </w:r>
      <w:r>
        <w:rPr>
          <w:rFonts w:hint="cs"/>
          <w:rtl/>
        </w:rPr>
        <w:t>ש</w:t>
      </w:r>
      <w:r w:rsidRPr="00D01A1E">
        <w:rPr>
          <w:rtl/>
        </w:rPr>
        <w:t>ם כמה פעמים מניינים קטנים לרבי</w:t>
      </w:r>
      <w:r>
        <w:rPr>
          <w:rFonts w:hint="cs"/>
          <w:rtl/>
        </w:rPr>
        <w:t>,</w:t>
      </w:r>
      <w:r w:rsidRPr="00D01A1E">
        <w:rPr>
          <w:rtl/>
        </w:rPr>
        <w:t xml:space="preserve"> </w:t>
      </w:r>
      <w:r>
        <w:rPr>
          <w:rFonts w:hint="cs"/>
          <w:rtl/>
        </w:rPr>
        <w:t>כג</w:t>
      </w:r>
      <w:r w:rsidRPr="00D01A1E">
        <w:rPr>
          <w:rtl/>
        </w:rPr>
        <w:t>ון בשנות הלמ</w:t>
      </w:r>
      <w:r>
        <w:rPr>
          <w:rFonts w:hint="cs"/>
          <w:rtl/>
        </w:rPr>
        <w:t>"</w:t>
      </w:r>
      <w:r w:rsidRPr="00D01A1E">
        <w:rPr>
          <w:rtl/>
        </w:rPr>
        <w:t>ד</w:t>
      </w:r>
      <w:r>
        <w:rPr>
          <w:rFonts w:hint="cs"/>
          <w:rtl/>
        </w:rPr>
        <w:t>,</w:t>
      </w:r>
      <w:r w:rsidRPr="00D01A1E">
        <w:rPr>
          <w:rtl/>
        </w:rPr>
        <w:t xml:space="preserve"> </w:t>
      </w:r>
      <w:r w:rsidRPr="00673082">
        <w:rPr>
          <w:bCs/>
          <w:rtl/>
        </w:rPr>
        <w:t>כשביצעו תיקונים בבית</w:t>
      </w:r>
      <w:r w:rsidRPr="00673082">
        <w:rPr>
          <w:rFonts w:hint="cs"/>
          <w:bCs/>
          <w:rtl/>
        </w:rPr>
        <w:t>-</w:t>
      </w:r>
      <w:r w:rsidRPr="00673082">
        <w:rPr>
          <w:bCs/>
          <w:rtl/>
        </w:rPr>
        <w:t>הכנסת</w:t>
      </w:r>
      <w:r>
        <w:rPr>
          <w:rFonts w:hint="cs"/>
          <w:rtl/>
        </w:rPr>
        <w:t>,</w:t>
      </w:r>
      <w:r w:rsidRPr="00D01A1E">
        <w:rPr>
          <w:rtl/>
        </w:rPr>
        <w:t xml:space="preserve"> או כשמסיבה כלשהי </w:t>
      </w:r>
      <w:r>
        <w:rPr>
          <w:rFonts w:hint="cs"/>
          <w:rtl/>
        </w:rPr>
        <w:t>ל</w:t>
      </w:r>
      <w:r w:rsidRPr="00D01A1E">
        <w:rPr>
          <w:rtl/>
        </w:rPr>
        <w:t xml:space="preserve">א יצא למנחה בשעה הקבועה והתפלל </w:t>
      </w:r>
      <w:r w:rsidRPr="00D01A1E">
        <w:rPr>
          <w:rtl/>
        </w:rPr>
        <w:lastRenderedPageBreak/>
        <w:t>אחר</w:t>
      </w:r>
      <w:r>
        <w:rPr>
          <w:rFonts w:hint="cs"/>
          <w:rtl/>
        </w:rPr>
        <w:t>-</w:t>
      </w:r>
      <w:r w:rsidRPr="00D01A1E">
        <w:rPr>
          <w:rtl/>
        </w:rPr>
        <w:t>כך שם כד</w:t>
      </w:r>
      <w:r>
        <w:rPr>
          <w:rFonts w:hint="cs"/>
          <w:rtl/>
        </w:rPr>
        <w:t>י</w:t>
      </w:r>
      <w:r w:rsidRPr="00D01A1E">
        <w:rPr>
          <w:rtl/>
        </w:rPr>
        <w:t xml:space="preserve"> </w:t>
      </w:r>
      <w:r>
        <w:rPr>
          <w:rFonts w:hint="cs"/>
          <w:rtl/>
        </w:rPr>
        <w:t>ל</w:t>
      </w:r>
      <w:r w:rsidRPr="00D01A1E">
        <w:rPr>
          <w:rtl/>
        </w:rPr>
        <w:t>א להפ</w:t>
      </w:r>
      <w:r>
        <w:rPr>
          <w:rFonts w:hint="cs"/>
          <w:rtl/>
        </w:rPr>
        <w:t>רי</w:t>
      </w:r>
      <w:r w:rsidRPr="00D01A1E">
        <w:rPr>
          <w:rtl/>
        </w:rPr>
        <w:t>ע לסד</w:t>
      </w:r>
      <w:r>
        <w:rPr>
          <w:rFonts w:hint="cs"/>
          <w:rtl/>
        </w:rPr>
        <w:t>רי</w:t>
      </w:r>
      <w:r w:rsidRPr="00D01A1E">
        <w:rPr>
          <w:rtl/>
        </w:rPr>
        <w:t xml:space="preserve"> הישיבה</w:t>
      </w:r>
      <w:r>
        <w:rPr>
          <w:rFonts w:hint="cs"/>
          <w:rtl/>
        </w:rPr>
        <w:t>", והנה באם ביצעו תיקונים בביהכ"נ ולא התקיימו כלל תפילות בביהכ"נ, אז שוב נופל האפשרות דכשמ</w:t>
      </w:r>
      <w:r w:rsidRPr="00F15A62">
        <w:rPr>
          <w:rtl/>
        </w:rPr>
        <w:t>תפלל בשעה שהציבור מתפללין בבית הכנסת</w:t>
      </w:r>
      <w:r w:rsidRPr="00673082">
        <w:rPr>
          <w:rtl/>
        </w:rPr>
        <w:t xml:space="preserve"> </w:t>
      </w:r>
      <w:r w:rsidRPr="00F15A62">
        <w:rPr>
          <w:rtl/>
        </w:rPr>
        <w:t>יכול ליפול עמהם בשעה שהם נופלים</w:t>
      </w:r>
      <w:r>
        <w:rPr>
          <w:rFonts w:hint="cs"/>
          <w:rtl/>
        </w:rPr>
        <w:t>, וא"כ שוב נשאלת השאלה, למה כשהתפלל הרבי בדפוס 'בלשן' לא עשה נפילת אפים ואילו כשהתפלל בגם עדן התחתון כן עשה נפילת אפים?</w:t>
      </w:r>
    </w:p>
    <w:p w14:paraId="48C12ED2" w14:textId="1FD60DD1" w:rsidR="004E3A96" w:rsidRPr="004E3A96" w:rsidRDefault="004E3A96" w:rsidP="00E60D97">
      <w:pPr>
        <w:pStyle w:val="a3"/>
        <w:rPr>
          <w:rtl/>
        </w:rPr>
      </w:pPr>
      <w:r>
        <w:rPr>
          <w:rFonts w:hint="cs"/>
          <w:rtl/>
        </w:rPr>
        <w:t xml:space="preserve">והיה אפשר לומר שגן עדן התחתון נחשב כחלק מבית הכנסת, וכאילו שם יש ספר תורה. אבל זה לכאורה אינו מתאים למבואר בשו"ע אדה"ז </w:t>
      </w:r>
      <w:r w:rsidRPr="00B24CE8">
        <w:rPr>
          <w:rFonts w:hint="cs"/>
          <w:sz w:val="16"/>
          <w:szCs w:val="20"/>
          <w:rtl/>
        </w:rPr>
        <w:t>(</w:t>
      </w:r>
      <w:r w:rsidRPr="00B24CE8">
        <w:rPr>
          <w:sz w:val="16"/>
          <w:szCs w:val="20"/>
          <w:rtl/>
        </w:rPr>
        <w:t>סי</w:t>
      </w:r>
      <w:r w:rsidRPr="00B24CE8">
        <w:rPr>
          <w:rFonts w:hint="cs"/>
          <w:sz w:val="16"/>
          <w:szCs w:val="20"/>
          <w:rtl/>
        </w:rPr>
        <w:t>'</w:t>
      </w:r>
      <w:r w:rsidRPr="00B24CE8">
        <w:rPr>
          <w:sz w:val="16"/>
          <w:szCs w:val="20"/>
          <w:rtl/>
        </w:rPr>
        <w:t xml:space="preserve"> קלא </w:t>
      </w:r>
      <w:r w:rsidRPr="00B24CE8">
        <w:rPr>
          <w:rFonts w:hint="cs"/>
          <w:sz w:val="16"/>
          <w:szCs w:val="20"/>
          <w:rtl/>
        </w:rPr>
        <w:t>ס"ג)</w:t>
      </w:r>
      <w:r>
        <w:rPr>
          <w:rFonts w:hint="cs"/>
          <w:rtl/>
        </w:rPr>
        <w:t>: "</w:t>
      </w:r>
      <w:r w:rsidRPr="00B24CE8">
        <w:rPr>
          <w:rtl/>
        </w:rPr>
        <w:t>וחצר בית הכנסת הפתוחה לבית הכנסת המתפללים בה</w:t>
      </w:r>
      <w:r>
        <w:rPr>
          <w:rFonts w:hint="cs"/>
          <w:rtl/>
        </w:rPr>
        <w:t>,</w:t>
      </w:r>
      <w:r w:rsidRPr="00B24CE8">
        <w:rPr>
          <w:rtl/>
        </w:rPr>
        <w:t xml:space="preserve"> כשבית הכנסת פתוח נוהגים לומר תחנה בנפילת אפים כמו בבית הכנסת עצמו</w:t>
      </w:r>
      <w:r>
        <w:rPr>
          <w:rFonts w:hint="cs"/>
          <w:rtl/>
        </w:rPr>
        <w:t>,</w:t>
      </w:r>
      <w:r w:rsidRPr="00B24CE8">
        <w:rPr>
          <w:rtl/>
        </w:rPr>
        <w:t xml:space="preserve"> אבל לא כשבית הכנסת נעול</w:t>
      </w:r>
      <w:r>
        <w:rPr>
          <w:rFonts w:hint="cs"/>
          <w:rtl/>
        </w:rPr>
        <w:t>.</w:t>
      </w:r>
      <w:r w:rsidRPr="00B24CE8">
        <w:rPr>
          <w:rtl/>
        </w:rPr>
        <w:t xml:space="preserve"> ובית הכנסת של נשים היא כבית אחד לענין זה עם בית הכנסת שהספר תורה בתוכה אפילו אינו פתוח לו</w:t>
      </w:r>
      <w:r>
        <w:rPr>
          <w:rFonts w:hint="cs"/>
          <w:rtl/>
        </w:rPr>
        <w:t>,</w:t>
      </w:r>
      <w:r w:rsidRPr="00B24CE8">
        <w:rPr>
          <w:rtl/>
        </w:rPr>
        <w:t xml:space="preserve"> ונוהגים לומר בו בנפילת אפים</w:t>
      </w:r>
      <w:r>
        <w:rPr>
          <w:rFonts w:hint="cs"/>
          <w:rtl/>
        </w:rPr>
        <w:t>.</w:t>
      </w:r>
      <w:r w:rsidRPr="00B24CE8">
        <w:rPr>
          <w:rtl/>
        </w:rPr>
        <w:t xml:space="preserve"> אבל עזרה שלפני בית הכנסת דינה כחצר בית הכנסת</w:t>
      </w:r>
      <w:r>
        <w:rPr>
          <w:rFonts w:hint="cs"/>
          <w:rtl/>
        </w:rPr>
        <w:t xml:space="preserve">", הרי </w:t>
      </w:r>
      <w:r w:rsidRPr="00B24CE8">
        <w:rPr>
          <w:rFonts w:hint="cs"/>
          <w:sz w:val="16"/>
          <w:szCs w:val="20"/>
          <w:rtl/>
        </w:rPr>
        <w:t xml:space="preserve">(א) </w:t>
      </w:r>
      <w:r>
        <w:rPr>
          <w:rFonts w:hint="cs"/>
          <w:rtl/>
        </w:rPr>
        <w:t xml:space="preserve">שהחצר נחשב כחלק מביהכ"נ רק באם פתוחה לביהכ"נ פתוח, </w:t>
      </w:r>
      <w:r w:rsidRPr="00B24CE8">
        <w:rPr>
          <w:rFonts w:hint="cs"/>
          <w:sz w:val="16"/>
          <w:szCs w:val="20"/>
          <w:rtl/>
        </w:rPr>
        <w:t xml:space="preserve">(ב) </w:t>
      </w:r>
      <w:r>
        <w:rPr>
          <w:rFonts w:hint="cs"/>
          <w:rtl/>
        </w:rPr>
        <w:t>ואפילו ביהכ"נ של נשים שלא צריך להיות פתוח לו, הרי זה רק באם מתפללים בביהכ"נ, שזה התנאי הראשון לכל הענין. וצ"ע.</w:t>
      </w:r>
    </w:p>
    <w:p w14:paraId="362E0428" w14:textId="77777777" w:rsidR="004E3A96" w:rsidRPr="00E56848" w:rsidRDefault="004E3A96" w:rsidP="00E60D97">
      <w:pPr>
        <w:pStyle w:val="11"/>
        <w:rPr>
          <w:rtl/>
        </w:rPr>
      </w:pPr>
      <w:r w:rsidRPr="00E56848">
        <w:rPr>
          <w:rFonts w:hint="cs"/>
          <w:rtl/>
        </w:rPr>
        <w:t>אודות קטעי היומן שנעתקו בספר 'המזכיר'</w:t>
      </w:r>
    </w:p>
    <w:p w14:paraId="3D045F94" w14:textId="356E2B74" w:rsidR="004E3A96" w:rsidRPr="004E3A96" w:rsidRDefault="004E3A96" w:rsidP="00E60D97">
      <w:pPr>
        <w:pStyle w:val="a3"/>
        <w:rPr>
          <w:rtl/>
        </w:rPr>
      </w:pPr>
      <w:r>
        <w:rPr>
          <w:rFonts w:hint="cs"/>
          <w:rtl/>
        </w:rPr>
        <w:t xml:space="preserve">ב'הערות וביאורים' שם </w:t>
      </w:r>
      <w:r w:rsidRPr="00530BC0">
        <w:rPr>
          <w:rFonts w:hint="cs"/>
          <w:sz w:val="16"/>
          <w:szCs w:val="20"/>
          <w:rtl/>
        </w:rPr>
        <w:t xml:space="preserve">(עמ' 58) </w:t>
      </w:r>
      <w:r>
        <w:rPr>
          <w:rFonts w:hint="cs"/>
          <w:rtl/>
        </w:rPr>
        <w:t>כתבתי כמה הערות על הזהירות שבו יש לסמוך על קטעי היומן שנעתקו בספר. קיצרתי בדבריי בבחינת 'תן לחכם ויחכם עוד', אבל מההערות בשוה"ג ש'הבחור הזעצער' הוסיף לדבריי, אני רואה שכנראה לא הבין את כוונתי, ועל כן אבאר למה הדברים מכוונים.</w:t>
      </w:r>
    </w:p>
    <w:p w14:paraId="6BD3917F" w14:textId="77777777" w:rsidR="004E3A96" w:rsidRPr="00637559" w:rsidRDefault="004E3A96" w:rsidP="00E60D97">
      <w:pPr>
        <w:pStyle w:val="11"/>
        <w:rPr>
          <w:rFonts w:hint="cs"/>
          <w:rtl/>
        </w:rPr>
      </w:pPr>
      <w:r w:rsidRPr="00637559">
        <w:rPr>
          <w:rFonts w:hint="cs"/>
          <w:rtl/>
        </w:rPr>
        <w:t>א. דברים שבעל פה אינם מדוייקים כל כך</w:t>
      </w:r>
    </w:p>
    <w:p w14:paraId="2E81A215" w14:textId="77777777" w:rsidR="004E3A96" w:rsidRDefault="004E3A96" w:rsidP="00E60D97">
      <w:pPr>
        <w:pStyle w:val="a3"/>
        <w:rPr>
          <w:rtl/>
        </w:rPr>
      </w:pPr>
      <w:r>
        <w:rPr>
          <w:rFonts w:hint="cs"/>
          <w:rtl/>
        </w:rPr>
        <w:t xml:space="preserve">הראיתי לדעת שהדברים שנרשמו ביומן מנוגדים למה שנתפרסם לפני הרבה שנים ב'התקשרות'. וזה מוכיח שעכ"פ חלק או אפילו הרבה מהדברים במנהג ובהלכה שמצוטטים בשם הריל"ג בשם הרבי אינם מדוייקים. וכמה סיבות יש לדבר: (1) אולי הכותב לא שמע בעצמו את הדברים מפי הריל"ג ורשמם מפי השמועה באופן לא מדוייק. (2) אולי השומעים לכתחילה לא הבינו נכון מה ששמעו בעצמם מהריל"ג. (3) אולי הריל"ג בעצמו לא זכר בדיוק מה שרשם ביומנו לפני 30-40 ואף 50 שנה ויותר, שהרי ודאי שלא היה בידו לבדוק כל דבר ודבר ביומן המקורי. </w:t>
      </w:r>
    </w:p>
    <w:p w14:paraId="66CB9B05" w14:textId="29D57D55" w:rsidR="004E3A96" w:rsidRPr="004E3A96" w:rsidRDefault="004E3A96" w:rsidP="00E60D97">
      <w:pPr>
        <w:pStyle w:val="a3"/>
        <w:rPr>
          <w:rtl/>
        </w:rPr>
      </w:pPr>
      <w:r>
        <w:rPr>
          <w:rFonts w:hint="cs"/>
          <w:rtl/>
        </w:rPr>
        <w:t>איך שלא יהיה הסיבה התברר מעתה שאין לסמוך לגמרי על הדברים שמצוטטים בשם הריל"ג שלא נמצאים רשומים ביומנו. ומעתה יש להצטער על שבספר מופיעים בתערובת קטעי יומן עם דברים שנאמרו בעל פה ואף עם דברים שאחרים אומרים בשמו למרות שרמת האמינות של הדברים שונים לגמרי.</w:t>
      </w:r>
    </w:p>
    <w:p w14:paraId="2C070DF9" w14:textId="77777777" w:rsidR="004E3A96" w:rsidRPr="002C6EC1" w:rsidRDefault="004E3A96" w:rsidP="00E60D97">
      <w:pPr>
        <w:pStyle w:val="11"/>
        <w:rPr>
          <w:rtl/>
        </w:rPr>
      </w:pPr>
      <w:r w:rsidRPr="002C6EC1">
        <w:rPr>
          <w:rFonts w:hint="cs"/>
          <w:rtl/>
        </w:rPr>
        <w:t xml:space="preserve">ב. קטעי היומן שנרשמו מיד </w:t>
      </w:r>
      <w:r>
        <w:rPr>
          <w:rFonts w:hint="cs"/>
          <w:rtl/>
        </w:rPr>
        <w:t xml:space="preserve">יותר מדוייקים ממה שנרשם </w:t>
      </w:r>
      <w:r w:rsidRPr="002C6EC1">
        <w:rPr>
          <w:rFonts w:hint="cs"/>
          <w:rtl/>
        </w:rPr>
        <w:t>רק לאחר זמן</w:t>
      </w:r>
    </w:p>
    <w:p w14:paraId="25AFC64D" w14:textId="77777777" w:rsidR="004E3A96" w:rsidRDefault="004E3A96" w:rsidP="00E60D97">
      <w:pPr>
        <w:pStyle w:val="a3"/>
        <w:rPr>
          <w:rtl/>
        </w:rPr>
      </w:pPr>
      <w:r>
        <w:rPr>
          <w:rFonts w:hint="cs"/>
          <w:rtl/>
        </w:rPr>
        <w:lastRenderedPageBreak/>
        <w:t xml:space="preserve">גם בנוגע לקטעי היומן והרשימות שיצאו מתחת ידי הריל"ג יש להבחין בין דברים שנרשמו באותו יום לבין דברים שנרשמו אחרי ימים או שבועות ואולי אף שנים מתוך הזכרון, והרי מה שנרשם באותו יום ממש ודאי יותר מדוייק. </w:t>
      </w:r>
    </w:p>
    <w:p w14:paraId="63573E54" w14:textId="77777777" w:rsidR="004E3A96" w:rsidRDefault="004E3A96" w:rsidP="00E60D97">
      <w:pPr>
        <w:pStyle w:val="a3"/>
        <w:rPr>
          <w:rtl/>
        </w:rPr>
      </w:pPr>
      <w:r>
        <w:rPr>
          <w:rFonts w:hint="cs"/>
          <w:rtl/>
        </w:rPr>
        <w:t xml:space="preserve">דוגמא לזה ישמש מה שנתפרסם בכמה מקומות כרשימת יומן מט' באב תשמ"ח </w:t>
      </w:r>
      <w:r w:rsidRPr="000771C6">
        <w:rPr>
          <w:rFonts w:hint="cs"/>
          <w:sz w:val="16"/>
          <w:szCs w:val="20"/>
          <w:rtl/>
        </w:rPr>
        <w:t>(ואף העתקתי קטע ממנו ב'שנים ראשונות' עמ' 116)</w:t>
      </w:r>
      <w:r>
        <w:rPr>
          <w:rFonts w:hint="cs"/>
          <w:rtl/>
        </w:rPr>
        <w:t xml:space="preserve">, אבל ב'הערות וביאורים' </w:t>
      </w:r>
      <w:r w:rsidRPr="000771C6">
        <w:rPr>
          <w:rFonts w:hint="cs"/>
          <w:sz w:val="16"/>
          <w:szCs w:val="20"/>
          <w:rtl/>
        </w:rPr>
        <w:t>(גליון א'קיב עמ' 60)</w:t>
      </w:r>
      <w:r>
        <w:rPr>
          <w:rFonts w:hint="cs"/>
          <w:rtl/>
        </w:rPr>
        <w:t xml:space="preserve"> הערתי שמה שכתוב ברשימה</w:t>
      </w:r>
      <w:r w:rsidRPr="000771C6">
        <w:rPr>
          <w:rtl/>
        </w:rPr>
        <w:t xml:space="preserve">: "והראיתי המובא בספר ט' באב שחל בשבת, שמביא מכמה וכמה קהילות חסידיות שכך נהגו", </w:t>
      </w:r>
      <w:r>
        <w:rPr>
          <w:rFonts w:hint="cs"/>
          <w:rtl/>
        </w:rPr>
        <w:t xml:space="preserve">אינו מדוייק, שהרי הדברים המצוטטים אינם מופיעים בספר, ובגליון שאחרי זה </w:t>
      </w:r>
      <w:r w:rsidRPr="000771C6">
        <w:rPr>
          <w:rFonts w:hint="cs"/>
          <w:sz w:val="16"/>
          <w:szCs w:val="20"/>
          <w:rtl/>
        </w:rPr>
        <w:t xml:space="preserve">(א'קיג עמ' 74) </w:t>
      </w:r>
      <w:r w:rsidRPr="00780377">
        <w:rPr>
          <w:rFonts w:hint="cs"/>
          <w:rtl/>
        </w:rPr>
        <w:t xml:space="preserve">הסכים אתי </w:t>
      </w:r>
      <w:r>
        <w:rPr>
          <w:rFonts w:hint="cs"/>
          <w:rtl/>
        </w:rPr>
        <w:t xml:space="preserve">הריל"ג וכתב על זה: "והצדק עמו" עיי"ש ומה שכתבתי עוד שם </w:t>
      </w:r>
      <w:r w:rsidRPr="00780377">
        <w:rPr>
          <w:rFonts w:hint="cs"/>
          <w:sz w:val="16"/>
          <w:szCs w:val="20"/>
          <w:rtl/>
        </w:rPr>
        <w:t>(גליון א'קיד עמ' 75)</w:t>
      </w:r>
      <w:r>
        <w:rPr>
          <w:rFonts w:hint="cs"/>
          <w:rtl/>
        </w:rPr>
        <w:t xml:space="preserve"> שעדיין לא נמצא הספר שבו מבוארים מנהגים הללו. ומסתבר שסיבת הדבר כיון שהדברים לא נרשמו מיד ביום ט' באב אלא לאחר זמן.</w:t>
      </w:r>
    </w:p>
    <w:p w14:paraId="24FF0BDC" w14:textId="77777777" w:rsidR="004E3A96" w:rsidRDefault="004E3A96" w:rsidP="00E60D97">
      <w:pPr>
        <w:pStyle w:val="a3"/>
        <w:rPr>
          <w:rtl/>
        </w:rPr>
      </w:pPr>
      <w:r>
        <w:rPr>
          <w:rFonts w:hint="cs"/>
          <w:rtl/>
        </w:rPr>
        <w:t xml:space="preserve">ומעניין שרק בנוגע ליומן של תחילת תשל"ח מודגש בספר </w:t>
      </w:r>
      <w:r w:rsidRPr="003806E5">
        <w:rPr>
          <w:rFonts w:hint="cs"/>
          <w:sz w:val="16"/>
          <w:szCs w:val="20"/>
          <w:rtl/>
        </w:rPr>
        <w:t>(עמ' 296)</w:t>
      </w:r>
      <w:r>
        <w:rPr>
          <w:rFonts w:hint="cs"/>
          <w:rtl/>
        </w:rPr>
        <w:t xml:space="preserve"> ש"את יומנו כתב הרב גרונר, בשעת מעשה, דבר יום ביומו... באמצעותו יכול היה מזכירו... לנהל מעקב אחר ההתפתחויות הרפואיות". וחבל שלא הקפידו לציין על שאר קטעי היומן האם נרשמו בשעת מעשה או יותר מאוחר מתוך הזכרון.</w:t>
      </w:r>
    </w:p>
    <w:p w14:paraId="53BADFF1" w14:textId="1A222174" w:rsidR="004E3A96" w:rsidRPr="004E3A96" w:rsidRDefault="004E3A96" w:rsidP="00E60D97">
      <w:pPr>
        <w:pStyle w:val="a3"/>
        <w:rPr>
          <w:rtl/>
        </w:rPr>
      </w:pPr>
      <w:r>
        <w:rPr>
          <w:rFonts w:hint="cs"/>
          <w:rtl/>
        </w:rPr>
        <w:t>ואציין בזה שלפי צילומי היומן שראיתי פעם מהשנים תשכ"ח-תשכ"ט אכן מתקבל הרושם שהדברים נרשמו באותו היום ממש או עכ"פ בימים הסמוכים.</w:t>
      </w:r>
    </w:p>
    <w:p w14:paraId="432E0D92" w14:textId="77777777" w:rsidR="004E3A96" w:rsidRPr="002C6EC1" w:rsidRDefault="004E3A96" w:rsidP="00E60D97">
      <w:pPr>
        <w:pStyle w:val="11"/>
        <w:rPr>
          <w:rtl/>
        </w:rPr>
      </w:pPr>
      <w:r w:rsidRPr="002C6EC1">
        <w:rPr>
          <w:rFonts w:hint="cs"/>
          <w:rtl/>
        </w:rPr>
        <w:t>ג. קטעי יומן שלא נעתקו בלשונם אינם מדוייקים כל כך</w:t>
      </w:r>
    </w:p>
    <w:p w14:paraId="58CB7EE4" w14:textId="77777777" w:rsidR="004E3A96" w:rsidRDefault="004E3A96" w:rsidP="00E60D97">
      <w:pPr>
        <w:pStyle w:val="a3"/>
        <w:rPr>
          <w:rtl/>
        </w:rPr>
      </w:pPr>
      <w:r>
        <w:rPr>
          <w:rFonts w:hint="cs"/>
          <w:rtl/>
        </w:rPr>
        <w:t xml:space="preserve">קטעי היומן כלל לא נעתקו בלשונם, אלא עברו עיבוד על ידי המערכת </w:t>
      </w:r>
      <w:r w:rsidRPr="00DD4018">
        <w:rPr>
          <w:rFonts w:hint="cs"/>
          <w:sz w:val="16"/>
          <w:szCs w:val="20"/>
          <w:rtl/>
        </w:rPr>
        <w:t>(וכפי שכתבו על כך בעמ' 11)</w:t>
      </w:r>
      <w:r>
        <w:rPr>
          <w:rFonts w:hint="cs"/>
          <w:rtl/>
        </w:rPr>
        <w:t>, ומעתה יש חשש שנפלו טעויות מתוך אי הבנה.</w:t>
      </w:r>
    </w:p>
    <w:p w14:paraId="11CFDD67" w14:textId="77777777" w:rsidR="004E3A96" w:rsidRDefault="004E3A96" w:rsidP="00E60D97">
      <w:pPr>
        <w:pStyle w:val="a3"/>
        <w:rPr>
          <w:rtl/>
        </w:rPr>
      </w:pPr>
      <w:r>
        <w:rPr>
          <w:rFonts w:hint="cs"/>
          <w:rtl/>
        </w:rPr>
        <w:t xml:space="preserve">והעירני חכ"א דוגמא לזה המבואר בספר </w:t>
      </w:r>
      <w:r w:rsidRPr="00B50556">
        <w:rPr>
          <w:rFonts w:hint="cs"/>
          <w:sz w:val="16"/>
          <w:szCs w:val="20"/>
          <w:rtl/>
        </w:rPr>
        <w:t xml:space="preserve">(סוף עמ' 284) </w:t>
      </w:r>
      <w:r>
        <w:rPr>
          <w:rFonts w:hint="cs"/>
          <w:rtl/>
        </w:rPr>
        <w:t xml:space="preserve">אודות יום הושענא רבה תשל"ח: החלוקה הסתיימה שעה קלה לפני השקיעה, מכיוון </w:t>
      </w:r>
      <w:r w:rsidRPr="00B50556">
        <w:rPr>
          <w:rFonts w:hint="cs"/>
          <w:bCs/>
          <w:rtl/>
        </w:rPr>
        <w:t>שהרבי לא הספיק לנסוע לביתו</w:t>
      </w:r>
      <w:r>
        <w:rPr>
          <w:rFonts w:hint="cs"/>
          <w:rtl/>
        </w:rPr>
        <w:t xml:space="preserve"> כדי לאכול את סעודת הושענא רבה ביקש...", ויש כאן טעות דמוכח, שהרי הרבי כן נסע הביתה, וכפי שרשם רי"מ סוסובר ביומנו: "כשעה לפני כניסת החג נסע אד"ש לביתו, שהה שם כמחצית השעה ושב ל-770". ודומה לזה גם ביומן רמ"א זליגסון.</w:t>
      </w:r>
    </w:p>
    <w:p w14:paraId="6E6D7375" w14:textId="77777777" w:rsidR="004E3A96" w:rsidRDefault="004E3A96" w:rsidP="00E60D97">
      <w:pPr>
        <w:pStyle w:val="a3"/>
        <w:rPr>
          <w:rtl/>
        </w:rPr>
      </w:pPr>
      <w:r w:rsidRPr="00B50556">
        <w:rPr>
          <w:rtl/>
        </w:rPr>
        <w:t xml:space="preserve">אולם כפי שניתן לראות את קטעי היומן המקורי כפי שפירסמם </w:t>
      </w:r>
      <w:r>
        <w:rPr>
          <w:rFonts w:hint="cs"/>
          <w:rtl/>
        </w:rPr>
        <w:t>ה</w:t>
      </w:r>
      <w:r w:rsidRPr="00B50556">
        <w:rPr>
          <w:rtl/>
        </w:rPr>
        <w:t xml:space="preserve">ריל"ג </w:t>
      </w:r>
      <w:r w:rsidRPr="00B50556">
        <w:rPr>
          <w:rFonts w:hint="cs"/>
          <w:sz w:val="16"/>
          <w:szCs w:val="20"/>
          <w:rtl/>
        </w:rPr>
        <w:t xml:space="preserve">('תשורה' י"א חשון תשס"ז עמ' 13) </w:t>
      </w:r>
      <w:r w:rsidRPr="00B50556">
        <w:rPr>
          <w:rtl/>
        </w:rPr>
        <w:t xml:space="preserve">עוד לא נתחדש שהרבי לא הספיק בפועל לנסוע לביתו אלא רק </w:t>
      </w:r>
      <w:r>
        <w:rPr>
          <w:rtl/>
        </w:rPr>
        <w:t>שאמר שלא יספיק ויביאו הסעודה</w:t>
      </w:r>
      <w:r>
        <w:rPr>
          <w:rFonts w:hint="cs"/>
          <w:rtl/>
        </w:rPr>
        <w:t xml:space="preserve">: "כשהסתיימה החלוקה נעשה מאוחר וכבר היה סמוך לשקיעה, </w:t>
      </w:r>
      <w:r w:rsidRPr="000F1C86">
        <w:rPr>
          <w:rFonts w:hint="cs"/>
          <w:bCs/>
          <w:rtl/>
        </w:rPr>
        <w:t>ואמר לי</w:t>
      </w:r>
      <w:r>
        <w:rPr>
          <w:rFonts w:hint="cs"/>
          <w:rtl/>
        </w:rPr>
        <w:t xml:space="preserve"> אד"ש </w:t>
      </w:r>
      <w:r w:rsidRPr="000F1C86">
        <w:rPr>
          <w:rFonts w:hint="cs"/>
          <w:bCs/>
          <w:rtl/>
        </w:rPr>
        <w:t xml:space="preserve">שלא יספיק לנסוע לביתו </w:t>
      </w:r>
      <w:r>
        <w:rPr>
          <w:rFonts w:hint="cs"/>
          <w:rtl/>
        </w:rPr>
        <w:t>לאכול הסעודה שם, וב[י]קש שיביאו את הסעודה ל-770"</w:t>
      </w:r>
      <w:r w:rsidRPr="00B50556">
        <w:rPr>
          <w:rtl/>
        </w:rPr>
        <w:t>.</w:t>
      </w:r>
      <w:r w:rsidRPr="00B50556">
        <w:rPr>
          <w:rFonts w:ascii="Cambria" w:hAnsi="Cambria" w:cs="Cambria" w:hint="cs"/>
          <w:rtl/>
        </w:rPr>
        <w:t> </w:t>
      </w:r>
    </w:p>
    <w:p w14:paraId="77F354CC" w14:textId="77777777" w:rsidR="004E3A96" w:rsidRPr="00A22C9C" w:rsidRDefault="004E3A96" w:rsidP="00E60D97">
      <w:pPr>
        <w:pStyle w:val="a3"/>
        <w:rPr>
          <w:rFonts w:ascii="Calibri" w:hAnsi="Calibri" w:hint="cs"/>
          <w:rtl/>
        </w:rPr>
      </w:pPr>
      <w:r>
        <w:rPr>
          <w:rFonts w:hint="cs"/>
          <w:rtl/>
        </w:rPr>
        <w:t xml:space="preserve">עוד דוגמא ישמש הקטע הבא </w:t>
      </w:r>
      <w:r w:rsidRPr="009D73C9">
        <w:rPr>
          <w:rFonts w:hint="cs"/>
          <w:sz w:val="16"/>
          <w:szCs w:val="20"/>
          <w:rtl/>
        </w:rPr>
        <w:t>(עמ' 382-383)</w:t>
      </w:r>
      <w:r>
        <w:rPr>
          <w:rFonts w:hint="cs"/>
          <w:rtl/>
        </w:rPr>
        <w:t xml:space="preserve"> המובא בשם הרבי: "איני רוצה </w:t>
      </w:r>
      <w:r>
        <w:rPr>
          <w:rFonts w:hint="cs"/>
          <w:rtl/>
        </w:rPr>
        <w:lastRenderedPageBreak/>
        <w:t xml:space="preserve">שיעבירו את בית הרפואה לביתי וממילא איני רוצה שיהיה שם מוניטור. הרחוב נקרא בשם פרזידנט סט. </w:t>
      </w:r>
      <w:r w:rsidRPr="00A22C9C">
        <w:rPr>
          <w:rFonts w:cs="Times New Roman"/>
          <w:szCs w:val="28"/>
        </w:rPr>
        <w:t>President St.</w:t>
      </w:r>
      <w:r w:rsidRPr="00A22C9C">
        <w:rPr>
          <w:rFonts w:ascii="Calibri" w:hAnsi="Calibri" w:hint="cs"/>
          <w:szCs w:val="28"/>
          <w:rtl/>
        </w:rPr>
        <w:t xml:space="preserve"> </w:t>
      </w:r>
      <w:r w:rsidRPr="00A22C9C">
        <w:rPr>
          <w:rFonts w:ascii="Calibri" w:hAnsi="Calibri" w:hint="cs"/>
          <w:rtl/>
        </w:rPr>
        <w:t xml:space="preserve">(שם הרחוב של בית הרבי) ולא רחוב פיישן סט. </w:t>
      </w:r>
      <w:r w:rsidRPr="00A22C9C">
        <w:rPr>
          <w:rFonts w:cs="Times New Roman"/>
          <w:szCs w:val="28"/>
        </w:rPr>
        <w:t>Fashion St.</w:t>
      </w:r>
      <w:r w:rsidRPr="00A22C9C">
        <w:rPr>
          <w:rFonts w:ascii="Calibri" w:hAnsi="Calibri" w:hint="cs"/>
          <w:szCs w:val="28"/>
          <w:rtl/>
        </w:rPr>
        <w:t xml:space="preserve"> </w:t>
      </w:r>
      <w:r w:rsidRPr="00A22C9C">
        <w:rPr>
          <w:rFonts w:ascii="Calibri" w:hAnsi="Calibri" w:hint="cs"/>
          <w:rtl/>
        </w:rPr>
        <w:t xml:space="preserve">(שם רחוב במנהטן שבו שוכן בית רפואה)". יש כאן טעות דמוכח, שהרי לא ידוע על רחוב פיישן במנהטן וגם לא על בית רפואה שנמצא ברחוב הזה. ולכאורה ברור שהרבי אמר פיישנט סט. היינו </w:t>
      </w:r>
      <w:r>
        <w:rPr>
          <w:rFonts w:cs="Times New Roman"/>
          <w:szCs w:val="28"/>
        </w:rPr>
        <w:t>Patient St.</w:t>
      </w:r>
      <w:r w:rsidRPr="00BF086D">
        <w:rPr>
          <w:rFonts w:ascii="Calibri" w:hAnsi="Calibri" w:hint="cs"/>
          <w:rtl/>
        </w:rPr>
        <w:t xml:space="preserve">, </w:t>
      </w:r>
      <w:r>
        <w:rPr>
          <w:rFonts w:ascii="Calibri" w:hAnsi="Calibri" w:hint="cs"/>
          <w:rtl/>
        </w:rPr>
        <w:t>היינו חולה/מטופל. והרבי אמר שהרחוב נקרא רחוב "הנשיא" ולא רחוב "המטופל".</w:t>
      </w:r>
    </w:p>
    <w:p w14:paraId="7178C37F" w14:textId="2A6A1BC2" w:rsidR="004E3A96" w:rsidRPr="004E3A96" w:rsidRDefault="004E3A96" w:rsidP="00E60D97">
      <w:pPr>
        <w:pStyle w:val="a3"/>
        <w:rPr>
          <w:rtl/>
        </w:rPr>
      </w:pPr>
      <w:r>
        <w:rPr>
          <w:rFonts w:hint="cs"/>
          <w:rtl/>
        </w:rPr>
        <w:t>וזה מוכיח באיזה קלות משתנה הכוונה על ידי עיבוד, והדברים יוצאים לא נכונים. ויש לקוות שבחלקים הבאים יקפידו להעתיק את קטעי היומן בלשונם.</w:t>
      </w:r>
    </w:p>
    <w:p w14:paraId="40F0C9AF" w14:textId="77777777" w:rsidR="004E3A96" w:rsidRPr="00BE3330" w:rsidRDefault="004E3A96" w:rsidP="00E60D97">
      <w:pPr>
        <w:pStyle w:val="11"/>
        <w:rPr>
          <w:rtl/>
        </w:rPr>
      </w:pPr>
      <w:r w:rsidRPr="00BE3330">
        <w:rPr>
          <w:rFonts w:hint="cs"/>
          <w:rtl/>
        </w:rPr>
        <w:t>ההקפדה על סעודת מלוה מלכה במוצאי שבת</w:t>
      </w:r>
    </w:p>
    <w:p w14:paraId="707623CD" w14:textId="77777777" w:rsidR="004E3A96" w:rsidRDefault="004E3A96" w:rsidP="00E60D97">
      <w:pPr>
        <w:pStyle w:val="a3"/>
        <w:rPr>
          <w:rtl/>
        </w:rPr>
      </w:pPr>
      <w:r>
        <w:rPr>
          <w:rFonts w:hint="cs"/>
          <w:rtl/>
        </w:rPr>
        <w:t xml:space="preserve">אודות ההקפדה על סעודת מלוה מלכה מופיע בספר </w:t>
      </w:r>
      <w:r w:rsidRPr="003E2223">
        <w:rPr>
          <w:rFonts w:hint="cs"/>
          <w:sz w:val="16"/>
          <w:szCs w:val="20"/>
          <w:rtl/>
        </w:rPr>
        <w:t>(עמ' 315)</w:t>
      </w:r>
      <w:r>
        <w:rPr>
          <w:rFonts w:hint="cs"/>
          <w:rtl/>
        </w:rPr>
        <w:t xml:space="preserve">: "'שאלתי', מציין הרב גרונר, 'על דבר מלווה מלכה', כלומר האם לדאוג להגשת סעודת מלווה מלכה, עליה מקפיד [הרבי] מאד, והרבי השיב 'שעוד מוקדם'...". </w:t>
      </w:r>
    </w:p>
    <w:p w14:paraId="7F485885" w14:textId="77777777" w:rsidR="004E3A96" w:rsidRDefault="004E3A96" w:rsidP="00E60D97">
      <w:pPr>
        <w:pStyle w:val="a3"/>
        <w:rPr>
          <w:rFonts w:hint="cs"/>
          <w:rtl/>
        </w:rPr>
      </w:pPr>
      <w:r>
        <w:rPr>
          <w:rFonts w:hint="cs"/>
          <w:rtl/>
        </w:rPr>
        <w:t xml:space="preserve">ולא הבנתי איך הדברים מתיישבים עם קטע יומן המופיע גם הוא בספר </w:t>
      </w:r>
      <w:r w:rsidRPr="003E2223">
        <w:rPr>
          <w:rFonts w:hint="cs"/>
          <w:sz w:val="16"/>
          <w:szCs w:val="20"/>
          <w:rtl/>
        </w:rPr>
        <w:t>(עמ' 353)</w:t>
      </w:r>
      <w:r>
        <w:rPr>
          <w:rFonts w:hint="cs"/>
          <w:rtl/>
        </w:rPr>
        <w:t>: "אז ביקש הרבי סעודת מלווה מלכה. כשהכנסתי החלה אמר שלא ייטול ידיו. ואמרה הרבנית: האם לא ירצה ליטול הידיים? ושאל: האם בכל מוצש"ק הנני נוטל הידיים. ואמרתי שבשבועות האחרונים היה כך".</w:t>
      </w:r>
    </w:p>
    <w:p w14:paraId="1578D9A2" w14:textId="77777777" w:rsidR="004E3A96" w:rsidRDefault="004E3A96" w:rsidP="00E60D97">
      <w:pPr>
        <w:pStyle w:val="a3"/>
        <w:rPr>
          <w:rtl/>
        </w:rPr>
      </w:pPr>
      <w:r>
        <w:rPr>
          <w:rFonts w:hint="cs"/>
          <w:rtl/>
        </w:rPr>
        <w:t>ויש לבדוק במקור האם הדברים מדוייקים.</w:t>
      </w:r>
    </w:p>
    <w:p w14:paraId="5841E44E" w14:textId="3BDF6A4D" w:rsidR="004E3A96" w:rsidRDefault="004E3A96" w:rsidP="00E60D97">
      <w:pPr>
        <w:pStyle w:val="a3"/>
        <w:rPr>
          <w:rtl/>
        </w:rPr>
      </w:pPr>
      <w:r>
        <w:rPr>
          <w:rFonts w:hint="cs"/>
          <w:rtl/>
        </w:rPr>
        <w:t>לסיכום: ודאי שבספר ישנם הרבה דברים נפלאים, אבל יש לקוות שבכרכים הבאים יתוקנו כמה מהנ"ל, והדברים יהיו יותר מדוייקים.</w:t>
      </w:r>
    </w:p>
    <w:p w14:paraId="04FDED62" w14:textId="4238DD24" w:rsidR="0072178A" w:rsidRDefault="0072178A" w:rsidP="00492226">
      <w:pPr>
        <w:pStyle w:val="M"/>
        <w:rPr>
          <w:rtl/>
        </w:rPr>
      </w:pPr>
      <w:r>
        <w:rPr>
          <w:noProof/>
        </w:rPr>
        <w:drawing>
          <wp:inline distT="0" distB="0" distL="0" distR="0" wp14:anchorId="1A8895C8" wp14:editId="04E6DC1F">
            <wp:extent cx="875763" cy="23404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84304C8" w14:textId="34A08CDF" w:rsidR="004E3A96" w:rsidRPr="004E3A96" w:rsidRDefault="004E3A96" w:rsidP="004E3A96">
      <w:pPr>
        <w:pStyle w:val="a0"/>
        <w:rPr>
          <w:rtl/>
        </w:rPr>
      </w:pPr>
      <w:bookmarkStart w:id="133" w:name="_Toc81540415"/>
      <w:r w:rsidRPr="004A36D1">
        <w:rPr>
          <w:rFonts w:hint="cs"/>
          <w:rtl/>
        </w:rPr>
        <w:t>טעה ובירך המוציא במקום על נטילת ידים</w:t>
      </w:r>
      <w:bookmarkEnd w:id="133"/>
    </w:p>
    <w:p w14:paraId="2B62A15A" w14:textId="382E6E1C" w:rsidR="004E3A96" w:rsidRPr="00F3102C" w:rsidRDefault="004E3A96" w:rsidP="0046124A">
      <w:pPr>
        <w:pStyle w:val="a"/>
        <w:rPr>
          <w:rFonts w:hint="cs"/>
          <w:rtl/>
        </w:rPr>
      </w:pPr>
      <w:bookmarkStart w:id="134" w:name="_Toc81540416"/>
      <w:r w:rsidRPr="00F3102C">
        <w:rPr>
          <w:rFonts w:hint="cs"/>
          <w:rtl/>
        </w:rPr>
        <w:t>הרב גדלי' אבערלאנדער</w:t>
      </w:r>
      <w:bookmarkEnd w:id="134"/>
    </w:p>
    <w:p w14:paraId="01D4CF0B" w14:textId="77777777" w:rsidR="004E3A96" w:rsidRPr="00F3102C" w:rsidRDefault="004E3A96" w:rsidP="004E3A96">
      <w:pPr>
        <w:pStyle w:val="a1"/>
        <w:bidi/>
        <w:jc w:val="right"/>
        <w:rPr>
          <w:rFonts w:hint="cs"/>
          <w:rtl/>
        </w:rPr>
      </w:pPr>
      <w:r w:rsidRPr="00F3102C">
        <w:rPr>
          <w:rFonts w:hint="cs"/>
          <w:rtl/>
        </w:rPr>
        <w:t xml:space="preserve">רב דקהל היכל מנחם </w:t>
      </w:r>
      <w:r w:rsidRPr="00F3102C">
        <w:rPr>
          <w:rtl/>
        </w:rPr>
        <w:t>–</w:t>
      </w:r>
      <w:r w:rsidRPr="00F3102C">
        <w:rPr>
          <w:rFonts w:hint="cs"/>
          <w:rtl/>
        </w:rPr>
        <w:t xml:space="preserve"> מאנסי</w:t>
      </w:r>
      <w:r w:rsidRPr="00F3102C">
        <w:rPr>
          <w:rFonts w:cs="SfaradyMedium" w:hint="cs"/>
          <w:rtl/>
        </w:rPr>
        <w:t xml:space="preserve"> </w:t>
      </w:r>
    </w:p>
    <w:p w14:paraId="43911EB4" w14:textId="77777777" w:rsidR="004E3A96" w:rsidRPr="004A36D1" w:rsidRDefault="004E3A96" w:rsidP="00E60D97">
      <w:pPr>
        <w:pStyle w:val="a3"/>
        <w:rPr>
          <w:rFonts w:hint="cs"/>
          <w:rtl/>
        </w:rPr>
      </w:pPr>
      <w:r w:rsidRPr="004A36D1">
        <w:rPr>
          <w:rFonts w:hint="cs"/>
          <w:rtl/>
        </w:rPr>
        <w:t>כבוד ידידי וידיד ה' חו"ב טובא</w:t>
      </w:r>
    </w:p>
    <w:p w14:paraId="3153B4E3" w14:textId="77777777" w:rsidR="004E3A96" w:rsidRPr="004A36D1" w:rsidRDefault="004E3A96" w:rsidP="00E60D97">
      <w:pPr>
        <w:pStyle w:val="a3"/>
        <w:rPr>
          <w:rFonts w:hint="cs"/>
          <w:rtl/>
        </w:rPr>
      </w:pPr>
      <w:r w:rsidRPr="004A36D1">
        <w:rPr>
          <w:rFonts w:hint="cs"/>
          <w:rtl/>
        </w:rPr>
        <w:t xml:space="preserve">הרה"ח מוה"ר </w:t>
      </w:r>
      <w:r>
        <w:rPr>
          <w:rFonts w:hint="cs"/>
          <w:rtl/>
        </w:rPr>
        <w:t xml:space="preserve">        </w:t>
      </w:r>
      <w:r w:rsidRPr="004A36D1">
        <w:rPr>
          <w:rFonts w:hint="cs"/>
          <w:rtl/>
        </w:rPr>
        <w:t xml:space="preserve">שיחי' </w:t>
      </w:r>
    </w:p>
    <w:p w14:paraId="3E628D8A" w14:textId="623BB000" w:rsidR="004E3A96" w:rsidRPr="004A36D1" w:rsidRDefault="004E3A96" w:rsidP="00E60D97">
      <w:pPr>
        <w:pStyle w:val="a3"/>
        <w:rPr>
          <w:rFonts w:hint="cs"/>
          <w:rtl/>
        </w:rPr>
      </w:pPr>
      <w:r w:rsidRPr="004A36D1">
        <w:rPr>
          <w:rFonts w:hint="cs"/>
          <w:rtl/>
        </w:rPr>
        <w:t>אב"י במאנטיסעלא ניו יארק</w:t>
      </w:r>
    </w:p>
    <w:p w14:paraId="65DCC611" w14:textId="77777777" w:rsidR="004E3A96" w:rsidRPr="004A36D1" w:rsidRDefault="004E3A96" w:rsidP="00E60D97">
      <w:pPr>
        <w:pStyle w:val="a3"/>
        <w:rPr>
          <w:rFonts w:hint="cs"/>
          <w:rtl/>
        </w:rPr>
      </w:pPr>
      <w:r w:rsidRPr="004A36D1">
        <w:rPr>
          <w:rFonts w:hint="cs"/>
          <w:rtl/>
        </w:rPr>
        <w:t>שלום וכל טוב סלה</w:t>
      </w:r>
    </w:p>
    <w:p w14:paraId="61A75955" w14:textId="77777777" w:rsidR="004E3A96" w:rsidRPr="004A36D1" w:rsidRDefault="004E3A96" w:rsidP="00E60D97">
      <w:pPr>
        <w:pStyle w:val="a3"/>
        <w:rPr>
          <w:rFonts w:hint="cs"/>
          <w:rtl/>
        </w:rPr>
      </w:pPr>
      <w:r w:rsidRPr="004A36D1">
        <w:rPr>
          <w:rFonts w:hint="cs"/>
          <w:rtl/>
        </w:rPr>
        <w:t>במענה לשאלתך במי שנטל ידי</w:t>
      </w:r>
      <w:r>
        <w:rPr>
          <w:rFonts w:hint="cs"/>
          <w:rtl/>
        </w:rPr>
        <w:t>י</w:t>
      </w:r>
      <w:r w:rsidRPr="004A36D1">
        <w:rPr>
          <w:rFonts w:hint="cs"/>
          <w:rtl/>
        </w:rPr>
        <w:t>ם לסעודה ובמקום לברך ברכת על נטילת ידים בירך ברכת המוציא, האם יכול לברך ברכת על נט"י לאחר אכילת הכזית לחם?</w:t>
      </w:r>
    </w:p>
    <w:p w14:paraId="6C1B05F1" w14:textId="77777777" w:rsidR="004E3A96" w:rsidRPr="004A36D1" w:rsidRDefault="004E3A96" w:rsidP="00E60D97">
      <w:pPr>
        <w:pStyle w:val="a3"/>
        <w:rPr>
          <w:rFonts w:hint="cs"/>
          <w:rtl/>
        </w:rPr>
      </w:pPr>
      <w:r w:rsidRPr="004A36D1">
        <w:lastRenderedPageBreak/>
        <w:t xml:space="preserve"> </w:t>
      </w:r>
      <w:r>
        <w:rPr>
          <w:rFonts w:hint="cs"/>
          <w:rtl/>
        </w:rPr>
        <w:tab/>
      </w:r>
      <w:r w:rsidRPr="004A36D1">
        <w:rPr>
          <w:rFonts w:hint="cs"/>
          <w:rtl/>
        </w:rPr>
        <w:t xml:space="preserve">תשובה </w:t>
      </w:r>
      <w:r w:rsidRPr="004A36D1">
        <w:rPr>
          <w:rtl/>
        </w:rPr>
        <w:t>–</w:t>
      </w:r>
      <w:r w:rsidRPr="004A36D1">
        <w:rPr>
          <w:rFonts w:hint="cs"/>
          <w:rtl/>
        </w:rPr>
        <w:t xml:space="preserve"> כתב בשו"ע (סי' קנח סי"א) ברכת על נטילת ידים "</w:t>
      </w:r>
      <w:r w:rsidRPr="004A36D1">
        <w:rPr>
          <w:rtl/>
        </w:rPr>
        <w:t>מברך קודם נטילה, שכל המצות מברך עליהם עובר לעשייתן</w:t>
      </w:r>
      <w:r w:rsidRPr="004A36D1">
        <w:rPr>
          <w:rFonts w:hint="cs"/>
          <w:rtl/>
        </w:rPr>
        <w:t>.</w:t>
      </w:r>
      <w:r w:rsidRPr="004A36D1">
        <w:rPr>
          <w:rtl/>
        </w:rPr>
        <w:t xml:space="preserve"> ונהגו שלא לברך עד אחר נטילה, משום דפעמים שאין ידיו נקיות, ומפני כך מברכין עליהם אחר ששפשף ידיו, שכבר ידיו נקיות קודם שיטול עליהם מים שניים</w:t>
      </w:r>
      <w:r w:rsidRPr="004A36D1">
        <w:rPr>
          <w:rFonts w:hint="cs"/>
          <w:rtl/>
        </w:rPr>
        <w:t>".</w:t>
      </w:r>
      <w:r w:rsidRPr="004A36D1">
        <w:rPr>
          <w:rtl/>
        </w:rPr>
        <w:t xml:space="preserve"> </w:t>
      </w:r>
      <w:r w:rsidRPr="004A36D1">
        <w:rPr>
          <w:rFonts w:hint="cs"/>
          <w:rtl/>
        </w:rPr>
        <w:t>ומוסיף הרמ"א "</w:t>
      </w:r>
      <w:r w:rsidRPr="004A36D1">
        <w:rPr>
          <w:rtl/>
        </w:rPr>
        <w:t>גם יכול לברך עליהם קודם נגוב, שגם הנגוב מן המצוה, ומקרי עובר לעשייתן</w:t>
      </w:r>
      <w:r w:rsidRPr="004A36D1">
        <w:rPr>
          <w:rFonts w:hint="cs"/>
          <w:rtl/>
        </w:rPr>
        <w:t>.</w:t>
      </w:r>
      <w:r w:rsidRPr="004A36D1">
        <w:rPr>
          <w:rtl/>
        </w:rPr>
        <w:t xml:space="preserve"> ואם שכח לברך עד אחר נגוב, מברך אח</w:t>
      </w:r>
      <w:r w:rsidRPr="004A36D1">
        <w:rPr>
          <w:rFonts w:hint="cs"/>
          <w:rtl/>
        </w:rPr>
        <w:t xml:space="preserve">ר </w:t>
      </w:r>
      <w:r w:rsidRPr="004A36D1">
        <w:rPr>
          <w:rtl/>
        </w:rPr>
        <w:t>כ</w:t>
      </w:r>
      <w:r w:rsidRPr="004A36D1">
        <w:rPr>
          <w:rFonts w:hint="cs"/>
          <w:rtl/>
        </w:rPr>
        <w:t>ך".</w:t>
      </w:r>
    </w:p>
    <w:p w14:paraId="63BFD640" w14:textId="77777777" w:rsidR="004E3A96" w:rsidRPr="004A36D1" w:rsidRDefault="004E3A96" w:rsidP="00E60D97">
      <w:pPr>
        <w:pStyle w:val="a3"/>
        <w:rPr>
          <w:rFonts w:hint="cs"/>
          <w:rtl/>
        </w:rPr>
      </w:pPr>
      <w:r w:rsidRPr="004A36D1">
        <w:rPr>
          <w:rFonts w:hint="cs"/>
          <w:rtl/>
        </w:rPr>
        <w:t>והמג"א (שם סקט"ז) מביא בשם המהרש"ל (יש"ש חולין פ"ח סי' לט) ש</w:t>
      </w:r>
      <w:r w:rsidRPr="004A36D1">
        <w:rPr>
          <w:rtl/>
        </w:rPr>
        <w:t>אם כבר בירך המוציא שוב אינו מברך על נט</w:t>
      </w:r>
      <w:r w:rsidRPr="004A36D1">
        <w:rPr>
          <w:rFonts w:hint="cs"/>
          <w:rtl/>
        </w:rPr>
        <w:t xml:space="preserve">ילת ידים. </w:t>
      </w:r>
      <w:r w:rsidRPr="004A36D1">
        <w:rPr>
          <w:rtl/>
        </w:rPr>
        <w:t>ו</w:t>
      </w:r>
      <w:r w:rsidRPr="004A36D1">
        <w:rPr>
          <w:rFonts w:hint="cs"/>
          <w:rtl/>
        </w:rPr>
        <w:t>אח"כ מביא "</w:t>
      </w:r>
      <w:r w:rsidRPr="004A36D1">
        <w:rPr>
          <w:rtl/>
        </w:rPr>
        <w:t>בשם רב נטרונאי ר</w:t>
      </w:r>
      <w:r w:rsidRPr="004A36D1">
        <w:rPr>
          <w:rFonts w:hint="cs"/>
          <w:rtl/>
        </w:rPr>
        <w:t>יש מתיבתא</w:t>
      </w:r>
      <w:r w:rsidRPr="004A36D1">
        <w:rPr>
          <w:rtl/>
        </w:rPr>
        <w:t xml:space="preserve"> שאם טעה ולא בירך ע</w:t>
      </w:r>
      <w:r w:rsidRPr="004A36D1">
        <w:rPr>
          <w:rFonts w:hint="cs"/>
          <w:rtl/>
        </w:rPr>
        <w:t>ל נטילת ידים</w:t>
      </w:r>
      <w:r w:rsidRPr="004A36D1">
        <w:rPr>
          <w:rtl/>
        </w:rPr>
        <w:t xml:space="preserve"> ואכל פת לא יברך עכ"ל</w:t>
      </w:r>
      <w:r w:rsidRPr="004A36D1">
        <w:rPr>
          <w:rFonts w:hint="cs"/>
          <w:rtl/>
        </w:rPr>
        <w:t>".</w:t>
      </w:r>
    </w:p>
    <w:p w14:paraId="518B3E13" w14:textId="77777777" w:rsidR="004E3A96" w:rsidRPr="004A36D1" w:rsidRDefault="004E3A96" w:rsidP="00E60D97">
      <w:pPr>
        <w:pStyle w:val="a3"/>
        <w:rPr>
          <w:rFonts w:hint="cs"/>
          <w:rtl/>
        </w:rPr>
      </w:pPr>
      <w:r w:rsidRPr="004A36D1">
        <w:rPr>
          <w:rFonts w:hint="cs"/>
          <w:rtl/>
        </w:rPr>
        <w:t xml:space="preserve">והנה בטעם הדבר שאפשר לברך לאחר הנטילה קודם הניגוב כתב הרמ"א להדיא מכיון שגם הניגוב הוא חלק מן המצוה ומיקרי עדיין עובר לעשייתן. אבל בזה שמוסיף </w:t>
      </w:r>
      <w:r>
        <w:rPr>
          <w:rFonts w:hint="cs"/>
          <w:rtl/>
        </w:rPr>
        <w:t xml:space="preserve">הרמ"א </w:t>
      </w:r>
      <w:r w:rsidRPr="004A36D1">
        <w:rPr>
          <w:rFonts w:hint="cs"/>
          <w:rtl/>
        </w:rPr>
        <w:t xml:space="preserve">דאם שכח לברך עד אחר הניגוב מברך </w:t>
      </w:r>
      <w:r>
        <w:rPr>
          <w:rFonts w:hint="cs"/>
          <w:rtl/>
        </w:rPr>
        <w:t xml:space="preserve">גם </w:t>
      </w:r>
      <w:r w:rsidRPr="004A36D1">
        <w:rPr>
          <w:rFonts w:hint="cs"/>
          <w:rtl/>
        </w:rPr>
        <w:t>אחר כך, לא כתב טעם.</w:t>
      </w:r>
    </w:p>
    <w:p w14:paraId="65D93D29" w14:textId="77777777" w:rsidR="004E3A96" w:rsidRPr="004A36D1" w:rsidRDefault="004E3A96" w:rsidP="00E60D97">
      <w:pPr>
        <w:pStyle w:val="a3"/>
        <w:rPr>
          <w:rFonts w:hint="cs"/>
          <w:rtl/>
        </w:rPr>
      </w:pPr>
      <w:r w:rsidRPr="004A36D1">
        <w:rPr>
          <w:rFonts w:hint="cs"/>
          <w:rtl/>
        </w:rPr>
        <w:t>ובביאור הדבר כתב המג"א (שם) "</w:t>
      </w:r>
      <w:r w:rsidRPr="004A36D1">
        <w:rPr>
          <w:rtl/>
        </w:rPr>
        <w:t>ולא דמי לשאר ברכות שאינו מברך אח"כ</w:t>
      </w:r>
      <w:r w:rsidRPr="004A36D1">
        <w:rPr>
          <w:rFonts w:hint="cs"/>
          <w:rtl/>
        </w:rPr>
        <w:t>,</w:t>
      </w:r>
      <w:r w:rsidRPr="004A36D1">
        <w:rPr>
          <w:rtl/>
        </w:rPr>
        <w:t xml:space="preserve"> משום דק</w:t>
      </w:r>
      <w:r w:rsidRPr="004A36D1">
        <w:rPr>
          <w:rFonts w:hint="cs"/>
          <w:rtl/>
        </w:rPr>
        <w:t>יימא לן</w:t>
      </w:r>
      <w:r w:rsidRPr="004A36D1">
        <w:rPr>
          <w:rtl/>
        </w:rPr>
        <w:t xml:space="preserve"> נראה ונדחה אינו חוזר ונראה כמ"ש סי' קס"ז ס"ח</w:t>
      </w:r>
      <w:r w:rsidRPr="004A36D1">
        <w:rPr>
          <w:rFonts w:hint="cs"/>
          <w:rtl/>
        </w:rPr>
        <w:t xml:space="preserve">, </w:t>
      </w:r>
      <w:r w:rsidRPr="004A36D1">
        <w:rPr>
          <w:rtl/>
        </w:rPr>
        <w:t>משא"כ כאן דלא חזי מעיקרא לברכה מותר לברך אח"כ</w:t>
      </w:r>
      <w:r w:rsidRPr="004A36D1">
        <w:rPr>
          <w:rFonts w:hint="cs"/>
          <w:rtl/>
        </w:rPr>
        <w:t>"</w:t>
      </w:r>
      <w:r w:rsidRPr="004A36D1">
        <w:rPr>
          <w:rtl/>
        </w:rPr>
        <w:t>.</w:t>
      </w:r>
      <w:r w:rsidRPr="004A36D1">
        <w:rPr>
          <w:rFonts w:hint="cs"/>
          <w:rtl/>
        </w:rPr>
        <w:t xml:space="preserve"> כלומר, </w:t>
      </w:r>
      <w:r w:rsidRPr="004A36D1">
        <w:rPr>
          <w:rtl/>
        </w:rPr>
        <w:t xml:space="preserve">דוקא </w:t>
      </w:r>
      <w:r w:rsidRPr="004A36D1">
        <w:rPr>
          <w:rFonts w:hint="cs"/>
          <w:rtl/>
        </w:rPr>
        <w:t>ל</w:t>
      </w:r>
      <w:r w:rsidRPr="004A36D1">
        <w:rPr>
          <w:rtl/>
        </w:rPr>
        <w:t xml:space="preserve">גבי </w:t>
      </w:r>
      <w:r w:rsidRPr="004A36D1">
        <w:rPr>
          <w:rFonts w:hint="cs"/>
          <w:rtl/>
        </w:rPr>
        <w:t xml:space="preserve">ברכת </w:t>
      </w:r>
      <w:r w:rsidRPr="004A36D1">
        <w:rPr>
          <w:rtl/>
        </w:rPr>
        <w:t xml:space="preserve">המוציא אם שכח </w:t>
      </w:r>
      <w:r w:rsidRPr="004A36D1">
        <w:rPr>
          <w:rFonts w:hint="cs"/>
          <w:rtl/>
        </w:rPr>
        <w:t xml:space="preserve">לברך קודם האכילה </w:t>
      </w:r>
      <w:r w:rsidRPr="004A36D1">
        <w:rPr>
          <w:rtl/>
        </w:rPr>
        <w:t xml:space="preserve">אין </w:t>
      </w:r>
      <w:r w:rsidRPr="004A36D1">
        <w:rPr>
          <w:rFonts w:hint="cs"/>
          <w:rtl/>
        </w:rPr>
        <w:t>ל</w:t>
      </w:r>
      <w:r w:rsidRPr="004A36D1">
        <w:rPr>
          <w:rtl/>
        </w:rPr>
        <w:t>ברך אחר האכילה, דהתם היה מחויב לברך מ</w:t>
      </w:r>
      <w:r w:rsidRPr="004A36D1">
        <w:rPr>
          <w:rFonts w:hint="cs"/>
          <w:rtl/>
        </w:rPr>
        <w:t>קודם</w:t>
      </w:r>
      <w:r w:rsidRPr="004A36D1">
        <w:rPr>
          <w:rtl/>
        </w:rPr>
        <w:t xml:space="preserve">, וכיון שלא עשה כן הואיל ואדחה אדחי. מה שאין כן </w:t>
      </w:r>
      <w:r>
        <w:rPr>
          <w:rFonts w:hint="cs"/>
          <w:rtl/>
        </w:rPr>
        <w:t>לגבי על נטילת ידים</w:t>
      </w:r>
      <w:r w:rsidRPr="004A36D1">
        <w:rPr>
          <w:rtl/>
        </w:rPr>
        <w:t xml:space="preserve"> דלפעמים לא חזי לברכה, ובכהאי גוונא נדחת הברכה ממקומה</w:t>
      </w:r>
      <w:r>
        <w:rPr>
          <w:rFonts w:hint="cs"/>
          <w:rtl/>
        </w:rPr>
        <w:t xml:space="preserve"> בהכרח</w:t>
      </w:r>
      <w:r w:rsidRPr="004A36D1">
        <w:rPr>
          <w:rtl/>
        </w:rPr>
        <w:t>, הלכך אף שיש מקום לברך אותה אחר שינקה ידיו ואף על פי כן תהיה עובר לעשייתו, מכל מקום כיון שאי אפשר ברוב פעמים שתהיה קודם ממש לפי שאין ידיו נקיות, תו לא קפדינן בזה כלל שתהיה קודם קצת העשיה טרם גמרה, ואף היכא שידיו נקיות לא פלוג</w:t>
      </w:r>
      <w:r w:rsidRPr="004A36D1">
        <w:rPr>
          <w:rFonts w:hint="cs"/>
          <w:rtl/>
        </w:rPr>
        <w:t xml:space="preserve"> (יד אפרים)</w:t>
      </w:r>
      <w:r w:rsidRPr="004A36D1">
        <w:rPr>
          <w:rtl/>
        </w:rPr>
        <w:t xml:space="preserve">. </w:t>
      </w:r>
    </w:p>
    <w:p w14:paraId="5A0C3B10" w14:textId="77777777" w:rsidR="004E3A96" w:rsidRPr="004A36D1" w:rsidRDefault="004E3A96" w:rsidP="00E60D97">
      <w:pPr>
        <w:pStyle w:val="a3"/>
        <w:rPr>
          <w:rFonts w:hint="cs"/>
          <w:rtl/>
        </w:rPr>
      </w:pPr>
      <w:r w:rsidRPr="004A36D1">
        <w:rPr>
          <w:rFonts w:hint="cs"/>
          <w:rtl/>
        </w:rPr>
        <w:t>וה</w:t>
      </w:r>
      <w:r w:rsidRPr="004A36D1">
        <w:rPr>
          <w:rtl/>
        </w:rPr>
        <w:t xml:space="preserve">משנה ברורה </w:t>
      </w:r>
      <w:r w:rsidRPr="004A36D1">
        <w:rPr>
          <w:rFonts w:hint="cs"/>
          <w:rtl/>
        </w:rPr>
        <w:t>(סק</w:t>
      </w:r>
      <w:r w:rsidRPr="004A36D1">
        <w:rPr>
          <w:rtl/>
        </w:rPr>
        <w:t>מ</w:t>
      </w:r>
      <w:r w:rsidRPr="004A36D1">
        <w:rPr>
          <w:rFonts w:hint="cs"/>
          <w:rtl/>
        </w:rPr>
        <w:t>"</w:t>
      </w:r>
      <w:r w:rsidRPr="004A36D1">
        <w:rPr>
          <w:rtl/>
        </w:rPr>
        <w:t>ד</w:t>
      </w:r>
      <w:r w:rsidRPr="004A36D1">
        <w:rPr>
          <w:rFonts w:hint="cs"/>
          <w:rtl/>
        </w:rPr>
        <w:t xml:space="preserve">) </w:t>
      </w:r>
      <w:r>
        <w:rPr>
          <w:rFonts w:hint="cs"/>
          <w:rtl/>
        </w:rPr>
        <w:t>פסק</w:t>
      </w:r>
      <w:r w:rsidRPr="004A36D1">
        <w:rPr>
          <w:rFonts w:hint="cs"/>
          <w:rtl/>
        </w:rPr>
        <w:t xml:space="preserve"> להלכה, ד</w:t>
      </w:r>
      <w:r w:rsidRPr="004A36D1">
        <w:rPr>
          <w:rtl/>
        </w:rPr>
        <w:t>א</w:t>
      </w:r>
      <w:r w:rsidRPr="004A36D1">
        <w:rPr>
          <w:rFonts w:hint="cs"/>
          <w:rtl/>
        </w:rPr>
        <w:t>פי'</w:t>
      </w:r>
      <w:r w:rsidRPr="004A36D1">
        <w:rPr>
          <w:rtl/>
        </w:rPr>
        <w:t xml:space="preserve"> אם כבר נ</w:t>
      </w:r>
      <w:r w:rsidRPr="004A36D1">
        <w:rPr>
          <w:rFonts w:hint="cs"/>
          <w:rtl/>
        </w:rPr>
        <w:t>י</w:t>
      </w:r>
      <w:r w:rsidRPr="004A36D1">
        <w:rPr>
          <w:rtl/>
        </w:rPr>
        <w:t xml:space="preserve">גב ידיו יוכל לברך </w:t>
      </w:r>
      <w:r w:rsidRPr="004A36D1">
        <w:rPr>
          <w:rFonts w:hint="cs"/>
          <w:rtl/>
        </w:rPr>
        <w:t>אח"כ על הנטילה כמש"כ הרמ"א.</w:t>
      </w:r>
      <w:r w:rsidRPr="004A36D1">
        <w:rPr>
          <w:rtl/>
        </w:rPr>
        <w:t xml:space="preserve"> אבל אם כבר בירך המוציא שוב אינו מברך על </w:t>
      </w:r>
      <w:r w:rsidRPr="004A36D1">
        <w:rPr>
          <w:rFonts w:hint="cs"/>
          <w:rtl/>
        </w:rPr>
        <w:t>ה</w:t>
      </w:r>
      <w:r w:rsidRPr="004A36D1">
        <w:rPr>
          <w:rtl/>
        </w:rPr>
        <w:t>נטי</w:t>
      </w:r>
      <w:r w:rsidRPr="004A36D1">
        <w:rPr>
          <w:rFonts w:hint="cs"/>
          <w:rtl/>
        </w:rPr>
        <w:t>לה כדעת המהרש"ל</w:t>
      </w:r>
      <w:r w:rsidRPr="004A36D1">
        <w:rPr>
          <w:rtl/>
        </w:rPr>
        <w:t>.</w:t>
      </w:r>
      <w:r w:rsidRPr="004A36D1">
        <w:rPr>
          <w:rFonts w:hint="cs"/>
          <w:rtl/>
        </w:rPr>
        <w:t xml:space="preserve"> </w:t>
      </w:r>
    </w:p>
    <w:p w14:paraId="2242C79B" w14:textId="77777777" w:rsidR="004E3A96" w:rsidRPr="004A36D1" w:rsidRDefault="004E3A96" w:rsidP="00E60D97">
      <w:pPr>
        <w:pStyle w:val="a3"/>
        <w:rPr>
          <w:rFonts w:hint="cs"/>
          <w:rtl/>
        </w:rPr>
      </w:pPr>
      <w:r w:rsidRPr="004A36D1">
        <w:rPr>
          <w:rFonts w:hint="cs"/>
          <w:rtl/>
        </w:rPr>
        <w:t xml:space="preserve">אבל בביאור הלכה (שם ד"ה </w:t>
      </w:r>
      <w:r w:rsidRPr="004A36D1">
        <w:rPr>
          <w:rtl/>
        </w:rPr>
        <w:t>מברך אח"כ</w:t>
      </w:r>
      <w:r w:rsidRPr="004A36D1">
        <w:rPr>
          <w:rFonts w:hint="cs"/>
          <w:rtl/>
        </w:rPr>
        <w:t>)</w:t>
      </w:r>
      <w:r w:rsidRPr="004A36D1">
        <w:rPr>
          <w:rtl/>
        </w:rPr>
        <w:t xml:space="preserve"> </w:t>
      </w:r>
      <w:r w:rsidRPr="004A36D1">
        <w:rPr>
          <w:rFonts w:hint="cs"/>
          <w:rtl/>
        </w:rPr>
        <w:t>מוסיף חילוק שלא כתב במשנ"ב:</w:t>
      </w:r>
      <w:r w:rsidRPr="004A36D1">
        <w:rPr>
          <w:rtl/>
        </w:rPr>
        <w:t xml:space="preserve"> </w:t>
      </w:r>
      <w:r w:rsidRPr="004A36D1">
        <w:rPr>
          <w:rFonts w:hint="cs"/>
          <w:rtl/>
        </w:rPr>
        <w:t>"</w:t>
      </w:r>
      <w:r w:rsidRPr="004A36D1">
        <w:rPr>
          <w:rtl/>
        </w:rPr>
        <w:t>ונראה שאם שכח ובירך המוציא קודם הניגוב שיוכל לברך גם אח"כ</w:t>
      </w:r>
      <w:r w:rsidRPr="004A36D1">
        <w:rPr>
          <w:rFonts w:hint="cs"/>
          <w:rtl/>
        </w:rPr>
        <w:t>,</w:t>
      </w:r>
      <w:r w:rsidRPr="004A36D1">
        <w:rPr>
          <w:rtl/>
        </w:rPr>
        <w:t xml:space="preserve"> כיון שלא נגמר הנטילה לגמרי</w:t>
      </w:r>
      <w:r w:rsidRPr="004A36D1">
        <w:rPr>
          <w:rFonts w:hint="cs"/>
          <w:rtl/>
        </w:rPr>
        <w:t>,</w:t>
      </w:r>
      <w:r w:rsidRPr="004A36D1">
        <w:rPr>
          <w:rtl/>
        </w:rPr>
        <w:t xml:space="preserve"> דהאוכל בלא ניגוב כאלו אוכל לחם טמא</w:t>
      </w:r>
      <w:r w:rsidRPr="004A36D1">
        <w:rPr>
          <w:rFonts w:hint="cs"/>
          <w:rtl/>
        </w:rPr>
        <w:t>,</w:t>
      </w:r>
      <w:r w:rsidRPr="004A36D1">
        <w:rPr>
          <w:rtl/>
        </w:rPr>
        <w:t xml:space="preserve"> וכן מוכח לקמן בסימן קס"ז סל"ז</w:t>
      </w:r>
      <w:r w:rsidRPr="004A36D1">
        <w:rPr>
          <w:rFonts w:hint="cs"/>
          <w:rtl/>
        </w:rPr>
        <w:t>.</w:t>
      </w:r>
      <w:r w:rsidRPr="004A36D1">
        <w:rPr>
          <w:rtl/>
        </w:rPr>
        <w:t xml:space="preserve"> ואף דשם מיירי כששמע ברכת המוציא מאחר הלא קי"ל דשומע כעונה</w:t>
      </w:r>
      <w:r w:rsidRPr="004A36D1">
        <w:rPr>
          <w:rFonts w:hint="cs"/>
          <w:rtl/>
        </w:rPr>
        <w:t>".</w:t>
      </w:r>
      <w:r w:rsidRPr="004A36D1">
        <w:rPr>
          <w:rFonts w:ascii="Times New Roman" w:hAnsi="Times New Roman" w:cs="Times New Roman" w:hint="cs"/>
          <w:rtl/>
        </w:rPr>
        <w:t>‏</w:t>
      </w:r>
    </w:p>
    <w:p w14:paraId="76F04345" w14:textId="77777777" w:rsidR="004E3A96" w:rsidRPr="004A36D1" w:rsidRDefault="004E3A96" w:rsidP="00E60D97">
      <w:pPr>
        <w:pStyle w:val="a3"/>
        <w:rPr>
          <w:rFonts w:hint="cs"/>
          <w:rtl/>
        </w:rPr>
      </w:pPr>
      <w:r w:rsidRPr="004A36D1">
        <w:rPr>
          <w:rFonts w:hint="cs"/>
          <w:rtl/>
        </w:rPr>
        <w:t>והיינו שהמשנ"ב מחדש דגם לאחר ש</w:t>
      </w:r>
      <w:r w:rsidRPr="004A36D1">
        <w:rPr>
          <w:rtl/>
        </w:rPr>
        <w:t>בירך המוציא יכ</w:t>
      </w:r>
      <w:r w:rsidRPr="004A36D1">
        <w:rPr>
          <w:rFonts w:hint="cs"/>
          <w:rtl/>
        </w:rPr>
        <w:t>ו</w:t>
      </w:r>
      <w:r w:rsidRPr="004A36D1">
        <w:rPr>
          <w:rtl/>
        </w:rPr>
        <w:t xml:space="preserve">ל לברך </w:t>
      </w:r>
      <w:r w:rsidRPr="004A36D1">
        <w:rPr>
          <w:rFonts w:hint="cs"/>
          <w:rtl/>
        </w:rPr>
        <w:t xml:space="preserve">על נטילת ידים אם ברכת המוציא היתה </w:t>
      </w:r>
      <w:r w:rsidRPr="004A36D1">
        <w:rPr>
          <w:rtl/>
        </w:rPr>
        <w:t>קודם הניגוב</w:t>
      </w:r>
      <w:r w:rsidRPr="004A36D1">
        <w:rPr>
          <w:rFonts w:hint="cs"/>
          <w:rtl/>
        </w:rPr>
        <w:t xml:space="preserve"> (כהציור שבשאלתך). והא דמבואר במהרש"ל ש</w:t>
      </w:r>
      <w:r w:rsidRPr="004A36D1">
        <w:rPr>
          <w:rtl/>
        </w:rPr>
        <w:t>אם כבר בירך המוציא שוב אינו מברך על נט</w:t>
      </w:r>
      <w:r w:rsidRPr="004A36D1">
        <w:rPr>
          <w:rFonts w:hint="cs"/>
          <w:rtl/>
        </w:rPr>
        <w:t>ילת ידים, היינו כשלא בירך כלל על הנטילה ונזכר שלא בירך לאחר שניגב את ידיו וכבר בירך המוציא, דאז אינו מברך עוד.</w:t>
      </w:r>
    </w:p>
    <w:p w14:paraId="7A51B695" w14:textId="77777777" w:rsidR="004E3A96" w:rsidRPr="004A36D1" w:rsidRDefault="004E3A96" w:rsidP="00E60D97">
      <w:pPr>
        <w:pStyle w:val="a3"/>
        <w:rPr>
          <w:rFonts w:hint="cs"/>
          <w:rtl/>
        </w:rPr>
      </w:pPr>
      <w:r w:rsidRPr="004A36D1">
        <w:rPr>
          <w:rFonts w:hint="cs"/>
          <w:rtl/>
        </w:rPr>
        <w:t xml:space="preserve">והחילוק הוא, דבאופן שבירך המוציא לפני הניגוב, כיון שהניגוב הוא בכלל </w:t>
      </w:r>
      <w:r w:rsidRPr="004A36D1">
        <w:rPr>
          <w:rFonts w:hint="cs"/>
          <w:rtl/>
        </w:rPr>
        <w:lastRenderedPageBreak/>
        <w:t xml:space="preserve">הנטילה א"כ לא שייך לומר דע"י ברכת המוציא הוי כאילו נגמר הנטילה וכבר התחיל הסעודה, דגם לאחר שכבר בירך המוציא עדיין הוא באמצע הנטילה מכיון שעדיין לא ניגב </w:t>
      </w:r>
      <w:r>
        <w:rPr>
          <w:rFonts w:hint="cs"/>
          <w:rtl/>
        </w:rPr>
        <w:t xml:space="preserve">ידיו </w:t>
      </w:r>
      <w:r w:rsidRPr="004A36D1">
        <w:rPr>
          <w:rFonts w:hint="cs"/>
          <w:rtl/>
        </w:rPr>
        <w:t>ולכן שייך לברך על הנטילה</w:t>
      </w:r>
      <w:r>
        <w:rPr>
          <w:rFonts w:hint="cs"/>
          <w:rtl/>
        </w:rPr>
        <w:t>,</w:t>
      </w:r>
      <w:r w:rsidRPr="004A36D1">
        <w:rPr>
          <w:rFonts w:hint="cs"/>
          <w:rtl/>
        </w:rPr>
        <w:t xml:space="preserve"> וברכת המוציא אינו מונע אותו מלברך. משא"כ אם שכח לברך על הנטילה כלל ונזכר לאחר שכבר בירך המוציא על הלחם, א"כ עכשיו בשעה שנזכר שלא בירך על הנטילה כבר נגמר הנטילה והתחיל כבר הסעודה ולא שייך לברך עוד.</w:t>
      </w:r>
    </w:p>
    <w:p w14:paraId="2BD67089" w14:textId="77777777" w:rsidR="004E3A96" w:rsidRPr="004A36D1" w:rsidRDefault="004E3A96" w:rsidP="00E60D97">
      <w:pPr>
        <w:pStyle w:val="a3"/>
        <w:rPr>
          <w:rFonts w:hint="cs"/>
          <w:rtl/>
        </w:rPr>
      </w:pPr>
      <w:r w:rsidRPr="004A36D1">
        <w:rPr>
          <w:rFonts w:hint="cs"/>
          <w:rtl/>
        </w:rPr>
        <w:t>ולפי"ז בנידון שאלתך כיון שבירך בטעות ברכת המוציא במקום על נט"י, א"כ ע"כ הוי זה מיד לאחר הרחיצה וקודם הניגוב</w:t>
      </w:r>
      <w:r>
        <w:rPr>
          <w:rFonts w:hint="cs"/>
          <w:rtl/>
        </w:rPr>
        <w:t xml:space="preserve"> שאז הוא זמן אמירת ברכת על נט"י</w:t>
      </w:r>
      <w:r w:rsidRPr="004A36D1">
        <w:rPr>
          <w:rFonts w:hint="cs"/>
          <w:rtl/>
        </w:rPr>
        <w:t>, ולדעת המשנ"ב עדיין אפשר לברך אחר אכילת הלחם.</w:t>
      </w:r>
    </w:p>
    <w:p w14:paraId="5CA7FBBA" w14:textId="77777777" w:rsidR="004E3A96" w:rsidRPr="004A36D1" w:rsidRDefault="004E3A96" w:rsidP="00E60D97">
      <w:pPr>
        <w:pStyle w:val="a3"/>
        <w:rPr>
          <w:rFonts w:hint="cs"/>
          <w:rtl/>
        </w:rPr>
      </w:pPr>
      <w:r w:rsidRPr="004A36D1">
        <w:rPr>
          <w:rFonts w:hint="cs"/>
          <w:rtl/>
        </w:rPr>
        <w:t xml:space="preserve">אולם לענ"ד נראה דלדעת השו"ע הרב אין לברך עוד גם אם בירך המוציא קודם הניגוב. מכיון שהוא מביא </w:t>
      </w:r>
      <w:r>
        <w:rPr>
          <w:rFonts w:hint="cs"/>
          <w:rtl/>
        </w:rPr>
        <w:t>(</w:t>
      </w:r>
      <w:r w:rsidRPr="004A36D1">
        <w:rPr>
          <w:rFonts w:hint="cs"/>
          <w:rtl/>
        </w:rPr>
        <w:t>בסעי</w:t>
      </w:r>
      <w:r>
        <w:rPr>
          <w:rFonts w:hint="cs"/>
          <w:rtl/>
        </w:rPr>
        <w:t>ף</w:t>
      </w:r>
      <w:r w:rsidRPr="004A36D1">
        <w:rPr>
          <w:rFonts w:hint="cs"/>
          <w:rtl/>
        </w:rPr>
        <w:t xml:space="preserve"> טז</w:t>
      </w:r>
      <w:r>
        <w:rPr>
          <w:rFonts w:hint="cs"/>
          <w:rtl/>
        </w:rPr>
        <w:t>)</w:t>
      </w:r>
      <w:r w:rsidRPr="004A36D1">
        <w:rPr>
          <w:rFonts w:hint="cs"/>
          <w:rtl/>
        </w:rPr>
        <w:t xml:space="preserve"> בסתם דאם נזכר אחר שבירך המוציא שוב אינו מברך על נטילת ידים, ולא חילק כמו שחילק המשנ"ב, ע"כ דס"ל דבכל אופן אין לברך עוד.</w:t>
      </w:r>
    </w:p>
    <w:p w14:paraId="3371051C" w14:textId="77777777" w:rsidR="004E3A96" w:rsidRPr="004A36D1" w:rsidRDefault="004E3A96" w:rsidP="00E60D97">
      <w:pPr>
        <w:pStyle w:val="a3"/>
        <w:rPr>
          <w:rFonts w:hint="cs"/>
          <w:rtl/>
        </w:rPr>
      </w:pPr>
      <w:r w:rsidRPr="004A36D1">
        <w:rPr>
          <w:rFonts w:hint="cs"/>
          <w:rtl/>
        </w:rPr>
        <w:t xml:space="preserve">ובאמת דבר זה מוכרח לדעת </w:t>
      </w:r>
      <w:r>
        <w:rPr>
          <w:rFonts w:hint="cs"/>
          <w:rtl/>
        </w:rPr>
        <w:t xml:space="preserve">השו"ע </w:t>
      </w:r>
      <w:r w:rsidRPr="004A36D1">
        <w:rPr>
          <w:rFonts w:hint="cs"/>
          <w:rtl/>
        </w:rPr>
        <w:t>הרב</w:t>
      </w:r>
      <w:r>
        <w:rPr>
          <w:rFonts w:hint="cs"/>
          <w:rtl/>
        </w:rPr>
        <w:t>.</w:t>
      </w:r>
      <w:r w:rsidRPr="004A36D1">
        <w:rPr>
          <w:rFonts w:hint="cs"/>
          <w:rtl/>
        </w:rPr>
        <w:t xml:space="preserve"> דהנה בשו"ע </w:t>
      </w:r>
      <w:r w:rsidRPr="004A36D1">
        <w:rPr>
          <w:rtl/>
        </w:rPr>
        <w:t>(</w:t>
      </w:r>
      <w:r w:rsidRPr="004A36D1">
        <w:rPr>
          <w:rFonts w:hint="cs"/>
          <w:rtl/>
        </w:rPr>
        <w:t>סי"</w:t>
      </w:r>
      <w:r w:rsidRPr="004A36D1">
        <w:rPr>
          <w:rtl/>
        </w:rPr>
        <w:t xml:space="preserve">ב) </w:t>
      </w:r>
      <w:r w:rsidRPr="004A36D1">
        <w:rPr>
          <w:rFonts w:hint="cs"/>
          <w:rtl/>
        </w:rPr>
        <w:t>כתב המחבר "</w:t>
      </w:r>
      <w:r w:rsidRPr="004A36D1">
        <w:rPr>
          <w:rtl/>
        </w:rPr>
        <w:t>וינגבם היטב קודם שיבצע, שהאוכל בלי נגוב ידים כאילו אוכל לחם טמא</w:t>
      </w:r>
      <w:r w:rsidRPr="004A36D1">
        <w:rPr>
          <w:rFonts w:hint="cs"/>
          <w:rtl/>
        </w:rPr>
        <w:t xml:space="preserve">". ואח"כ כתב (בסעיף </w:t>
      </w:r>
      <w:r w:rsidRPr="004A36D1">
        <w:rPr>
          <w:rtl/>
        </w:rPr>
        <w:t xml:space="preserve">יג) </w:t>
      </w:r>
      <w:r w:rsidRPr="004A36D1">
        <w:rPr>
          <w:rFonts w:hint="cs"/>
          <w:rtl/>
        </w:rPr>
        <w:t>"</w:t>
      </w:r>
      <w:r w:rsidRPr="004A36D1">
        <w:rPr>
          <w:rtl/>
        </w:rPr>
        <w:t>המטביל ידיו, יכול לאכול בלא נגוב</w:t>
      </w:r>
      <w:r w:rsidRPr="004A36D1">
        <w:rPr>
          <w:rFonts w:hint="cs"/>
          <w:rtl/>
        </w:rPr>
        <w:t>.</w:t>
      </w:r>
      <w:r w:rsidRPr="004A36D1">
        <w:rPr>
          <w:rtl/>
        </w:rPr>
        <w:t xml:space="preserve"> וה"ה לנוטל ידיו בבת אחת ושופך עליהם רביעית מים בב"א</w:t>
      </w:r>
      <w:r w:rsidRPr="004A36D1">
        <w:rPr>
          <w:rFonts w:hint="cs"/>
          <w:rtl/>
        </w:rPr>
        <w:t>.</w:t>
      </w:r>
      <w:r w:rsidRPr="004A36D1">
        <w:rPr>
          <w:rtl/>
        </w:rPr>
        <w:t xml:space="preserve"> או שנטל ידו אחת ושפך עליה רביעית וכן שפך על חברתה</w:t>
      </w:r>
      <w:r w:rsidRPr="004A36D1">
        <w:rPr>
          <w:rFonts w:hint="cs"/>
          <w:rtl/>
        </w:rPr>
        <w:t>".</w:t>
      </w:r>
    </w:p>
    <w:p w14:paraId="11DDC44A" w14:textId="77777777" w:rsidR="004E3A96" w:rsidRPr="004A36D1" w:rsidRDefault="004E3A96" w:rsidP="00E60D97">
      <w:pPr>
        <w:pStyle w:val="a3"/>
        <w:rPr>
          <w:rFonts w:hint="cs"/>
          <w:rtl/>
        </w:rPr>
      </w:pPr>
      <w:r w:rsidRPr="004A36D1">
        <w:rPr>
          <w:rtl/>
        </w:rPr>
        <w:t>ו</w:t>
      </w:r>
      <w:r w:rsidRPr="004A36D1">
        <w:rPr>
          <w:rFonts w:hint="cs"/>
          <w:rtl/>
        </w:rPr>
        <w:t xml:space="preserve">מבאר </w:t>
      </w:r>
      <w:r>
        <w:rPr>
          <w:rFonts w:hint="cs"/>
          <w:rtl/>
        </w:rPr>
        <w:t xml:space="preserve">בשו"ע </w:t>
      </w:r>
      <w:r w:rsidRPr="004A36D1">
        <w:rPr>
          <w:rFonts w:hint="cs"/>
          <w:rtl/>
        </w:rPr>
        <w:t>הרב (סי"ז) דעת ה</w:t>
      </w:r>
      <w:r>
        <w:rPr>
          <w:rFonts w:hint="cs"/>
          <w:rtl/>
        </w:rPr>
        <w:t>מחבר ב</w:t>
      </w:r>
      <w:r w:rsidRPr="004A36D1">
        <w:rPr>
          <w:rFonts w:hint="cs"/>
          <w:rtl/>
        </w:rPr>
        <w:t>שו"ע</w:t>
      </w:r>
      <w:r>
        <w:rPr>
          <w:rFonts w:hint="cs"/>
          <w:rtl/>
        </w:rPr>
        <w:t>,</w:t>
      </w:r>
      <w:r w:rsidRPr="004A36D1">
        <w:rPr>
          <w:rFonts w:hint="cs"/>
          <w:rtl/>
        </w:rPr>
        <w:t xml:space="preserve"> </w:t>
      </w:r>
      <w:r w:rsidRPr="004A36D1">
        <w:rPr>
          <w:rtl/>
        </w:rPr>
        <w:t>ש</w:t>
      </w:r>
      <w:r w:rsidRPr="004A36D1">
        <w:rPr>
          <w:rFonts w:hint="cs"/>
          <w:rtl/>
        </w:rPr>
        <w:t>לכן הוי אכילת לחם בלא ניגוב כאילו אוכל לחם טמא, ד</w:t>
      </w:r>
      <w:r w:rsidRPr="004A36D1">
        <w:rPr>
          <w:rtl/>
        </w:rPr>
        <w:t>טומאה זו היא ממים הראשונים שנטמאו מהידים אם אין בהם רביעית</w:t>
      </w:r>
      <w:r w:rsidRPr="004A36D1">
        <w:rPr>
          <w:rFonts w:hint="cs"/>
          <w:rtl/>
        </w:rPr>
        <w:t>,</w:t>
      </w:r>
      <w:r w:rsidRPr="004A36D1">
        <w:rPr>
          <w:rtl/>
        </w:rPr>
        <w:t xml:space="preserve"> ואף שמים השניים מטהרין את הראשונים</w:t>
      </w:r>
      <w:r w:rsidRPr="004A36D1">
        <w:rPr>
          <w:rFonts w:hint="cs"/>
          <w:rtl/>
        </w:rPr>
        <w:t>,</w:t>
      </w:r>
      <w:r w:rsidRPr="004A36D1">
        <w:rPr>
          <w:rtl/>
        </w:rPr>
        <w:t xml:space="preserve"> מ"מ לכתחילה צריך להעביר את הראשונים לגמרי ע"י ניגוב ולא די שיתנגבו מאליהן</w:t>
      </w:r>
      <w:r w:rsidRPr="004A36D1">
        <w:rPr>
          <w:rFonts w:hint="cs"/>
          <w:rtl/>
        </w:rPr>
        <w:t>,</w:t>
      </w:r>
      <w:r w:rsidRPr="004A36D1">
        <w:rPr>
          <w:rtl/>
        </w:rPr>
        <w:t xml:space="preserve"> אלא צריך לשפשפן במפה או בשאר דברים שהשפשוף מטהרן ביותר</w:t>
      </w:r>
      <w:r w:rsidRPr="004A36D1">
        <w:rPr>
          <w:rFonts w:hint="cs"/>
          <w:rtl/>
        </w:rPr>
        <w:t>.</w:t>
      </w:r>
      <w:r w:rsidRPr="004A36D1">
        <w:rPr>
          <w:rtl/>
        </w:rPr>
        <w:t xml:space="preserve"> </w:t>
      </w:r>
      <w:r w:rsidRPr="004A36D1">
        <w:rPr>
          <w:rFonts w:hint="cs"/>
          <w:rtl/>
        </w:rPr>
        <w:t xml:space="preserve">ולכן </w:t>
      </w:r>
      <w:r w:rsidRPr="004A36D1">
        <w:rPr>
          <w:rtl/>
        </w:rPr>
        <w:t>המטביל ידיו</w:t>
      </w:r>
      <w:r w:rsidRPr="004A36D1">
        <w:rPr>
          <w:rFonts w:hint="cs"/>
          <w:rtl/>
        </w:rPr>
        <w:t xml:space="preserve"> במקוה אין צריך ניגוב כמבואר בתוספתא (ידים פ"ב ה"א), כיון ש</w:t>
      </w:r>
      <w:r w:rsidRPr="004A36D1">
        <w:rPr>
          <w:rtl/>
        </w:rPr>
        <w:t>אין כאן מים טמאים כלל</w:t>
      </w:r>
      <w:r w:rsidRPr="004A36D1">
        <w:rPr>
          <w:rFonts w:hint="cs"/>
          <w:rtl/>
        </w:rPr>
        <w:t>. ומזה למד השו"ע דין נטל ידיו ברביעית מדין המטביל ידיו,</w:t>
      </w:r>
      <w:r w:rsidRPr="004A36D1">
        <w:rPr>
          <w:rtl/>
        </w:rPr>
        <w:t xml:space="preserve"> </w:t>
      </w:r>
      <w:r w:rsidRPr="004A36D1">
        <w:rPr>
          <w:rFonts w:hint="cs"/>
          <w:rtl/>
        </w:rPr>
        <w:t xml:space="preserve">דכמו </w:t>
      </w:r>
      <w:r w:rsidRPr="004A36D1">
        <w:rPr>
          <w:rtl/>
        </w:rPr>
        <w:t>ב</w:t>
      </w:r>
      <w:r w:rsidRPr="004A36D1">
        <w:rPr>
          <w:rFonts w:hint="cs"/>
          <w:rtl/>
        </w:rPr>
        <w:t>ה</w:t>
      </w:r>
      <w:r w:rsidRPr="004A36D1">
        <w:rPr>
          <w:rtl/>
        </w:rPr>
        <w:t xml:space="preserve">מטביל </w:t>
      </w:r>
      <w:r w:rsidRPr="004A36D1">
        <w:rPr>
          <w:rFonts w:hint="cs"/>
          <w:rtl/>
        </w:rPr>
        <w:t>ידיו אין צריך ניגוב,</w:t>
      </w:r>
      <w:r w:rsidRPr="004A36D1">
        <w:rPr>
          <w:rtl/>
        </w:rPr>
        <w:t xml:space="preserve"> ה"ה בשופך רביעית בבת אחת על שתי ידיו או על כל יד ויד בפני עצמו</w:t>
      </w:r>
      <w:r w:rsidRPr="004A36D1">
        <w:rPr>
          <w:rFonts w:hint="cs"/>
          <w:rtl/>
        </w:rPr>
        <w:t>,</w:t>
      </w:r>
      <w:r w:rsidRPr="004A36D1">
        <w:rPr>
          <w:rtl/>
        </w:rPr>
        <w:t xml:space="preserve"> ד</w:t>
      </w:r>
      <w:r w:rsidRPr="004A36D1">
        <w:rPr>
          <w:rFonts w:hint="cs"/>
          <w:rtl/>
        </w:rPr>
        <w:t xml:space="preserve">הדין הוא </w:t>
      </w:r>
      <w:r w:rsidRPr="004A36D1">
        <w:rPr>
          <w:rtl/>
        </w:rPr>
        <w:t xml:space="preserve">נמי </w:t>
      </w:r>
      <w:r w:rsidRPr="004A36D1">
        <w:rPr>
          <w:rFonts w:hint="cs"/>
          <w:rtl/>
        </w:rPr>
        <w:t>ש</w:t>
      </w:r>
      <w:r w:rsidRPr="004A36D1">
        <w:rPr>
          <w:rtl/>
        </w:rPr>
        <w:t>המים טהורים כ</w:t>
      </w:r>
      <w:r w:rsidRPr="004A36D1">
        <w:rPr>
          <w:rFonts w:hint="cs"/>
          <w:rtl/>
        </w:rPr>
        <w:t xml:space="preserve">מבואר </w:t>
      </w:r>
      <w:r w:rsidRPr="004A36D1">
        <w:rPr>
          <w:rtl/>
        </w:rPr>
        <w:t>בסי' קסב</w:t>
      </w:r>
      <w:r w:rsidRPr="004A36D1">
        <w:rPr>
          <w:rFonts w:hint="cs"/>
          <w:rtl/>
        </w:rPr>
        <w:t>,</w:t>
      </w:r>
      <w:r w:rsidRPr="004A36D1">
        <w:rPr>
          <w:rtl/>
        </w:rPr>
        <w:t xml:space="preserve"> </w:t>
      </w:r>
      <w:r w:rsidRPr="004A36D1">
        <w:rPr>
          <w:rFonts w:hint="cs"/>
          <w:rtl/>
        </w:rPr>
        <w:t xml:space="preserve">א"כ גם באופן זה </w:t>
      </w:r>
      <w:r w:rsidRPr="004A36D1">
        <w:rPr>
          <w:rtl/>
        </w:rPr>
        <w:t>אין צריך ניגוב.</w:t>
      </w:r>
    </w:p>
    <w:p w14:paraId="03BFF871" w14:textId="77777777" w:rsidR="004E3A96" w:rsidRPr="004A36D1" w:rsidRDefault="004E3A96" w:rsidP="00E60D97">
      <w:pPr>
        <w:pStyle w:val="a3"/>
        <w:rPr>
          <w:rFonts w:hint="cs"/>
          <w:rtl/>
        </w:rPr>
      </w:pPr>
      <w:r w:rsidRPr="004A36D1">
        <w:rPr>
          <w:rFonts w:hint="cs"/>
          <w:rtl/>
        </w:rPr>
        <w:t>א</w:t>
      </w:r>
      <w:r w:rsidRPr="004A36D1">
        <w:rPr>
          <w:rtl/>
        </w:rPr>
        <w:t>ו</w:t>
      </w:r>
      <w:r w:rsidRPr="004A36D1">
        <w:rPr>
          <w:rFonts w:hint="cs"/>
          <w:rtl/>
        </w:rPr>
        <w:t>לם המה</w:t>
      </w:r>
      <w:r w:rsidRPr="004A36D1">
        <w:rPr>
          <w:rtl/>
        </w:rPr>
        <w:t xml:space="preserve">רש"ל </w:t>
      </w:r>
      <w:r w:rsidRPr="004A36D1">
        <w:rPr>
          <w:rFonts w:hint="cs"/>
          <w:rtl/>
        </w:rPr>
        <w:t xml:space="preserve">(ביש"ש שם) </w:t>
      </w:r>
      <w:r w:rsidRPr="004A36D1">
        <w:rPr>
          <w:rtl/>
        </w:rPr>
        <w:t xml:space="preserve">חולק על זה </w:t>
      </w:r>
      <w:r w:rsidRPr="004A36D1">
        <w:rPr>
          <w:rFonts w:hint="cs"/>
          <w:rtl/>
        </w:rPr>
        <w:t>ו</w:t>
      </w:r>
      <w:r w:rsidRPr="004A36D1">
        <w:rPr>
          <w:rtl/>
        </w:rPr>
        <w:t>ס"ל דעיקר הניגוב</w:t>
      </w:r>
      <w:r w:rsidRPr="004A36D1">
        <w:rPr>
          <w:rFonts w:hint="cs"/>
          <w:rtl/>
        </w:rPr>
        <w:t xml:space="preserve"> </w:t>
      </w:r>
      <w:r w:rsidRPr="004A36D1">
        <w:rPr>
          <w:rtl/>
        </w:rPr>
        <w:t>תקנו משום מיאוס</w:t>
      </w:r>
      <w:r w:rsidRPr="004A36D1">
        <w:rPr>
          <w:rFonts w:hint="cs"/>
          <w:rtl/>
        </w:rPr>
        <w:t xml:space="preserve">, </w:t>
      </w:r>
      <w:r w:rsidRPr="004A36D1">
        <w:rPr>
          <w:rtl/>
        </w:rPr>
        <w:t>שדבר מיאוס קרוי טמא</w:t>
      </w:r>
      <w:r w:rsidRPr="004A36D1">
        <w:rPr>
          <w:rFonts w:hint="cs"/>
          <w:rtl/>
        </w:rPr>
        <w:t>,</w:t>
      </w:r>
      <w:r w:rsidRPr="004A36D1">
        <w:rPr>
          <w:rtl/>
        </w:rPr>
        <w:t xml:space="preserve"> </w:t>
      </w:r>
      <w:r w:rsidRPr="004A36D1">
        <w:rPr>
          <w:rFonts w:hint="cs"/>
          <w:rtl/>
        </w:rPr>
        <w:t xml:space="preserve">וזהו כוונת </w:t>
      </w:r>
      <w:r w:rsidRPr="004A36D1">
        <w:rPr>
          <w:rtl/>
        </w:rPr>
        <w:t xml:space="preserve">הכתוב </w:t>
      </w:r>
      <w:r w:rsidRPr="004A36D1">
        <w:rPr>
          <w:rFonts w:hint="cs"/>
          <w:rtl/>
        </w:rPr>
        <w:t>(יחזקאל ד, יג) '</w:t>
      </w:r>
      <w:r w:rsidRPr="004A36D1">
        <w:rPr>
          <w:rtl/>
        </w:rPr>
        <w:t xml:space="preserve">ככה יאכלו בני ישראל את </w:t>
      </w:r>
      <w:r w:rsidRPr="004A36D1">
        <w:rPr>
          <w:bCs/>
          <w:rtl/>
        </w:rPr>
        <w:t>לחמם טמא</w:t>
      </w:r>
      <w:r w:rsidRPr="004A36D1">
        <w:rPr>
          <w:rtl/>
        </w:rPr>
        <w:t xml:space="preserve"> בגוים</w:t>
      </w:r>
      <w:r w:rsidRPr="004A36D1">
        <w:rPr>
          <w:rFonts w:hint="cs"/>
          <w:rtl/>
        </w:rPr>
        <w:t>'.</w:t>
      </w:r>
      <w:r w:rsidRPr="004A36D1">
        <w:rPr>
          <w:rtl/>
        </w:rPr>
        <w:t xml:space="preserve"> ו</w:t>
      </w:r>
      <w:r w:rsidRPr="004A36D1">
        <w:rPr>
          <w:rFonts w:hint="cs"/>
          <w:rtl/>
        </w:rPr>
        <w:t xml:space="preserve">רק </w:t>
      </w:r>
      <w:r w:rsidRPr="004A36D1">
        <w:rPr>
          <w:rtl/>
        </w:rPr>
        <w:t xml:space="preserve">במטביל </w:t>
      </w:r>
      <w:r w:rsidRPr="004A36D1">
        <w:rPr>
          <w:rFonts w:hint="cs"/>
          <w:rtl/>
        </w:rPr>
        <w:t xml:space="preserve">ידים הקילו שא"צ ניגוב </w:t>
      </w:r>
      <w:r w:rsidRPr="004A36D1">
        <w:rPr>
          <w:rtl/>
        </w:rPr>
        <w:t>לפי שלא חשו חכמים לתקן ניגוב לטהר הידים ממאיסותן אלא כשמטהרן בטהרה שתקנו חכמים שהיא נטילה בכלי</w:t>
      </w:r>
      <w:r w:rsidRPr="004A36D1">
        <w:rPr>
          <w:rFonts w:hint="cs"/>
          <w:rtl/>
        </w:rPr>
        <w:t>.</w:t>
      </w:r>
      <w:r w:rsidRPr="004A36D1">
        <w:rPr>
          <w:rtl/>
        </w:rPr>
        <w:t xml:space="preserve"> אבל כשמטהרן בטבילה שהיא כעין טהרה של תורה שהיא טבילה לא חשו לתקן בה כלום</w:t>
      </w:r>
      <w:r w:rsidRPr="004A36D1">
        <w:rPr>
          <w:rFonts w:hint="cs"/>
          <w:rtl/>
        </w:rPr>
        <w:t>.</w:t>
      </w:r>
      <w:r w:rsidRPr="004A36D1">
        <w:rPr>
          <w:rtl/>
        </w:rPr>
        <w:t xml:space="preserve"> </w:t>
      </w:r>
    </w:p>
    <w:p w14:paraId="76AACB4F" w14:textId="77777777" w:rsidR="004E3A96" w:rsidRPr="004A36D1" w:rsidRDefault="004E3A96" w:rsidP="00E60D97">
      <w:pPr>
        <w:pStyle w:val="a3"/>
        <w:rPr>
          <w:rFonts w:hint="cs"/>
          <w:rtl/>
        </w:rPr>
      </w:pPr>
      <w:r w:rsidRPr="004A36D1">
        <w:rPr>
          <w:rFonts w:hint="cs"/>
          <w:rtl/>
        </w:rPr>
        <w:lastRenderedPageBreak/>
        <w:t xml:space="preserve">ולפי"ז יוצא, דלדעת השו"ע אם נטל ידים עם רביעית מים אין צריך ניגוב כלל, ואז ניגוב אינו בכלל הנטילה, א"כ אם בירך ברכת המוציא לאחר הנטילה אפי' קודם הניגוב אי אפשר לברך עוד, שהרי כבר גמר הנטילה מיד לאחר </w:t>
      </w:r>
      <w:r>
        <w:rPr>
          <w:rFonts w:hint="cs"/>
          <w:rtl/>
        </w:rPr>
        <w:t>ש</w:t>
      </w:r>
      <w:r w:rsidRPr="004A36D1">
        <w:rPr>
          <w:rFonts w:hint="cs"/>
          <w:rtl/>
        </w:rPr>
        <w:t>נטל</w:t>
      </w:r>
      <w:r>
        <w:rPr>
          <w:rFonts w:hint="cs"/>
          <w:rtl/>
        </w:rPr>
        <w:t xml:space="preserve"> ידיו</w:t>
      </w:r>
      <w:r w:rsidRPr="004A36D1">
        <w:rPr>
          <w:rFonts w:hint="cs"/>
          <w:rtl/>
        </w:rPr>
        <w:t>, ובשעה שבירך המוציא כבר התחיל הסעודה ואינו יכול לברך עוד.</w:t>
      </w:r>
    </w:p>
    <w:p w14:paraId="114681C0" w14:textId="77777777" w:rsidR="004E3A96" w:rsidRPr="004A36D1" w:rsidRDefault="004E3A96" w:rsidP="00E60D97">
      <w:pPr>
        <w:pStyle w:val="a3"/>
        <w:rPr>
          <w:rFonts w:hint="cs"/>
          <w:rtl/>
        </w:rPr>
      </w:pPr>
      <w:r w:rsidRPr="004A36D1">
        <w:rPr>
          <w:rFonts w:hint="cs"/>
          <w:rtl/>
        </w:rPr>
        <w:t xml:space="preserve">משא"כ לדעת המהרש"ל שניגוב הוא משום מיאוס, ורק במטביל א"צ ניגוב אבל בנוטל ע"י רביעית צריך ניגוב, שפיר יכולים לברך גם לאחר ברכת המוציא אם הוא בירך זאת קודם הניגוב, מכיון שעדיין לא </w:t>
      </w:r>
      <w:r>
        <w:rPr>
          <w:rFonts w:hint="cs"/>
          <w:rtl/>
        </w:rPr>
        <w:t>נ</w:t>
      </w:r>
      <w:r w:rsidRPr="004A36D1">
        <w:rPr>
          <w:rFonts w:hint="cs"/>
          <w:rtl/>
        </w:rPr>
        <w:t>גמר הנטילה. והביאור הלכה שכתב שיכולים לברך הולך בשיטת המהרש"ל, וכמו שמבואר במשנ"ב (סקמ"ו) שלאחר שמביא שיטת המהרש"ל הוא כותב "וכדבריו כתב גם הב"ח בסימן קסה, וכן הסכימו שאר האחרונים".</w:t>
      </w:r>
    </w:p>
    <w:p w14:paraId="58EC5387" w14:textId="77777777" w:rsidR="004E3A96" w:rsidRPr="004A36D1" w:rsidRDefault="004E3A96" w:rsidP="00E60D97">
      <w:pPr>
        <w:pStyle w:val="a3"/>
      </w:pPr>
      <w:r w:rsidRPr="004A36D1">
        <w:rPr>
          <w:rFonts w:hint="cs"/>
          <w:rtl/>
        </w:rPr>
        <w:t>משא"כ בשו"ע הרב לאחר שמביא את המחלוקת בין השו"ע והמהרש"ל הוא מסיים "</w:t>
      </w:r>
      <w:r w:rsidRPr="004A36D1">
        <w:rPr>
          <w:rtl/>
        </w:rPr>
        <w:t>ויש להחמיר כדבריהם</w:t>
      </w:r>
      <w:r w:rsidRPr="004A36D1">
        <w:rPr>
          <w:rFonts w:hint="cs"/>
          <w:rtl/>
        </w:rPr>
        <w:t xml:space="preserve">". והיינו דהוא פוסק מעיקר הדין כהשו"ע דבנוטל ע"י רביעית א"צ ניגוב, ורק </w:t>
      </w:r>
      <w:r w:rsidRPr="00230807">
        <w:rPr>
          <w:rFonts w:hint="cs"/>
          <w:bCs/>
          <w:rtl/>
        </w:rPr>
        <w:t>"יש להחמיר"</w:t>
      </w:r>
      <w:r w:rsidRPr="004A36D1">
        <w:rPr>
          <w:rFonts w:hint="cs"/>
          <w:rtl/>
        </w:rPr>
        <w:t xml:space="preserve"> כדעת המהרש"ל שלא יאכל עד שינגב</w:t>
      </w:r>
      <w:r>
        <w:rPr>
          <w:rFonts w:hint="cs"/>
          <w:rtl/>
        </w:rPr>
        <w:t>.</w:t>
      </w:r>
      <w:r w:rsidRPr="004A36D1">
        <w:rPr>
          <w:rFonts w:hint="cs"/>
          <w:rtl/>
        </w:rPr>
        <w:t xml:space="preserve"> א"כ אם בירך המוציא לאחר שנטל ידיו עם רביעית מים, אינו יכול לברך עוד ברכת על נטילת ידים, שהרי הוא כבר גמר הנטילה בשעה שנטל עם רביעית וכבר התחיל הסעודה. ולכן סתם בשו"ע הרב דלאחר שכבר בירך המוציא אין לברך עוד על נטילת ידים</w:t>
      </w:r>
      <w:r>
        <w:rPr>
          <w:rFonts w:hint="cs"/>
          <w:rtl/>
        </w:rPr>
        <w:t>, והיינו בכל אופן</w:t>
      </w:r>
      <w:r w:rsidRPr="004A36D1">
        <w:rPr>
          <w:rFonts w:hint="cs"/>
          <w:rtl/>
        </w:rPr>
        <w:t xml:space="preserve">. </w:t>
      </w:r>
    </w:p>
    <w:p w14:paraId="7D4D4565" w14:textId="126BFBB2" w:rsidR="004E3A96" w:rsidRDefault="004E3A96" w:rsidP="00E60D97">
      <w:pPr>
        <w:pStyle w:val="a3"/>
        <w:rPr>
          <w:rtl/>
        </w:rPr>
      </w:pPr>
      <w:r w:rsidRPr="004A36D1">
        <w:rPr>
          <w:rFonts w:hint="cs"/>
          <w:rtl/>
        </w:rPr>
        <w:t>ולכן נראה להלכה למעשה דלדידין שנוטלין כל יד עם רביעית מים, אם טעה ובירך ברכת המוציא במקום על נטילת ידים, אפי' אם בירך המוציא קודם הניגוב, אין לברך עוד על הנטילה. והנלע"ד כתבתי.</w:t>
      </w:r>
    </w:p>
    <w:p w14:paraId="186C2E5A" w14:textId="5309BEF2" w:rsidR="004E3A96" w:rsidRDefault="0072178A" w:rsidP="008D2550">
      <w:pPr>
        <w:pStyle w:val="M"/>
        <w:rPr>
          <w:rFonts w:hint="cs"/>
          <w:rtl/>
        </w:rPr>
      </w:pPr>
      <w:r>
        <w:rPr>
          <w:noProof/>
        </w:rPr>
        <w:drawing>
          <wp:inline distT="0" distB="0" distL="0" distR="0" wp14:anchorId="25B3ADF7" wp14:editId="79259F43">
            <wp:extent cx="875763" cy="2340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F6E47BF" w14:textId="3423494D" w:rsidR="004E3A96" w:rsidRDefault="004E3A96" w:rsidP="004E3A96">
      <w:pPr>
        <w:pStyle w:val="a0"/>
        <w:bidi w:val="0"/>
        <w:rPr>
          <w:rFonts w:cs="Arial"/>
          <w:rtl/>
        </w:rPr>
      </w:pPr>
      <w:bookmarkStart w:id="135" w:name="_Hlk79773854"/>
      <w:bookmarkStart w:id="136" w:name="_Toc81540417"/>
      <w:r>
        <w:rPr>
          <w:rFonts w:hint="cs"/>
          <w:rtl/>
        </w:rPr>
        <w:t xml:space="preserve">נפילת אפים </w:t>
      </w:r>
      <w:bookmarkEnd w:id="135"/>
      <w:r>
        <w:rPr>
          <w:rFonts w:hint="cs"/>
          <w:rtl/>
        </w:rPr>
        <w:t>במקום שאין ספר תורה</w:t>
      </w:r>
      <w:bookmarkEnd w:id="136"/>
    </w:p>
    <w:p w14:paraId="44C3735B" w14:textId="77777777" w:rsidR="004E3A96" w:rsidRPr="00511CFF" w:rsidRDefault="004E3A96" w:rsidP="0046124A">
      <w:pPr>
        <w:pStyle w:val="a"/>
        <w:rPr>
          <w:rtl/>
        </w:rPr>
      </w:pPr>
      <w:bookmarkStart w:id="137" w:name="_Toc81540418"/>
      <w:r w:rsidRPr="00511CFF">
        <w:rPr>
          <w:rFonts w:hint="cs"/>
          <w:rtl/>
        </w:rPr>
        <w:t>הרב יעקב הלוי הורוביץ</w:t>
      </w:r>
      <w:bookmarkEnd w:id="137"/>
    </w:p>
    <w:p w14:paraId="192D4566" w14:textId="77777777" w:rsidR="004E3A96" w:rsidRDefault="004E3A96" w:rsidP="004E3A96">
      <w:pPr>
        <w:pStyle w:val="a1"/>
        <w:rPr>
          <w:rtl/>
        </w:rPr>
      </w:pPr>
      <w:r w:rsidRPr="00511CFF">
        <w:rPr>
          <w:rFonts w:hint="cs"/>
          <w:rtl/>
        </w:rPr>
        <w:t>ראשון לציון</w:t>
      </w:r>
    </w:p>
    <w:p w14:paraId="78CC1DA3" w14:textId="77777777" w:rsidR="004E3A96" w:rsidRDefault="004E3A96" w:rsidP="00E60D97">
      <w:pPr>
        <w:pStyle w:val="a3"/>
        <w:rPr>
          <w:rtl/>
        </w:rPr>
      </w:pPr>
      <w:r>
        <w:rPr>
          <w:rFonts w:hint="cs"/>
          <w:rtl/>
        </w:rPr>
        <w:t>בהערות ו</w:t>
      </w:r>
      <w:r w:rsidRPr="003D6B2C">
        <w:rPr>
          <w:rFonts w:hint="cs"/>
          <w:rtl/>
        </w:rPr>
        <w:t xml:space="preserve">ביאורים </w:t>
      </w:r>
      <w:r>
        <w:rPr>
          <w:rFonts w:hint="cs"/>
          <w:rtl/>
        </w:rPr>
        <w:t>(</w:t>
      </w:r>
      <w:r w:rsidRPr="003D6B2C">
        <w:rPr>
          <w:rFonts w:hint="cs"/>
          <w:rtl/>
        </w:rPr>
        <w:t>גל' 1201 ע' 56</w:t>
      </w:r>
      <w:r>
        <w:rPr>
          <w:rFonts w:hint="cs"/>
          <w:rtl/>
        </w:rPr>
        <w:t>)</w:t>
      </w:r>
      <w:r w:rsidRPr="003D6B2C">
        <w:rPr>
          <w:rFonts w:hint="cs"/>
          <w:rtl/>
        </w:rPr>
        <w:t xml:space="preserve"> </w:t>
      </w:r>
      <w:r>
        <w:rPr>
          <w:rFonts w:hint="cs"/>
          <w:rtl/>
        </w:rPr>
        <w:t>שקו"ט</w:t>
      </w:r>
      <w:r w:rsidRPr="003D6B2C">
        <w:rPr>
          <w:rFonts w:hint="cs"/>
          <w:rtl/>
        </w:rPr>
        <w:t xml:space="preserve"> הרב ברוך שי' אבערלאנדער </w:t>
      </w:r>
      <w:r w:rsidRPr="003D6B2C">
        <w:rPr>
          <w:rtl/>
        </w:rPr>
        <w:t xml:space="preserve">בדבר הנהגת </w:t>
      </w:r>
      <w:r w:rsidRPr="003D6B2C">
        <w:rPr>
          <w:rFonts w:hint="cs"/>
          <w:rtl/>
        </w:rPr>
        <w:t>הרבי בנפילת אפים</w:t>
      </w:r>
      <w:r w:rsidRPr="003D6B2C">
        <w:rPr>
          <w:rFonts w:hint="cs"/>
          <w:bCs/>
          <w:rtl/>
        </w:rPr>
        <w:t xml:space="preserve"> </w:t>
      </w:r>
      <w:r>
        <w:rPr>
          <w:rFonts w:hint="cs"/>
          <w:rtl/>
        </w:rPr>
        <w:t xml:space="preserve">במקום שאין ס"ת - </w:t>
      </w:r>
    </w:p>
    <w:p w14:paraId="4999F046" w14:textId="77777777" w:rsidR="004E3A96" w:rsidRDefault="004E3A96" w:rsidP="00E60D97">
      <w:pPr>
        <w:pStyle w:val="a3"/>
        <w:rPr>
          <w:rtl/>
        </w:rPr>
      </w:pPr>
      <w:r>
        <w:rPr>
          <w:rFonts w:hint="cs"/>
          <w:rtl/>
        </w:rPr>
        <w:t>ע"פ מה שכתב הרוקח (סי' שכד), [והובא בב"י על הטור (או"ח סי' קלא, ד"ה כתב עוד), בהגהת הרמ"א על השו"ע (שם ס"ב) ובשו"ע אדה"ז (שם ס"ג)] "שאין נופלים אפים אלא במקום שיש שם ספר תורה ובמקום שאין ס"ת נוהגין לומר תחינה בלא כיסוי פנים" (לשון אדה"ז שם).</w:t>
      </w:r>
    </w:p>
    <w:p w14:paraId="31A38339" w14:textId="77777777" w:rsidR="004E3A96" w:rsidRPr="00D84098" w:rsidRDefault="004E3A96" w:rsidP="00E60D97">
      <w:pPr>
        <w:pStyle w:val="a3"/>
        <w:rPr>
          <w:rtl/>
        </w:rPr>
      </w:pPr>
      <w:r>
        <w:rPr>
          <w:rFonts w:hint="cs"/>
          <w:rtl/>
        </w:rPr>
        <w:t>והביא (מ</w:t>
      </w:r>
      <w:r w:rsidRPr="00CF32AE">
        <w:rPr>
          <w:rtl/>
        </w:rPr>
        <w:t>התקשרות</w:t>
      </w:r>
      <w:r>
        <w:rPr>
          <w:rFonts w:hint="cs"/>
          <w:rtl/>
        </w:rPr>
        <w:t xml:space="preserve"> </w:t>
      </w:r>
      <w:r w:rsidRPr="00CF32AE">
        <w:rPr>
          <w:rtl/>
        </w:rPr>
        <w:t xml:space="preserve">גליון קסד </w:t>
      </w:r>
      <w:r>
        <w:rPr>
          <w:rFonts w:hint="cs"/>
          <w:rtl/>
        </w:rPr>
        <w:t xml:space="preserve">ע' </w:t>
      </w:r>
      <w:r w:rsidRPr="00CF32AE">
        <w:rPr>
          <w:rtl/>
        </w:rPr>
        <w:t>15-16)</w:t>
      </w:r>
      <w:r>
        <w:rPr>
          <w:rFonts w:hint="cs"/>
          <w:rtl/>
        </w:rPr>
        <w:t xml:space="preserve"> סיפור בשם הרי"ל </w:t>
      </w:r>
      <w:r w:rsidRPr="00D84098">
        <w:rPr>
          <w:rtl/>
        </w:rPr>
        <w:t>גרונר</w:t>
      </w:r>
      <w:r>
        <w:rPr>
          <w:rFonts w:hint="cs"/>
          <w:rtl/>
        </w:rPr>
        <w:t xml:space="preserve"> - מה</w:t>
      </w:r>
      <w:r w:rsidRPr="00D84098">
        <w:rPr>
          <w:rtl/>
        </w:rPr>
        <w:t>שנים</w:t>
      </w:r>
      <w:r>
        <w:rPr>
          <w:rFonts w:hint="cs"/>
          <w:rtl/>
        </w:rPr>
        <w:t xml:space="preserve"> </w:t>
      </w:r>
      <w:r>
        <w:rPr>
          <w:rFonts w:hint="cs"/>
          <w:rtl/>
        </w:rPr>
        <w:lastRenderedPageBreak/>
        <w:t>שבהם</w:t>
      </w:r>
      <w:r w:rsidRPr="00D84098">
        <w:rPr>
          <w:rtl/>
        </w:rPr>
        <w:t xml:space="preserve"> השתדל</w:t>
      </w:r>
      <w:r>
        <w:rPr>
          <w:rFonts w:hint="cs"/>
          <w:rtl/>
        </w:rPr>
        <w:t xml:space="preserve"> הרבי</w:t>
      </w:r>
      <w:r w:rsidRPr="00D84098">
        <w:rPr>
          <w:rtl/>
        </w:rPr>
        <w:t xml:space="preserve"> להתפלל</w:t>
      </w:r>
      <w:r>
        <w:rPr>
          <w:rFonts w:hint="cs"/>
          <w:rtl/>
        </w:rPr>
        <w:t xml:space="preserve"> </w:t>
      </w:r>
      <w:r w:rsidRPr="00D84098">
        <w:rPr>
          <w:rtl/>
        </w:rPr>
        <w:t>מנחה לפני השקיעה</w:t>
      </w:r>
      <w:r>
        <w:rPr>
          <w:rFonts w:hint="cs"/>
          <w:rtl/>
        </w:rPr>
        <w:t xml:space="preserve"> -</w:t>
      </w:r>
      <w:r w:rsidRPr="00D84098">
        <w:rPr>
          <w:rtl/>
        </w:rPr>
        <w:t xml:space="preserve"> שפעם אחת בחזרתו מן האהל</w:t>
      </w:r>
      <w:r>
        <w:rPr>
          <w:rFonts w:hint="cs"/>
          <w:rtl/>
        </w:rPr>
        <w:t>,</w:t>
      </w:r>
      <w:r w:rsidRPr="00D84098">
        <w:rPr>
          <w:rtl/>
        </w:rPr>
        <w:t xml:space="preserve"> באמצע הדרך ראה שהשקיעה מתקרבת</w:t>
      </w:r>
      <w:r>
        <w:rPr>
          <w:rFonts w:hint="cs"/>
          <w:rtl/>
        </w:rPr>
        <w:t xml:space="preserve"> </w:t>
      </w:r>
      <w:r w:rsidRPr="00D84098">
        <w:rPr>
          <w:rtl/>
        </w:rPr>
        <w:t>וביקש לעצור ולהתפלל באיזה מקום. נכנסו ל</w:t>
      </w:r>
      <w:bookmarkStart w:id="138" w:name="_Hlk79752132"/>
      <w:r w:rsidRPr="00D84098">
        <w:rPr>
          <w:rtl/>
        </w:rPr>
        <w:t xml:space="preserve">בית הדפוס </w:t>
      </w:r>
      <w:r>
        <w:rPr>
          <w:rFonts w:hint="cs"/>
          <w:rtl/>
        </w:rPr>
        <w:t>"</w:t>
      </w:r>
      <w:r w:rsidRPr="00D84098">
        <w:rPr>
          <w:rtl/>
        </w:rPr>
        <w:t>בלשן</w:t>
      </w:r>
      <w:r>
        <w:rPr>
          <w:rFonts w:hint="cs"/>
          <w:rtl/>
        </w:rPr>
        <w:t>"</w:t>
      </w:r>
      <w:r w:rsidRPr="00D84098">
        <w:rPr>
          <w:rtl/>
        </w:rPr>
        <w:t xml:space="preserve"> </w:t>
      </w:r>
      <w:bookmarkEnd w:id="138"/>
      <w:r w:rsidRPr="00D84098">
        <w:rPr>
          <w:rtl/>
        </w:rPr>
        <w:t>שם</w:t>
      </w:r>
      <w:r>
        <w:rPr>
          <w:rFonts w:hint="cs"/>
          <w:rtl/>
        </w:rPr>
        <w:t xml:space="preserve"> </w:t>
      </w:r>
      <w:r w:rsidRPr="00D84098">
        <w:rPr>
          <w:rtl/>
        </w:rPr>
        <w:t>התפלל הרבי ביחידות, ובהגיעו לתחנון – ישב על כיסא, וכיסה עיניו</w:t>
      </w:r>
      <w:r>
        <w:rPr>
          <w:rFonts w:hint="cs"/>
          <w:rtl/>
        </w:rPr>
        <w:t xml:space="preserve"> </w:t>
      </w:r>
      <w:r w:rsidRPr="00D84098">
        <w:rPr>
          <w:rtl/>
        </w:rPr>
        <w:t>בידו השמאלית הק</w:t>
      </w:r>
      <w:r>
        <w:rPr>
          <w:rFonts w:hint="cs"/>
          <w:rtl/>
        </w:rPr>
        <w:t xml:space="preserve">' </w:t>
      </w:r>
      <w:r w:rsidRPr="00D84098">
        <w:rPr>
          <w:rtl/>
        </w:rPr>
        <w:t>כרגיל, אף-על-פי שלא הי</w:t>
      </w:r>
      <w:r>
        <w:rPr>
          <w:rFonts w:hint="cs"/>
          <w:rtl/>
        </w:rPr>
        <w:t>'</w:t>
      </w:r>
      <w:r w:rsidRPr="00D84098">
        <w:rPr>
          <w:rtl/>
        </w:rPr>
        <w:t xml:space="preserve"> שם ספר תורה.</w:t>
      </w:r>
    </w:p>
    <w:p w14:paraId="68EDFAB8" w14:textId="77777777" w:rsidR="004E3A96" w:rsidRDefault="004E3A96" w:rsidP="00E60D97">
      <w:pPr>
        <w:pStyle w:val="a3"/>
        <w:rPr>
          <w:rtl/>
        </w:rPr>
      </w:pPr>
      <w:r w:rsidRPr="00D84098">
        <w:rPr>
          <w:rtl/>
        </w:rPr>
        <w:t xml:space="preserve">כמו כן אירע כמה פעמים שהתפלל </w:t>
      </w:r>
      <w:bookmarkStart w:id="139" w:name="_Hlk79751609"/>
      <w:r w:rsidRPr="00D84098">
        <w:rPr>
          <w:rtl/>
        </w:rPr>
        <w:t>מנחה בגן-עדן התחתון</w:t>
      </w:r>
      <w:bookmarkEnd w:id="139"/>
      <w:r>
        <w:rPr>
          <w:rFonts w:hint="cs"/>
          <w:rtl/>
        </w:rPr>
        <w:t xml:space="preserve">, </w:t>
      </w:r>
      <w:r w:rsidRPr="00D84098">
        <w:rPr>
          <w:rtl/>
        </w:rPr>
        <w:t>ואף</w:t>
      </w:r>
      <w:r>
        <w:rPr>
          <w:rFonts w:hint="cs"/>
          <w:rtl/>
        </w:rPr>
        <w:t xml:space="preserve"> </w:t>
      </w:r>
      <w:r w:rsidRPr="00D84098">
        <w:rPr>
          <w:rtl/>
        </w:rPr>
        <w:t>שאין שם ספר-תורה, בכל זאת נהג כנ</w:t>
      </w:r>
      <w:r>
        <w:rPr>
          <w:rFonts w:hint="cs"/>
          <w:rtl/>
        </w:rPr>
        <w:t>"</w:t>
      </w:r>
      <w:r w:rsidRPr="00D84098">
        <w:rPr>
          <w:rtl/>
        </w:rPr>
        <w:t>ל.</w:t>
      </w:r>
      <w:r>
        <w:rPr>
          <w:rFonts w:hint="cs"/>
          <w:rtl/>
        </w:rPr>
        <w:t xml:space="preserve"> ע"כ מהתקשרות.</w:t>
      </w:r>
    </w:p>
    <w:p w14:paraId="0CB85CF5" w14:textId="77777777" w:rsidR="004E3A96" w:rsidRDefault="004E3A96" w:rsidP="00E60D97">
      <w:pPr>
        <w:pStyle w:val="a3"/>
        <w:rPr>
          <w:rtl/>
        </w:rPr>
      </w:pPr>
      <w:r>
        <w:rPr>
          <w:rFonts w:hint="cs"/>
          <w:rtl/>
        </w:rPr>
        <w:t>לאחר מכן הביא מ</w:t>
      </w:r>
      <w:bookmarkStart w:id="140" w:name="_Hlk80186174"/>
      <w:r>
        <w:rPr>
          <w:rFonts w:hint="cs"/>
          <w:rtl/>
        </w:rPr>
        <w:t>יומן הריל"ג</w:t>
      </w:r>
      <w:r>
        <w:rPr>
          <w:rStyle w:val="FootnoteReference"/>
          <w:rFonts w:cs="Arial"/>
          <w:rtl/>
        </w:rPr>
        <w:footnoteReference w:id="65"/>
      </w:r>
      <w:r>
        <w:rPr>
          <w:rFonts w:hint="cs"/>
          <w:rtl/>
        </w:rPr>
        <w:t xml:space="preserve"> שבבית הדפוס הנ"ל אמר הרבי תחנון בעמידה ולא נפל על אפיו כלל, </w:t>
      </w:r>
      <w:bookmarkEnd w:id="140"/>
      <w:r>
        <w:rPr>
          <w:rFonts w:hint="cs"/>
          <w:rtl/>
        </w:rPr>
        <w:t xml:space="preserve">ומזה הסיק שהמסופר בהתקשרות הנ"ל על מה שאירע בדפוס, כנראה אינו מדוייק. </w:t>
      </w:r>
    </w:p>
    <w:p w14:paraId="0F75131B" w14:textId="37EF1FB5" w:rsidR="004E3A96" w:rsidRPr="0072178A" w:rsidRDefault="004E3A96" w:rsidP="00E60D97">
      <w:pPr>
        <w:pStyle w:val="a3"/>
        <w:rPr>
          <w:rtl/>
        </w:rPr>
      </w:pPr>
      <w:r>
        <w:rPr>
          <w:rFonts w:hint="cs"/>
          <w:rtl/>
        </w:rPr>
        <w:t>וניסה לבאר בשיטת הרבי, מדוע בדפוס לא נפל נפילת אפים ובמנין שהתקיים בג"ע התחתון נפל, אף שבשני המקומות לא הי' ספר תורה - שמה שנפל על אפיו כשהתפלל בג"ע התחתון זהו ע"פ מה שכתב אדה"ז (שם סוס"ג) ש"</w:t>
      </w:r>
      <w:r w:rsidRPr="000E5861">
        <w:rPr>
          <w:rtl/>
        </w:rPr>
        <w:t>אפילו יחיד המתפלל בביתו</w:t>
      </w:r>
      <w:r>
        <w:rPr>
          <w:rFonts w:hint="cs"/>
          <w:rtl/>
        </w:rPr>
        <w:t xml:space="preserve">, </w:t>
      </w:r>
      <w:r w:rsidRPr="000E5861">
        <w:rPr>
          <w:rtl/>
        </w:rPr>
        <w:t xml:space="preserve">כשמתפלל בשעה שהציבור מתפללין בבית הכנסת יכול </w:t>
      </w:r>
      <w:bookmarkStart w:id="141" w:name="_Hlk79916791"/>
      <w:r w:rsidRPr="000E5861">
        <w:rPr>
          <w:rtl/>
        </w:rPr>
        <w:t>ליפול עמהם בשעה שהם נופלים</w:t>
      </w:r>
      <w:bookmarkEnd w:id="141"/>
      <w:r>
        <w:rPr>
          <w:rFonts w:hint="cs"/>
          <w:rtl/>
        </w:rPr>
        <w:t>,</w:t>
      </w:r>
      <w:r w:rsidRPr="000E5861">
        <w:rPr>
          <w:rtl/>
        </w:rPr>
        <w:t xml:space="preserve"> שהרי הוא כאלו עומד עמהם</w:t>
      </w:r>
      <w:r>
        <w:rPr>
          <w:rFonts w:hint="cs"/>
          <w:rtl/>
        </w:rPr>
        <w:t>.</w:t>
      </w:r>
      <w:r w:rsidRPr="000E5861">
        <w:rPr>
          <w:rtl/>
        </w:rPr>
        <w:t xml:space="preserve"> שאפילו מחיצה של ברזל אינה מפסקת בין ישראל לאביהם שבשמים</w:t>
      </w:r>
      <w:r>
        <w:rPr>
          <w:rFonts w:hint="cs"/>
          <w:rtl/>
        </w:rPr>
        <w:t>,</w:t>
      </w:r>
      <w:r w:rsidRPr="000E5861">
        <w:rPr>
          <w:rtl/>
        </w:rPr>
        <w:t xml:space="preserve"> כל שיש עשרה במקום אחד</w:t>
      </w:r>
      <w:r>
        <w:rPr>
          <w:rFonts w:hint="cs"/>
          <w:rtl/>
        </w:rPr>
        <w:t>"</w:t>
      </w:r>
      <w:r>
        <w:rPr>
          <w:rStyle w:val="FootnoteReference"/>
          <w:rFonts w:cs="Arial"/>
          <w:rtl/>
        </w:rPr>
        <w:footnoteReference w:id="66"/>
      </w:r>
      <w:r>
        <w:rPr>
          <w:rFonts w:hint="cs"/>
          <w:rtl/>
        </w:rPr>
        <w:t>; ואילו מה שבהיותו בבית הדפוס לא נפל, זהו</w:t>
      </w:r>
      <w:r>
        <w:rPr>
          <w:rStyle w:val="FootnoteReference"/>
          <w:rFonts w:cs="Arial"/>
          <w:rtl/>
        </w:rPr>
        <w:footnoteReference w:id="67"/>
      </w:r>
      <w:r>
        <w:rPr>
          <w:rFonts w:hint="cs"/>
          <w:rtl/>
        </w:rPr>
        <w:t xml:space="preserve"> משום שצריך שלא יהי' הפסק של טינוף או ע"ז בין המקום שהוא מתפלל לביהכנ"ס (שבו הס"ת), והרבי חשש לזה שמא יש הפסק כזה בין הדפוס לביהכנ"ס לכן לא נפל שם נפילת אפים.</w:t>
      </w:r>
    </w:p>
    <w:p w14:paraId="196ABEF0" w14:textId="77777777" w:rsidR="004E3A96" w:rsidRDefault="004E3A96" w:rsidP="00E60D97">
      <w:pPr>
        <w:pStyle w:val="11"/>
        <w:rPr>
          <w:rtl/>
        </w:rPr>
      </w:pPr>
      <w:r w:rsidRPr="00E6266B">
        <w:rPr>
          <w:rtl/>
        </w:rPr>
        <w:t xml:space="preserve">בשעה שהציבור מתפללין </w:t>
      </w:r>
    </w:p>
    <w:p w14:paraId="2F2BC5A5" w14:textId="77777777" w:rsidR="004E3A96" w:rsidRDefault="004E3A96" w:rsidP="00E60D97">
      <w:pPr>
        <w:pStyle w:val="a3"/>
        <w:rPr>
          <w:rtl/>
        </w:rPr>
      </w:pPr>
      <w:r>
        <w:rPr>
          <w:rFonts w:hint="cs"/>
          <w:rtl/>
        </w:rPr>
        <w:t xml:space="preserve">ולענ"ד אין זה פשוט לומר כן, </w:t>
      </w:r>
      <w:r w:rsidRPr="004A336D">
        <w:rPr>
          <w:rFonts w:hint="cs"/>
          <w:rtl/>
        </w:rPr>
        <w:t>שמה ש</w:t>
      </w:r>
      <w:r>
        <w:rPr>
          <w:rFonts w:hint="cs"/>
          <w:rtl/>
        </w:rPr>
        <w:t xml:space="preserve">הרבי </w:t>
      </w:r>
      <w:r w:rsidRPr="004A336D">
        <w:rPr>
          <w:rFonts w:hint="cs"/>
          <w:rtl/>
        </w:rPr>
        <w:t xml:space="preserve">נפל על אפיו כשהתפלל בג"ע התחתון זהו </w:t>
      </w:r>
      <w:r>
        <w:rPr>
          <w:rFonts w:hint="cs"/>
          <w:rtl/>
        </w:rPr>
        <w:t xml:space="preserve">ע"פ ההלכה </w:t>
      </w:r>
      <w:bookmarkStart w:id="142" w:name="_Hlk79916740"/>
      <w:r>
        <w:rPr>
          <w:rFonts w:hint="cs"/>
          <w:rtl/>
        </w:rPr>
        <w:t>שה</w:t>
      </w:r>
      <w:r w:rsidRPr="004A336D">
        <w:rPr>
          <w:rtl/>
        </w:rPr>
        <w:t xml:space="preserve">מתפלל </w:t>
      </w:r>
      <w:bookmarkStart w:id="143" w:name="_Hlk79944942"/>
      <w:r w:rsidRPr="004A336D">
        <w:rPr>
          <w:rtl/>
        </w:rPr>
        <w:t>בשעה שהציבור מתפללין בבית הכנסת</w:t>
      </w:r>
      <w:bookmarkEnd w:id="143"/>
      <w:r>
        <w:rPr>
          <w:rFonts w:hint="cs"/>
          <w:rtl/>
        </w:rPr>
        <w:t>,</w:t>
      </w:r>
      <w:r w:rsidRPr="004A336D">
        <w:rPr>
          <w:rtl/>
        </w:rPr>
        <w:t xml:space="preserve"> יכול ליפול עמהם</w:t>
      </w:r>
      <w:r>
        <w:rPr>
          <w:rFonts w:hint="cs"/>
          <w:rtl/>
        </w:rPr>
        <w:t xml:space="preserve">. </w:t>
      </w:r>
      <w:bookmarkEnd w:id="142"/>
      <w:r>
        <w:rPr>
          <w:rFonts w:hint="cs"/>
          <w:rtl/>
        </w:rPr>
        <w:t>דהרי העיקר בזה (כדי שיהי' אפשר ליפול נפילת אפים) הוא, שזה יהי' "</w:t>
      </w:r>
      <w:r w:rsidRPr="00E6266B">
        <w:rPr>
          <w:bCs/>
          <w:rtl/>
        </w:rPr>
        <w:t>בשעה שהציבור מתפללין</w:t>
      </w:r>
      <w:r w:rsidRPr="00E6266B">
        <w:rPr>
          <w:rtl/>
        </w:rPr>
        <w:t xml:space="preserve"> בבית הכנסת</w:t>
      </w:r>
      <w:r>
        <w:rPr>
          <w:rFonts w:hint="cs"/>
          <w:rtl/>
        </w:rPr>
        <w:t xml:space="preserve">". ונראה שצריך לברר המציאות, באיזו שעה הי' זה שהרבי התפלל </w:t>
      </w:r>
      <w:r w:rsidRPr="00D84098">
        <w:rPr>
          <w:rtl/>
        </w:rPr>
        <w:t>מנחה בגן-עדן התחתון</w:t>
      </w:r>
      <w:r>
        <w:rPr>
          <w:rFonts w:hint="cs"/>
          <w:rtl/>
        </w:rPr>
        <w:t xml:space="preserve">, דלכאורה המנין של הרבי בג"ע התחתון לא הי' בשעה שהציבור מתפללים בבית הכנסת </w:t>
      </w:r>
      <w:r>
        <w:rPr>
          <w:rtl/>
        </w:rPr>
        <w:t>–</w:t>
      </w:r>
      <w:r>
        <w:rPr>
          <w:rFonts w:hint="cs"/>
          <w:rtl/>
        </w:rPr>
        <w:t xml:space="preserve"> כי אם היו הציבור מתפללים באותה שעה ורצונו של הרבי להתפלל בציבור, הרי יכול להתפלל עמהם בבית הכנסת, ומזה שהרבי לא התפלל עם הציבור, ברור שבאותה שעה לא היו הציבור מתפללים </w:t>
      </w:r>
      <w:r>
        <w:rPr>
          <w:rtl/>
        </w:rPr>
        <w:t>–</w:t>
      </w:r>
      <w:r>
        <w:rPr>
          <w:rFonts w:hint="cs"/>
          <w:rtl/>
        </w:rPr>
        <w:t xml:space="preserve"> ואם </w:t>
      </w:r>
      <w:r>
        <w:rPr>
          <w:rFonts w:hint="cs"/>
          <w:rtl/>
        </w:rPr>
        <w:lastRenderedPageBreak/>
        <w:t>כן, ש</w:t>
      </w:r>
      <w:r w:rsidRPr="000E5861">
        <w:rPr>
          <w:rFonts w:hint="cs"/>
          <w:rtl/>
        </w:rPr>
        <w:t>בשע</w:t>
      </w:r>
      <w:r>
        <w:rPr>
          <w:rFonts w:hint="cs"/>
          <w:rtl/>
        </w:rPr>
        <w:t xml:space="preserve">ת תפילת הרבי לא היו הציבור מתפללים, נשמט היסוד לדברים. </w:t>
      </w:r>
    </w:p>
    <w:p w14:paraId="3D4A1738" w14:textId="77777777" w:rsidR="004E3A96" w:rsidRDefault="004E3A96" w:rsidP="00E60D97">
      <w:pPr>
        <w:pStyle w:val="a3"/>
        <w:rPr>
          <w:rtl/>
        </w:rPr>
      </w:pPr>
      <w:r>
        <w:rPr>
          <w:rFonts w:hint="cs"/>
          <w:rtl/>
        </w:rPr>
        <w:t xml:space="preserve">ועוד, שמה שהובא בפוסקים </w:t>
      </w:r>
      <w:r w:rsidRPr="005C4E19">
        <w:rPr>
          <w:rFonts w:hint="cs"/>
          <w:rtl/>
        </w:rPr>
        <w:t>שה</w:t>
      </w:r>
      <w:r w:rsidRPr="005C4E19">
        <w:rPr>
          <w:rtl/>
        </w:rPr>
        <w:t>מתפלל בשעה שהציבור מתפללין בבית הכנסת יכול ליפול עמהם</w:t>
      </w:r>
      <w:r>
        <w:rPr>
          <w:rFonts w:hint="cs"/>
          <w:rtl/>
        </w:rPr>
        <w:t xml:space="preserve">, אין הכונה בזמן תפילת הציבור בכללותה (מתחילתה ועד סופה), אלא דוקא בזמן שהציבור נופלים על פניהם, כהדגשת ודיוק אדה"ז (בסי' קלא שם) שהוא "יכול </w:t>
      </w:r>
      <w:r w:rsidRPr="005C4E19">
        <w:rPr>
          <w:rtl/>
        </w:rPr>
        <w:t xml:space="preserve">ליפול </w:t>
      </w:r>
      <w:r w:rsidRPr="00EE37E3">
        <w:rPr>
          <w:bCs/>
          <w:rtl/>
        </w:rPr>
        <w:t>עמהם</w:t>
      </w:r>
      <w:r w:rsidRPr="00EE37E3">
        <w:rPr>
          <w:rFonts w:hint="cs"/>
          <w:bCs/>
          <w:rtl/>
        </w:rPr>
        <w:t>,</w:t>
      </w:r>
      <w:r w:rsidRPr="005C4E19">
        <w:rPr>
          <w:rtl/>
        </w:rPr>
        <w:t xml:space="preserve"> </w:t>
      </w:r>
      <w:r w:rsidRPr="005C4E19">
        <w:rPr>
          <w:bCs/>
          <w:rtl/>
        </w:rPr>
        <w:t>בשעה שהם נופלים</w:t>
      </w:r>
      <w:r>
        <w:rPr>
          <w:rFonts w:hint="cs"/>
          <w:rtl/>
        </w:rPr>
        <w:t>", ובמנין הפרטי של הרבי בג"ע התחתון כנראה לא הי' זה</w:t>
      </w:r>
      <w:r w:rsidRPr="005C4E19">
        <w:rPr>
          <w:rFonts w:hint="cs"/>
          <w:rtl/>
        </w:rPr>
        <w:t>.</w:t>
      </w:r>
    </w:p>
    <w:p w14:paraId="5E6995BC" w14:textId="77777777" w:rsidR="004E3A96" w:rsidRDefault="004E3A96" w:rsidP="00E60D97">
      <w:pPr>
        <w:pStyle w:val="a3"/>
        <w:rPr>
          <w:rtl/>
        </w:rPr>
      </w:pPr>
      <w:r>
        <w:rPr>
          <w:rFonts w:hint="cs"/>
          <w:rtl/>
        </w:rPr>
        <w:t xml:space="preserve">לכן נראה לכאורה לומר, שמה שהרבי נפל על אפיו כשהתפלל בג"ע התחתון זהו מטעם אחר. והוא כמ"ש אדה"ז (שם), </w:t>
      </w:r>
      <w:r w:rsidRPr="00EE37E3">
        <w:rPr>
          <w:rFonts w:hint="cs"/>
          <w:rtl/>
        </w:rPr>
        <w:t>שב</w:t>
      </w:r>
      <w:bookmarkStart w:id="144" w:name="_Hlk79926757"/>
      <w:r w:rsidRPr="00EE37E3">
        <w:rPr>
          <w:rtl/>
        </w:rPr>
        <w:t xml:space="preserve">עזרה שלפני בית הכנסת </w:t>
      </w:r>
      <w:r w:rsidRPr="00EE37E3">
        <w:rPr>
          <w:rFonts w:hint="cs"/>
          <w:rtl/>
        </w:rPr>
        <w:t>וב</w:t>
      </w:r>
      <w:r w:rsidRPr="00EE37E3">
        <w:rPr>
          <w:rtl/>
        </w:rPr>
        <w:t xml:space="preserve">חצר בית הכנסת </w:t>
      </w:r>
      <w:bookmarkEnd w:id="144"/>
      <w:r w:rsidRPr="00EE37E3">
        <w:rPr>
          <w:rtl/>
        </w:rPr>
        <w:t>נוהגים לומר תחנה בנפילת אפים כמו בבית הכנסת עצמו</w:t>
      </w:r>
      <w:r>
        <w:rPr>
          <w:rFonts w:hint="cs"/>
          <w:rtl/>
        </w:rPr>
        <w:t>, והרי פשיטא שג"ע התחתון לא גרע מה</w:t>
      </w:r>
      <w:r w:rsidRPr="00EE37E3">
        <w:rPr>
          <w:rtl/>
        </w:rPr>
        <w:t xml:space="preserve">עזרה שלפני בית הכנסת </w:t>
      </w:r>
      <w:r w:rsidRPr="00EE37E3">
        <w:rPr>
          <w:rFonts w:hint="cs"/>
          <w:rtl/>
        </w:rPr>
        <w:t>ו</w:t>
      </w:r>
      <w:r>
        <w:rPr>
          <w:rFonts w:hint="cs"/>
          <w:rtl/>
        </w:rPr>
        <w:t>מ</w:t>
      </w:r>
      <w:r w:rsidRPr="00EE37E3">
        <w:rPr>
          <w:rtl/>
        </w:rPr>
        <w:t>חצר בית הכנסת</w:t>
      </w:r>
      <w:r>
        <w:rPr>
          <w:rFonts w:hint="cs"/>
          <w:rtl/>
        </w:rPr>
        <w:t xml:space="preserve">, ואדרבה הוא חשוב יותר. </w:t>
      </w:r>
    </w:p>
    <w:p w14:paraId="13A237B3" w14:textId="77777777" w:rsidR="004E3A96" w:rsidRDefault="004E3A96" w:rsidP="00E60D97">
      <w:pPr>
        <w:pStyle w:val="a3"/>
        <w:rPr>
          <w:rtl/>
        </w:rPr>
      </w:pPr>
      <w:r>
        <w:rPr>
          <w:rFonts w:hint="cs"/>
          <w:rtl/>
        </w:rPr>
        <w:t>אמנם האמת תורה דרכה שגם זה אינו פשוט, כי מה שב</w:t>
      </w:r>
      <w:r w:rsidRPr="001A6224">
        <w:rPr>
          <w:rtl/>
        </w:rPr>
        <w:t xml:space="preserve">עזרה שלפני בית הכנסת </w:t>
      </w:r>
      <w:r>
        <w:rPr>
          <w:rFonts w:hint="cs"/>
          <w:rtl/>
        </w:rPr>
        <w:t>וב</w:t>
      </w:r>
      <w:r w:rsidRPr="001A6224">
        <w:rPr>
          <w:rtl/>
        </w:rPr>
        <w:t>חצר בית הכנסת נוהגים בנפילת אפים</w:t>
      </w:r>
      <w:r>
        <w:rPr>
          <w:rFonts w:hint="cs"/>
          <w:rtl/>
        </w:rPr>
        <w:t>,</w:t>
      </w:r>
      <w:r w:rsidRPr="001A6224">
        <w:rPr>
          <w:rtl/>
        </w:rPr>
        <w:t xml:space="preserve"> </w:t>
      </w:r>
      <w:r>
        <w:rPr>
          <w:rFonts w:hint="cs"/>
          <w:rtl/>
        </w:rPr>
        <w:t xml:space="preserve">זהו רק כשביהכנ"ס פתוח </w:t>
      </w:r>
      <w:r w:rsidRPr="001A6224">
        <w:rPr>
          <w:rtl/>
        </w:rPr>
        <w:t>אבל לא כשבית הכנסת נעול</w:t>
      </w:r>
      <w:r>
        <w:rPr>
          <w:rFonts w:hint="cs"/>
          <w:rtl/>
        </w:rPr>
        <w:t>, כמפורש בדברי אדה"ז (שם, ומקורו מהמ"א שם סק"ז): "</w:t>
      </w:r>
      <w:r w:rsidRPr="00EE37E3">
        <w:rPr>
          <w:rtl/>
        </w:rPr>
        <w:t>חצר בית הכנסת הפתוחה לבית הכנסת</w:t>
      </w:r>
      <w:r>
        <w:rPr>
          <w:rFonts w:hint="cs"/>
          <w:rtl/>
        </w:rPr>
        <w:t>,</w:t>
      </w:r>
      <w:r w:rsidRPr="00EE37E3">
        <w:rPr>
          <w:rtl/>
        </w:rPr>
        <w:t xml:space="preserve"> המתפללים בה </w:t>
      </w:r>
      <w:r w:rsidRPr="00A73D1D">
        <w:rPr>
          <w:bCs/>
          <w:rtl/>
        </w:rPr>
        <w:t>כשבית הכנסת פתוח</w:t>
      </w:r>
      <w:r w:rsidRPr="00EE37E3">
        <w:rPr>
          <w:rtl/>
        </w:rPr>
        <w:t xml:space="preserve"> נוהגים לומר תחנה בנפילת אפים כמו בבית הכנסת עצמו</w:t>
      </w:r>
      <w:r>
        <w:rPr>
          <w:rFonts w:hint="cs"/>
          <w:rtl/>
        </w:rPr>
        <w:t>,</w:t>
      </w:r>
      <w:r w:rsidRPr="00EE37E3">
        <w:rPr>
          <w:rtl/>
        </w:rPr>
        <w:t xml:space="preserve"> אבל לא כשבית הכנסת נעול</w:t>
      </w:r>
      <w:r>
        <w:rPr>
          <w:rFonts w:hint="cs"/>
          <w:rtl/>
        </w:rPr>
        <w:t>".</w:t>
      </w:r>
    </w:p>
    <w:p w14:paraId="513F7ECE" w14:textId="77777777" w:rsidR="004E3A96" w:rsidRDefault="004E3A96" w:rsidP="00E60D97">
      <w:pPr>
        <w:pStyle w:val="a3"/>
        <w:rPr>
          <w:rtl/>
        </w:rPr>
      </w:pPr>
    </w:p>
    <w:p w14:paraId="0BF08832" w14:textId="77777777" w:rsidR="004E3A96" w:rsidRDefault="004E3A96" w:rsidP="00E60D97">
      <w:pPr>
        <w:pStyle w:val="a3"/>
        <w:rPr>
          <w:rtl/>
        </w:rPr>
      </w:pPr>
      <w:r>
        <w:rPr>
          <w:rFonts w:hint="cs"/>
          <w:rtl/>
        </w:rPr>
        <w:t>והט"ז (שם סק"ו) ביאר יותר, שמה שאמרו שהמתפלל בחצר ביהכנ"ס יכול "</w:t>
      </w:r>
      <w:r w:rsidRPr="005B52C2">
        <w:rPr>
          <w:rtl/>
        </w:rPr>
        <w:t>לומר תחנה בנפילת אפים כמו בבית הכנסת עצמו</w:t>
      </w:r>
      <w:r>
        <w:rPr>
          <w:rFonts w:hint="cs"/>
          <w:rtl/>
        </w:rPr>
        <w:t>" הכוונ</w:t>
      </w:r>
      <w:r>
        <w:rPr>
          <w:rFonts w:hint="eastAsia"/>
          <w:rtl/>
        </w:rPr>
        <w:t>ה</w:t>
      </w:r>
      <w:r>
        <w:rPr>
          <w:rFonts w:hint="cs"/>
          <w:rtl/>
        </w:rPr>
        <w:t xml:space="preserve"> היא "</w:t>
      </w:r>
      <w:r w:rsidRPr="003155B3">
        <w:rPr>
          <w:bCs/>
          <w:rtl/>
        </w:rPr>
        <w:t>שרואה</w:t>
      </w:r>
      <w:r w:rsidRPr="00B83FB3">
        <w:rPr>
          <w:rtl/>
        </w:rPr>
        <w:t xml:space="preserve"> </w:t>
      </w:r>
      <w:r>
        <w:rPr>
          <w:rFonts w:hint="cs"/>
          <w:rtl/>
        </w:rPr>
        <w:t>(</w:t>
      </w:r>
      <w:r w:rsidRPr="00B83FB3">
        <w:rPr>
          <w:rtl/>
        </w:rPr>
        <w:t>הפת</w:t>
      </w:r>
      <w:r>
        <w:rPr>
          <w:rFonts w:hint="cs"/>
          <w:rtl/>
        </w:rPr>
        <w:t>ח)</w:t>
      </w:r>
      <w:r w:rsidRPr="00B83FB3">
        <w:rPr>
          <w:rtl/>
        </w:rPr>
        <w:t xml:space="preserve"> בית הכנסת פתו</w:t>
      </w:r>
      <w:r>
        <w:rPr>
          <w:rFonts w:hint="cs"/>
          <w:rtl/>
        </w:rPr>
        <w:t xml:space="preserve">ח", היינו שהמתפלל בחדר הצדדי צריך שיהי' לו קשר עין ושייכות בפועל עם המקום שבו נמצא הס"ת. ובלבושי שרד (על הט"ז שם) כתב: </w:t>
      </w:r>
      <w:r w:rsidRPr="00B83FB3">
        <w:rPr>
          <w:rtl/>
        </w:rPr>
        <w:t>ר"ל דוקא באו</w:t>
      </w:r>
      <w:r>
        <w:rPr>
          <w:rFonts w:hint="cs"/>
          <w:rtl/>
        </w:rPr>
        <w:t>ת</w:t>
      </w:r>
      <w:r w:rsidRPr="00B83FB3">
        <w:rPr>
          <w:rtl/>
        </w:rPr>
        <w:t xml:space="preserve">ו </w:t>
      </w:r>
      <w:r>
        <w:rPr>
          <w:rFonts w:hint="cs"/>
          <w:rtl/>
        </w:rPr>
        <w:t>צ</w:t>
      </w:r>
      <w:r w:rsidRPr="00B83FB3">
        <w:rPr>
          <w:rtl/>
        </w:rPr>
        <w:t>ד שהפ</w:t>
      </w:r>
      <w:r>
        <w:rPr>
          <w:rFonts w:hint="cs"/>
          <w:rtl/>
        </w:rPr>
        <w:t>תח</w:t>
      </w:r>
      <w:r w:rsidRPr="00B83FB3">
        <w:rPr>
          <w:rtl/>
        </w:rPr>
        <w:t xml:space="preserve"> ש</w:t>
      </w:r>
      <w:r>
        <w:rPr>
          <w:rFonts w:hint="cs"/>
          <w:rtl/>
        </w:rPr>
        <w:t>ם,</w:t>
      </w:r>
      <w:r w:rsidRPr="00B83FB3">
        <w:rPr>
          <w:rtl/>
        </w:rPr>
        <w:t xml:space="preserve"> מה שאין כן בצדדי</w:t>
      </w:r>
      <w:r>
        <w:rPr>
          <w:rFonts w:hint="cs"/>
          <w:rtl/>
        </w:rPr>
        <w:t>ם</w:t>
      </w:r>
      <w:r w:rsidRPr="00B83FB3">
        <w:rPr>
          <w:rtl/>
        </w:rPr>
        <w:t xml:space="preserve"> אחרי</w:t>
      </w:r>
      <w:r>
        <w:rPr>
          <w:rFonts w:hint="cs"/>
          <w:rtl/>
        </w:rPr>
        <w:t>ם</w:t>
      </w:r>
      <w:r w:rsidRPr="00B83FB3">
        <w:rPr>
          <w:rtl/>
        </w:rPr>
        <w:t xml:space="preserve"> ש</w:t>
      </w:r>
      <w:r>
        <w:rPr>
          <w:rFonts w:hint="cs"/>
          <w:rtl/>
        </w:rPr>
        <w:t>ח</w:t>
      </w:r>
      <w:r w:rsidRPr="00B83FB3">
        <w:rPr>
          <w:rtl/>
        </w:rPr>
        <w:t>צר בי</w:t>
      </w:r>
      <w:r>
        <w:rPr>
          <w:rFonts w:hint="cs"/>
          <w:rtl/>
        </w:rPr>
        <w:t>ת</w:t>
      </w:r>
      <w:r w:rsidRPr="00B83FB3">
        <w:rPr>
          <w:rtl/>
        </w:rPr>
        <w:t xml:space="preserve"> הכנס</w:t>
      </w:r>
      <w:r>
        <w:rPr>
          <w:rFonts w:hint="cs"/>
          <w:rtl/>
        </w:rPr>
        <w:t>ת</w:t>
      </w:r>
      <w:r w:rsidRPr="00B83FB3">
        <w:rPr>
          <w:rtl/>
        </w:rPr>
        <w:t xml:space="preserve"> נמשך עד ש</w:t>
      </w:r>
      <w:r>
        <w:rPr>
          <w:rFonts w:hint="cs"/>
          <w:rtl/>
        </w:rPr>
        <w:t>ם. ועד"ז הוא בפרי מגדים שם.</w:t>
      </w:r>
      <w:r w:rsidRPr="00B83FB3">
        <w:rPr>
          <w:rtl/>
        </w:rPr>
        <w:t xml:space="preserve"> </w:t>
      </w:r>
    </w:p>
    <w:p w14:paraId="25A59419" w14:textId="77777777" w:rsidR="004E3A96" w:rsidRDefault="004E3A96" w:rsidP="00E60D97">
      <w:pPr>
        <w:pStyle w:val="a3"/>
        <w:rPr>
          <w:rtl/>
        </w:rPr>
      </w:pPr>
      <w:r>
        <w:rPr>
          <w:rFonts w:hint="cs"/>
          <w:rtl/>
        </w:rPr>
        <w:t>וכמדומה, שכשהרבי התפלל בג"ע התחתון היתה הדלת של ג"ע התחתון סגורה וגם הדלת של הזאל היתה סגורה. [ואפילו אילו הדלת לא היתה סגורה, אבל הרי זה בודאי באופן שא"א לראות מג"ע התחתון את מקום ארון הקדש</w:t>
      </w:r>
      <w:r>
        <w:rPr>
          <w:rStyle w:val="FootnoteReference"/>
          <w:rFonts w:cs="Arial"/>
          <w:rtl/>
        </w:rPr>
        <w:footnoteReference w:id="68"/>
      </w:r>
      <w:r>
        <w:rPr>
          <w:rFonts w:hint="cs"/>
          <w:rtl/>
        </w:rPr>
        <w:t>].</w:t>
      </w:r>
    </w:p>
    <w:p w14:paraId="5C2F43D2" w14:textId="77777777" w:rsidR="004E3A96" w:rsidRDefault="004E3A96" w:rsidP="00304B8E">
      <w:pPr>
        <w:pStyle w:val="a3"/>
        <w:jc w:val="center"/>
        <w:rPr>
          <w:rtl/>
        </w:rPr>
      </w:pPr>
      <w:r>
        <w:rPr>
          <w:rFonts w:hint="cs"/>
          <w:rtl/>
        </w:rPr>
        <w:t>*</w:t>
      </w:r>
    </w:p>
    <w:p w14:paraId="508E2CCC" w14:textId="6BA03BC4" w:rsidR="004E3A96" w:rsidRPr="0072178A" w:rsidRDefault="004E3A96" w:rsidP="00E60D97">
      <w:pPr>
        <w:pStyle w:val="a3"/>
        <w:rPr>
          <w:rtl/>
        </w:rPr>
      </w:pPr>
      <w:r>
        <w:rPr>
          <w:rFonts w:hint="cs"/>
          <w:rtl/>
        </w:rPr>
        <w:t>ונראה שאפשר ליישב ולבאר את הנהגת הרבי בכמה אופנים:</w:t>
      </w:r>
    </w:p>
    <w:p w14:paraId="79597848" w14:textId="77777777" w:rsidR="004E3A96" w:rsidRPr="00EC4A41" w:rsidRDefault="004E3A96" w:rsidP="00E60D97">
      <w:pPr>
        <w:pStyle w:val="11"/>
        <w:rPr>
          <w:rtl/>
        </w:rPr>
      </w:pPr>
      <w:r w:rsidRPr="00EC4A41">
        <w:rPr>
          <w:rFonts w:hint="cs"/>
          <w:rtl/>
        </w:rPr>
        <w:lastRenderedPageBreak/>
        <w:t>פתח פתוח</w:t>
      </w:r>
    </w:p>
    <w:p w14:paraId="78684AC1" w14:textId="77777777" w:rsidR="004E3A96" w:rsidRDefault="004E3A96" w:rsidP="00E60D97">
      <w:pPr>
        <w:pStyle w:val="a3"/>
        <w:rPr>
          <w:rtl/>
        </w:rPr>
      </w:pPr>
      <w:r w:rsidRPr="00507837">
        <w:rPr>
          <w:rFonts w:hint="cs"/>
          <w:bCs/>
          <w:rtl/>
        </w:rPr>
        <w:t>א.</w:t>
      </w:r>
      <w:r>
        <w:rPr>
          <w:rFonts w:hint="cs"/>
          <w:rtl/>
        </w:rPr>
        <w:t xml:space="preserve"> </w:t>
      </w:r>
      <w:r w:rsidRPr="007648A9">
        <w:rPr>
          <w:rFonts w:hint="cs"/>
          <w:rtl/>
        </w:rPr>
        <w:t>אפשר שסבר</w:t>
      </w:r>
      <w:r>
        <w:rPr>
          <w:rFonts w:hint="cs"/>
          <w:rtl/>
        </w:rPr>
        <w:t>,</w:t>
      </w:r>
      <w:r w:rsidRPr="007648A9">
        <w:rPr>
          <w:rFonts w:hint="cs"/>
          <w:rtl/>
        </w:rPr>
        <w:t xml:space="preserve"> שאדה"ז (שקאי בשיטת המ"א, כנ"ל) נקט</w:t>
      </w:r>
      <w:r>
        <w:rPr>
          <w:rFonts w:hint="cs"/>
          <w:rtl/>
        </w:rPr>
        <w:t>:</w:t>
      </w:r>
      <w:r w:rsidRPr="007648A9">
        <w:rPr>
          <w:rFonts w:hint="cs"/>
          <w:rtl/>
        </w:rPr>
        <w:t xml:space="preserve"> </w:t>
      </w:r>
    </w:p>
    <w:p w14:paraId="5408BDD5" w14:textId="77777777" w:rsidR="004E3A96" w:rsidRDefault="004E3A96" w:rsidP="00E60D97">
      <w:pPr>
        <w:pStyle w:val="a3"/>
        <w:rPr>
          <w:rtl/>
        </w:rPr>
      </w:pPr>
      <w:r>
        <w:rPr>
          <w:rFonts w:hint="cs"/>
          <w:rtl/>
        </w:rPr>
        <w:t xml:space="preserve">  (א) </w:t>
      </w:r>
      <w:r w:rsidRPr="007648A9">
        <w:rPr>
          <w:rFonts w:hint="cs"/>
          <w:rtl/>
        </w:rPr>
        <w:t xml:space="preserve">שהמ"א לא סבר כהט"ז שצריך קשר עין בפועל עם מקום הס"ת, אלא לדעתו (של המ"א וכ"ה דעת אדה"ז) די בכך שהפתח </w:t>
      </w:r>
      <w:r>
        <w:rPr>
          <w:rFonts w:hint="cs"/>
          <w:rtl/>
        </w:rPr>
        <w:t xml:space="preserve">של ביהכנ"ס </w:t>
      </w:r>
      <w:r w:rsidRPr="007648A9">
        <w:rPr>
          <w:rFonts w:hint="cs"/>
          <w:rtl/>
        </w:rPr>
        <w:t>פתוח ביניהם</w:t>
      </w:r>
      <w:r>
        <w:rPr>
          <w:rFonts w:hint="cs"/>
          <w:rtl/>
        </w:rPr>
        <w:t>, ואף אם הוא עומד מהצד ואינו יכול לראות בפועל את מקום הס"ת שפיר דמי</w:t>
      </w:r>
      <w:r w:rsidRPr="007648A9">
        <w:rPr>
          <w:rFonts w:hint="cs"/>
          <w:rtl/>
        </w:rPr>
        <w:t xml:space="preserve">. </w:t>
      </w:r>
    </w:p>
    <w:p w14:paraId="6E67679F" w14:textId="77777777" w:rsidR="004E3A96" w:rsidRDefault="004E3A96" w:rsidP="00E60D97">
      <w:pPr>
        <w:pStyle w:val="a3"/>
        <w:rPr>
          <w:rtl/>
        </w:rPr>
      </w:pPr>
      <w:r>
        <w:rPr>
          <w:rFonts w:hint="cs"/>
          <w:rtl/>
        </w:rPr>
        <w:t xml:space="preserve">  (ב) </w:t>
      </w:r>
      <w:r w:rsidRPr="007648A9">
        <w:rPr>
          <w:rFonts w:hint="cs"/>
          <w:rtl/>
        </w:rPr>
        <w:t xml:space="preserve">ויתירה מזו י"ל, </w:t>
      </w:r>
      <w:r>
        <w:rPr>
          <w:rFonts w:hint="cs"/>
          <w:rtl/>
        </w:rPr>
        <w:t>ד</w:t>
      </w:r>
      <w:r w:rsidRPr="007648A9">
        <w:rPr>
          <w:rFonts w:hint="cs"/>
          <w:rtl/>
        </w:rPr>
        <w:t>האופן שבו אין נופלים על פניהם הוא רק כשהפתח נעול</w:t>
      </w:r>
      <w:r>
        <w:rPr>
          <w:rFonts w:hint="cs"/>
          <w:rtl/>
        </w:rPr>
        <w:t xml:space="preserve"> (באמצעות מנעול)</w:t>
      </w:r>
      <w:r w:rsidRPr="007648A9">
        <w:rPr>
          <w:rFonts w:hint="cs"/>
          <w:rtl/>
        </w:rPr>
        <w:t xml:space="preserve">, אך אם הוא רק סגור (ולא נעול) </w:t>
      </w:r>
      <w:r>
        <w:rPr>
          <w:rFonts w:hint="cs"/>
          <w:rtl/>
        </w:rPr>
        <w:t>יתכן שאפשר</w:t>
      </w:r>
      <w:r w:rsidRPr="007648A9">
        <w:rPr>
          <w:rFonts w:hint="cs"/>
          <w:rtl/>
        </w:rPr>
        <w:t xml:space="preserve"> ליפול על פניהם. ו</w:t>
      </w:r>
      <w:r>
        <w:rPr>
          <w:rFonts w:hint="cs"/>
          <w:rtl/>
        </w:rPr>
        <w:t>יש לדייק כן מ</w:t>
      </w:r>
      <w:r w:rsidRPr="007648A9">
        <w:rPr>
          <w:rFonts w:hint="cs"/>
          <w:rtl/>
        </w:rPr>
        <w:t xml:space="preserve">לשון המ"א </w:t>
      </w:r>
      <w:r>
        <w:rPr>
          <w:rFonts w:hint="cs"/>
          <w:rtl/>
        </w:rPr>
        <w:t>ו</w:t>
      </w:r>
      <w:r w:rsidRPr="007648A9">
        <w:rPr>
          <w:rFonts w:hint="cs"/>
          <w:rtl/>
        </w:rPr>
        <w:t>אדה"ז שכתב</w:t>
      </w:r>
      <w:r>
        <w:rPr>
          <w:rFonts w:hint="cs"/>
          <w:rtl/>
        </w:rPr>
        <w:t>ו</w:t>
      </w:r>
      <w:r w:rsidRPr="007648A9">
        <w:rPr>
          <w:rFonts w:hint="cs"/>
          <w:rtl/>
        </w:rPr>
        <w:t xml:space="preserve"> "</w:t>
      </w:r>
      <w:r w:rsidRPr="007648A9">
        <w:rPr>
          <w:rtl/>
        </w:rPr>
        <w:t>אבל לא כשבית הכנסת נעול</w:t>
      </w:r>
      <w:r w:rsidRPr="007648A9">
        <w:rPr>
          <w:rFonts w:hint="cs"/>
          <w:rtl/>
        </w:rPr>
        <w:t>"</w:t>
      </w:r>
      <w:r>
        <w:rPr>
          <w:rStyle w:val="FootnoteReference"/>
          <w:rFonts w:cs="Arial"/>
          <w:rtl/>
        </w:rPr>
        <w:footnoteReference w:id="69"/>
      </w:r>
      <w:r>
        <w:rPr>
          <w:rFonts w:hint="cs"/>
          <w:rtl/>
        </w:rPr>
        <w:t>, ומקורם במהרי"ל</w:t>
      </w:r>
      <w:r>
        <w:rPr>
          <w:rStyle w:val="FootnoteReference"/>
          <w:rFonts w:cs="Arial"/>
          <w:rtl/>
        </w:rPr>
        <w:footnoteReference w:id="70"/>
      </w:r>
      <w:r>
        <w:rPr>
          <w:rFonts w:hint="cs"/>
          <w:rtl/>
        </w:rPr>
        <w:t xml:space="preserve"> שכתב</w:t>
      </w:r>
      <w:r w:rsidRPr="004A7E87">
        <w:rPr>
          <w:rtl/>
        </w:rPr>
        <w:t xml:space="preserve"> </w:t>
      </w:r>
      <w:r>
        <w:rPr>
          <w:rFonts w:hint="cs"/>
          <w:rtl/>
        </w:rPr>
        <w:t>"</w:t>
      </w:r>
      <w:r w:rsidRPr="004A7E87">
        <w:rPr>
          <w:rtl/>
        </w:rPr>
        <w:t xml:space="preserve">ואם הפתח </w:t>
      </w:r>
      <w:r w:rsidRPr="006D176C">
        <w:rPr>
          <w:bCs/>
          <w:rtl/>
        </w:rPr>
        <w:t>נעולה</w:t>
      </w:r>
      <w:r w:rsidRPr="004A7E87">
        <w:rPr>
          <w:rtl/>
        </w:rPr>
        <w:t xml:space="preserve"> יאמר תחנה בלתי כסוי </w:t>
      </w:r>
      <w:r w:rsidRPr="004A7E87">
        <w:rPr>
          <w:rFonts w:hint="cs"/>
          <w:rtl/>
        </w:rPr>
        <w:t>עיניי</w:t>
      </w:r>
      <w:r w:rsidRPr="004A7E87">
        <w:rPr>
          <w:rFonts w:hint="eastAsia"/>
          <w:rtl/>
        </w:rPr>
        <w:t>ם</w:t>
      </w:r>
      <w:r>
        <w:rPr>
          <w:rFonts w:hint="cs"/>
          <w:rtl/>
        </w:rPr>
        <w:t>".</w:t>
      </w:r>
      <w:r w:rsidRPr="007648A9">
        <w:rPr>
          <w:rFonts w:hint="cs"/>
          <w:rtl/>
        </w:rPr>
        <w:t xml:space="preserve"> היינו שה</w:t>
      </w:r>
      <w:r>
        <w:rPr>
          <w:rFonts w:hint="cs"/>
          <w:rtl/>
        </w:rPr>
        <w:t xml:space="preserve">פוסקים הנ"ל (מהרי"ל, </w:t>
      </w:r>
      <w:r w:rsidRPr="007648A9">
        <w:rPr>
          <w:rFonts w:hint="cs"/>
          <w:rtl/>
        </w:rPr>
        <w:t>מ"א</w:t>
      </w:r>
      <w:r>
        <w:rPr>
          <w:rFonts w:hint="cs"/>
          <w:rtl/>
        </w:rPr>
        <w:t>,</w:t>
      </w:r>
      <w:r w:rsidRPr="007648A9">
        <w:rPr>
          <w:rFonts w:hint="cs"/>
          <w:rtl/>
        </w:rPr>
        <w:t xml:space="preserve"> ואדה"ז</w:t>
      </w:r>
      <w:r>
        <w:rPr>
          <w:rFonts w:hint="cs"/>
          <w:rtl/>
        </w:rPr>
        <w:t>)</w:t>
      </w:r>
      <w:r w:rsidRPr="007648A9">
        <w:rPr>
          <w:rFonts w:hint="cs"/>
          <w:rtl/>
        </w:rPr>
        <w:t xml:space="preserve"> תלו את </w:t>
      </w:r>
      <w:r>
        <w:rPr>
          <w:rFonts w:hint="cs"/>
          <w:rtl/>
        </w:rPr>
        <w:t>דין</w:t>
      </w:r>
      <w:r w:rsidRPr="007648A9">
        <w:rPr>
          <w:rFonts w:hint="cs"/>
          <w:rtl/>
        </w:rPr>
        <w:t xml:space="preserve"> נפילת אפים </w:t>
      </w:r>
      <w:r w:rsidRPr="00A26BFB">
        <w:rPr>
          <w:rFonts w:hint="cs"/>
          <w:bCs/>
          <w:rtl/>
        </w:rPr>
        <w:t>בנעילת</w:t>
      </w:r>
      <w:r w:rsidRPr="007648A9">
        <w:rPr>
          <w:rFonts w:hint="cs"/>
          <w:rtl/>
        </w:rPr>
        <w:t xml:space="preserve"> ביהכנ"ס דוקא,</w:t>
      </w:r>
      <w:r w:rsidRPr="007648A9">
        <w:rPr>
          <w:rtl/>
        </w:rPr>
        <w:t xml:space="preserve"> </w:t>
      </w:r>
      <w:r w:rsidRPr="007648A9">
        <w:rPr>
          <w:rFonts w:hint="cs"/>
          <w:rtl/>
        </w:rPr>
        <w:t xml:space="preserve">שהפתח לא יהי' נעול, הא אם הוא סגור (ולא נעול), </w:t>
      </w:r>
      <w:r>
        <w:rPr>
          <w:rFonts w:hint="cs"/>
          <w:rtl/>
        </w:rPr>
        <w:t>[</w:t>
      </w:r>
      <w:r w:rsidRPr="007648A9">
        <w:rPr>
          <w:rFonts w:hint="cs"/>
          <w:rtl/>
        </w:rPr>
        <w:t>וכ"ש אם ה</w:t>
      </w:r>
      <w:r>
        <w:rPr>
          <w:rFonts w:hint="cs"/>
          <w:rtl/>
        </w:rPr>
        <w:t>פתח</w:t>
      </w:r>
      <w:r w:rsidRPr="007648A9">
        <w:rPr>
          <w:rFonts w:hint="cs"/>
          <w:rtl/>
        </w:rPr>
        <w:t xml:space="preserve"> פתוח אלא שהמתפלל עומד </w:t>
      </w:r>
      <w:r>
        <w:rPr>
          <w:rFonts w:hint="cs"/>
          <w:rtl/>
        </w:rPr>
        <w:t>מה</w:t>
      </w:r>
      <w:r w:rsidRPr="007648A9">
        <w:rPr>
          <w:rFonts w:hint="cs"/>
          <w:rtl/>
        </w:rPr>
        <w:t xml:space="preserve">צד ואינו יכול לראות מקום הס"ת, </w:t>
      </w:r>
      <w:r>
        <w:rPr>
          <w:rFonts w:hint="cs"/>
          <w:rtl/>
        </w:rPr>
        <w:t xml:space="preserve">כנ"ל], לכאורה </w:t>
      </w:r>
      <w:r w:rsidRPr="007648A9">
        <w:rPr>
          <w:rFonts w:hint="cs"/>
          <w:rtl/>
        </w:rPr>
        <w:t>שפיר דמי ליפול על פניהם.</w:t>
      </w:r>
    </w:p>
    <w:p w14:paraId="0FFF3766" w14:textId="77777777" w:rsidR="004E3A96" w:rsidRDefault="004E3A96" w:rsidP="00E60D97">
      <w:pPr>
        <w:pStyle w:val="a3"/>
        <w:rPr>
          <w:rtl/>
        </w:rPr>
      </w:pPr>
      <w:r>
        <w:rPr>
          <w:rFonts w:hint="cs"/>
          <w:rtl/>
        </w:rPr>
        <w:t xml:space="preserve">אמנם ראה בדעת תורה (למהרש"ם, סי' קלא ס"ב) שלא ס"ל הכי בשיטת המ"א, אלא הוא כתב שאם הדלת סתומה [=סגורה], </w:t>
      </w:r>
      <w:r w:rsidRPr="001942E6">
        <w:rPr>
          <w:rtl/>
        </w:rPr>
        <w:t>דהיינו מוגף ולא נעול</w:t>
      </w:r>
      <w:r w:rsidRPr="001942E6">
        <w:rPr>
          <w:rFonts w:hint="cs"/>
          <w:rtl/>
        </w:rPr>
        <w:t>,</w:t>
      </w:r>
      <w:r w:rsidRPr="001942E6">
        <w:rPr>
          <w:rtl/>
        </w:rPr>
        <w:t xml:space="preserve"> </w:t>
      </w:r>
      <w:r>
        <w:rPr>
          <w:rFonts w:hint="cs"/>
          <w:rtl/>
        </w:rPr>
        <w:t xml:space="preserve">גם זה דינו </w:t>
      </w:r>
      <w:r w:rsidRPr="001942E6">
        <w:rPr>
          <w:rtl/>
        </w:rPr>
        <w:t>כנעול</w:t>
      </w:r>
      <w:r w:rsidRPr="001942E6">
        <w:rPr>
          <w:rFonts w:hint="cs"/>
          <w:rtl/>
        </w:rPr>
        <w:t>.</w:t>
      </w:r>
      <w:r w:rsidRPr="001942E6">
        <w:rPr>
          <w:rtl/>
        </w:rPr>
        <w:t xml:space="preserve"> </w:t>
      </w:r>
      <w:r>
        <w:rPr>
          <w:rFonts w:hint="cs"/>
          <w:rtl/>
        </w:rPr>
        <w:t>אלא ש</w:t>
      </w:r>
      <w:r w:rsidRPr="001942E6">
        <w:rPr>
          <w:rtl/>
        </w:rPr>
        <w:t>אם תלוי רק וילון לפני הפתח</w:t>
      </w:r>
      <w:r>
        <w:rPr>
          <w:rFonts w:hint="cs"/>
          <w:rtl/>
        </w:rPr>
        <w:t>,</w:t>
      </w:r>
      <w:r w:rsidRPr="001942E6">
        <w:rPr>
          <w:rtl/>
        </w:rPr>
        <w:t xml:space="preserve"> כפתוח דמ</w:t>
      </w:r>
      <w:r w:rsidRPr="001942E6">
        <w:rPr>
          <w:rFonts w:hint="cs"/>
          <w:rtl/>
        </w:rPr>
        <w:t>י</w:t>
      </w:r>
      <w:r>
        <w:rPr>
          <w:rFonts w:hint="cs"/>
          <w:rtl/>
        </w:rPr>
        <w:t xml:space="preserve">. </w:t>
      </w:r>
      <w:r w:rsidRPr="001942E6">
        <w:rPr>
          <w:rFonts w:hint="cs"/>
          <w:rtl/>
        </w:rPr>
        <w:t xml:space="preserve">והוכיח כן מגמרא </w:t>
      </w:r>
      <w:r>
        <w:rPr>
          <w:rFonts w:hint="cs"/>
          <w:rtl/>
        </w:rPr>
        <w:t>(</w:t>
      </w:r>
      <w:r w:rsidRPr="007648A9">
        <w:rPr>
          <w:rtl/>
        </w:rPr>
        <w:t>זבחים נה</w:t>
      </w:r>
      <w:r>
        <w:rPr>
          <w:rFonts w:hint="cs"/>
          <w:rtl/>
        </w:rPr>
        <w:t>,</w:t>
      </w:r>
      <w:r w:rsidRPr="007648A9">
        <w:rPr>
          <w:rtl/>
        </w:rPr>
        <w:t xml:space="preserve"> ב</w:t>
      </w:r>
      <w:r>
        <w:rPr>
          <w:rFonts w:hint="cs"/>
          <w:rtl/>
        </w:rPr>
        <w:t>)</w:t>
      </w:r>
      <w:r w:rsidRPr="007648A9">
        <w:rPr>
          <w:rtl/>
        </w:rPr>
        <w:t xml:space="preserve"> </w:t>
      </w:r>
      <w:r>
        <w:rPr>
          <w:rFonts w:hint="cs"/>
          <w:rtl/>
        </w:rPr>
        <w:t>"</w:t>
      </w:r>
      <w:r w:rsidRPr="007648A9">
        <w:rPr>
          <w:rtl/>
        </w:rPr>
        <w:t>שלמים ששחטן קודם פתיחת דלתות היכל פסולין וכו'</w:t>
      </w:r>
      <w:r>
        <w:rPr>
          <w:rFonts w:hint="cs"/>
          <w:rtl/>
        </w:rPr>
        <w:t>,</w:t>
      </w:r>
      <w:r w:rsidRPr="007648A9">
        <w:rPr>
          <w:rtl/>
        </w:rPr>
        <w:t xml:space="preserve"> בזמן שהוא פתוח ולא בזמן שהוא נעול</w:t>
      </w:r>
      <w:r>
        <w:rPr>
          <w:rFonts w:hint="cs"/>
          <w:rtl/>
        </w:rPr>
        <w:t>,</w:t>
      </w:r>
      <w:r w:rsidRPr="007648A9">
        <w:rPr>
          <w:rtl/>
        </w:rPr>
        <w:t xml:space="preserve"> פשיטא מוגף </w:t>
      </w:r>
      <w:r>
        <w:rPr>
          <w:rFonts w:hint="cs"/>
          <w:rtl/>
        </w:rPr>
        <w:t>כנ</w:t>
      </w:r>
      <w:r w:rsidRPr="007648A9">
        <w:rPr>
          <w:rtl/>
        </w:rPr>
        <w:t>עול דמי</w:t>
      </w:r>
      <w:r>
        <w:rPr>
          <w:rFonts w:hint="cs"/>
          <w:rtl/>
        </w:rPr>
        <w:t>.</w:t>
      </w:r>
      <w:r w:rsidRPr="007648A9">
        <w:rPr>
          <w:rtl/>
        </w:rPr>
        <w:t xml:space="preserve"> וילון מאי</w:t>
      </w:r>
      <w:r>
        <w:rPr>
          <w:rFonts w:hint="cs"/>
          <w:rtl/>
        </w:rPr>
        <w:t xml:space="preserve"> [</w:t>
      </w:r>
      <w:r w:rsidRPr="007648A9">
        <w:rPr>
          <w:rtl/>
        </w:rPr>
        <w:t xml:space="preserve">וילון פרוש כנגד הפתח אם </w:t>
      </w:r>
      <w:r>
        <w:rPr>
          <w:rFonts w:hint="cs"/>
          <w:rtl/>
        </w:rPr>
        <w:t>כנ</w:t>
      </w:r>
      <w:r w:rsidRPr="007648A9">
        <w:rPr>
          <w:rtl/>
        </w:rPr>
        <w:t>עול דמי או לא</w:t>
      </w:r>
      <w:r>
        <w:rPr>
          <w:rFonts w:hint="cs"/>
          <w:rtl/>
        </w:rPr>
        <w:t>.</w:t>
      </w:r>
      <w:r w:rsidRPr="007648A9">
        <w:rPr>
          <w:rtl/>
        </w:rPr>
        <w:t xml:space="preserve"> רש"י</w:t>
      </w:r>
      <w:r>
        <w:rPr>
          <w:rFonts w:hint="cs"/>
          <w:rtl/>
        </w:rPr>
        <w:t>],</w:t>
      </w:r>
      <w:r w:rsidRPr="007648A9">
        <w:rPr>
          <w:rtl/>
        </w:rPr>
        <w:t xml:space="preserve"> אמר ר"ז הוא עצמו אין נעשה אלא כפתח פתוח</w:t>
      </w:r>
      <w:r>
        <w:rPr>
          <w:rFonts w:hint="cs"/>
          <w:rtl/>
        </w:rPr>
        <w:t>".</w:t>
      </w:r>
      <w:r w:rsidRPr="007648A9">
        <w:rPr>
          <w:rtl/>
        </w:rPr>
        <w:t xml:space="preserve"> וע"ש ברש"י דכיון </w:t>
      </w:r>
      <w:r>
        <w:rPr>
          <w:rFonts w:hint="cs"/>
          <w:rtl/>
        </w:rPr>
        <w:t>ד</w:t>
      </w:r>
      <w:r w:rsidRPr="007648A9">
        <w:rPr>
          <w:rtl/>
        </w:rPr>
        <w:t>לצניעותא בעלמא עביד לא חשיב</w:t>
      </w:r>
      <w:r>
        <w:rPr>
          <w:rFonts w:hint="cs"/>
          <w:rtl/>
        </w:rPr>
        <w:t xml:space="preserve"> </w:t>
      </w:r>
      <w:r w:rsidRPr="007648A9">
        <w:rPr>
          <w:rtl/>
        </w:rPr>
        <w:t>כנעול</w:t>
      </w:r>
      <w:r>
        <w:rPr>
          <w:rFonts w:hint="cs"/>
          <w:rtl/>
        </w:rPr>
        <w:t>,</w:t>
      </w:r>
      <w:r w:rsidRPr="007648A9">
        <w:rPr>
          <w:rtl/>
        </w:rPr>
        <w:t xml:space="preserve"> וה"נ בזה</w:t>
      </w:r>
      <w:r>
        <w:rPr>
          <w:rFonts w:hint="cs"/>
          <w:rtl/>
        </w:rPr>
        <w:t>. עכ"ל הדע"ת.</w:t>
      </w:r>
    </w:p>
    <w:p w14:paraId="4CFD089D" w14:textId="77777777" w:rsidR="004E3A96" w:rsidRDefault="004E3A96" w:rsidP="00E60D97">
      <w:pPr>
        <w:pStyle w:val="a3"/>
        <w:rPr>
          <w:rtl/>
        </w:rPr>
      </w:pPr>
      <w:r>
        <w:rPr>
          <w:rFonts w:hint="cs"/>
          <w:rtl/>
        </w:rPr>
        <w:t>ולפי דבריו נמצא, שדיוק הב' הנ"ל - שהעיקר הקובע לענין שלילת נפילת אפים</w:t>
      </w:r>
      <w:r w:rsidRPr="00863402">
        <w:rPr>
          <w:rFonts w:hint="cs"/>
          <w:rtl/>
        </w:rPr>
        <w:t xml:space="preserve"> הוא</w:t>
      </w:r>
      <w:r>
        <w:rPr>
          <w:rFonts w:hint="cs"/>
          <w:rtl/>
        </w:rPr>
        <w:t>,</w:t>
      </w:r>
      <w:r w:rsidRPr="00863402">
        <w:rPr>
          <w:rFonts w:hint="cs"/>
          <w:rtl/>
        </w:rPr>
        <w:t xml:space="preserve"> כשהפתח</w:t>
      </w:r>
      <w:r>
        <w:rPr>
          <w:rFonts w:hint="cs"/>
          <w:rtl/>
        </w:rPr>
        <w:t xml:space="preserve"> של מקום הס"ת</w:t>
      </w:r>
      <w:r w:rsidRPr="00863402">
        <w:rPr>
          <w:rFonts w:hint="cs"/>
          <w:rtl/>
        </w:rPr>
        <w:t xml:space="preserve"> נעול</w:t>
      </w:r>
      <w:r>
        <w:rPr>
          <w:rFonts w:hint="cs"/>
          <w:rtl/>
        </w:rPr>
        <w:t>,</w:t>
      </w:r>
      <w:r w:rsidRPr="00863402">
        <w:rPr>
          <w:rFonts w:hint="cs"/>
          <w:rtl/>
        </w:rPr>
        <w:t xml:space="preserve"> אך אם הוא רק סגור </w:t>
      </w:r>
      <w:r>
        <w:rPr>
          <w:rFonts w:hint="cs"/>
          <w:rtl/>
        </w:rPr>
        <w:t xml:space="preserve">לית לן בה </w:t>
      </w:r>
      <w:r>
        <w:rPr>
          <w:rtl/>
        </w:rPr>
        <w:t>–</w:t>
      </w:r>
      <w:r>
        <w:rPr>
          <w:rFonts w:hint="cs"/>
          <w:rtl/>
        </w:rPr>
        <w:t xml:space="preserve"> דיוק זה אינו נכון. והיינו, שאם הדלת (של ג"ע התחתון או הזאל) היתה סגורה בשעת התפילה (וכמדומה כן היתה המציאות כשהרבי התפלל בג"ע התחתון), אף אם לא היתה נעולה, מ"מ דין המקום הוא כמקום שאין בו ס"ת, ואין נופלים שם נפילת אפים</w:t>
      </w:r>
      <w:r>
        <w:rPr>
          <w:rStyle w:val="FootnoteReference"/>
          <w:rFonts w:cs="Arial"/>
          <w:rtl/>
        </w:rPr>
        <w:footnoteReference w:id="71"/>
      </w:r>
      <w:r>
        <w:rPr>
          <w:rFonts w:hint="cs"/>
          <w:rtl/>
        </w:rPr>
        <w:t xml:space="preserve"> (ולפי זה הביאור הנ"ל בשיטת הרבי אינו). </w:t>
      </w:r>
    </w:p>
    <w:p w14:paraId="22405098" w14:textId="77777777" w:rsidR="004E3A96" w:rsidRDefault="004E3A96" w:rsidP="00E60D97">
      <w:pPr>
        <w:pStyle w:val="a3"/>
        <w:rPr>
          <w:rtl/>
        </w:rPr>
      </w:pPr>
      <w:r>
        <w:rPr>
          <w:rFonts w:hint="cs"/>
          <w:rtl/>
        </w:rPr>
        <w:t xml:space="preserve">אמנם גם לדעתו (בשיטת המ"א), אי"צ לראות בפועל את מקום הס"ת אלא אפשר </w:t>
      </w:r>
      <w:r>
        <w:rPr>
          <w:rFonts w:hint="cs"/>
          <w:rtl/>
        </w:rPr>
        <w:lastRenderedPageBreak/>
        <w:t xml:space="preserve">ליפול על פניו גם אם עומד מהצד ואינו רואה את הפתח פתוח (וכדיוק הא' הנ"ל). כי כתב שאפילו וילון הפרוס שם אינו מפסיק (אף שלכאורה וילון הוא דבר המפסיק בגשמיות), עאכו"כ אם כל החסרון הוא רק שהאדם אינו רואה את הפתח כי מקום עמידתו הוא בצד, בחצר ביהכנ"ס, אך אין שום דבר מפסיק בין מקום עמידתו למקום הס"ת, לכאורה ודאי שפיר דמי ליפול על פניו. </w:t>
      </w:r>
    </w:p>
    <w:p w14:paraId="4D8FBF7D" w14:textId="7D21C64F" w:rsidR="004E3A96" w:rsidRPr="0072178A" w:rsidRDefault="004E3A96" w:rsidP="00E60D97">
      <w:pPr>
        <w:pStyle w:val="a3"/>
        <w:rPr>
          <w:rtl/>
        </w:rPr>
      </w:pPr>
      <w:r>
        <w:rPr>
          <w:rFonts w:hint="cs"/>
          <w:rtl/>
        </w:rPr>
        <w:t>[ויש להעיר מדברי שו"ת אז נדברו (ח"ה סי' כו) שכתב, ש</w:t>
      </w:r>
      <w:r w:rsidRPr="001E320D">
        <w:rPr>
          <w:rtl/>
        </w:rPr>
        <w:t>א</w:t>
      </w:r>
      <w:r>
        <w:rPr>
          <w:rFonts w:hint="cs"/>
          <w:rtl/>
        </w:rPr>
        <w:t>ם</w:t>
      </w:r>
      <w:r w:rsidRPr="001E320D">
        <w:rPr>
          <w:rtl/>
        </w:rPr>
        <w:t xml:space="preserve"> </w:t>
      </w:r>
      <w:r>
        <w:rPr>
          <w:rFonts w:hint="cs"/>
          <w:rtl/>
        </w:rPr>
        <w:t xml:space="preserve">הפתח </w:t>
      </w:r>
      <w:r w:rsidRPr="001E320D">
        <w:rPr>
          <w:rtl/>
        </w:rPr>
        <w:t xml:space="preserve">סגור </w:t>
      </w:r>
      <w:r>
        <w:rPr>
          <w:rFonts w:hint="cs"/>
          <w:rtl/>
        </w:rPr>
        <w:t xml:space="preserve">אך אינו נעול </w:t>
      </w:r>
      <w:r w:rsidRPr="001E320D">
        <w:rPr>
          <w:rtl/>
        </w:rPr>
        <w:t>במנעול</w:t>
      </w:r>
      <w:r>
        <w:rPr>
          <w:rFonts w:hint="cs"/>
          <w:rtl/>
        </w:rPr>
        <w:t>,</w:t>
      </w:r>
      <w:r w:rsidRPr="001E320D">
        <w:rPr>
          <w:rtl/>
        </w:rPr>
        <w:t xml:space="preserve"> מקרי פתוח לענין נפ"א</w:t>
      </w:r>
      <w:r>
        <w:rPr>
          <w:rFonts w:hint="cs"/>
          <w:rtl/>
        </w:rPr>
        <w:t xml:space="preserve"> (והוא דלא כדעת תורה הנ"ל, ולדעתו יש מקום לביאור זה בהנהגת הרבי), עיי"ש. ואכמ"ל].</w:t>
      </w:r>
    </w:p>
    <w:p w14:paraId="1EB1ECDD" w14:textId="77777777" w:rsidR="004E3A96" w:rsidRDefault="004E3A96" w:rsidP="00E60D97">
      <w:pPr>
        <w:pStyle w:val="11"/>
        <w:rPr>
          <w:rtl/>
        </w:rPr>
      </w:pPr>
      <w:r>
        <w:rPr>
          <w:rFonts w:hint="cs"/>
          <w:rtl/>
        </w:rPr>
        <w:t>ספרי קדש</w:t>
      </w:r>
    </w:p>
    <w:p w14:paraId="2AD89495" w14:textId="77777777" w:rsidR="004E3A96" w:rsidRPr="004E3A96" w:rsidRDefault="004E3A96" w:rsidP="00E60D97">
      <w:pPr>
        <w:pStyle w:val="a3"/>
        <w:rPr>
          <w:rtl/>
        </w:rPr>
      </w:pPr>
      <w:r w:rsidRPr="00507837">
        <w:rPr>
          <w:rFonts w:hint="cs"/>
          <w:bCs/>
          <w:rtl/>
        </w:rPr>
        <w:t>ב.</w:t>
      </w:r>
      <w:r>
        <w:rPr>
          <w:rFonts w:hint="cs"/>
          <w:rtl/>
        </w:rPr>
        <w:t xml:space="preserve"> עוד אופן לבאר </w:t>
      </w:r>
      <w:r w:rsidRPr="004E3A96">
        <w:rPr>
          <w:rFonts w:hint="cs"/>
          <w:rtl/>
        </w:rPr>
        <w:t xml:space="preserve">הנהגת הרבי שנפל נפילת אפים גם במקום שלא הי' בו ס"ת: </w:t>
      </w:r>
    </w:p>
    <w:p w14:paraId="51C8D7BE" w14:textId="77777777" w:rsidR="004E3A96" w:rsidRPr="004E3A96" w:rsidRDefault="004E3A96" w:rsidP="00E60D97">
      <w:pPr>
        <w:pStyle w:val="a3"/>
        <w:rPr>
          <w:rtl/>
        </w:rPr>
      </w:pPr>
      <w:r w:rsidRPr="004E3A96">
        <w:rPr>
          <w:rFonts w:hint="cs"/>
          <w:rtl/>
        </w:rPr>
        <w:t>[ותחילה מהראוי להקדים הקדמה קצרה. בהערת המערכת</w:t>
      </w:r>
      <w:r w:rsidRPr="00E60D97">
        <w:rPr>
          <w:rStyle w:val="FootnoteReference"/>
          <w:rtl/>
        </w:rPr>
        <w:footnoteReference w:id="72"/>
      </w:r>
      <w:r w:rsidRPr="004E3A96">
        <w:rPr>
          <w:rFonts w:hint="cs"/>
          <w:rtl/>
        </w:rPr>
        <w:t xml:space="preserve"> העירו על הסיפור (שנעתק בהתקשרות) שבבית הדפוס הרבי אמר תחינה בנפילת אפים, שאמינותו מוטלת בספק, כי אין ידוע מי שמע סיפור זה מהריל"ג. והנני מתכבד בזה להודיע מעל גבי במה חשובה זו, שככל הזכור לי גם אני בעצמי שמעתי סיפור זה מהריל"ג (בקיץ תשנ"ו, במסגרת ימי עיון לצוות של מכללת בית רבקה), שהרבי נפל על אפיו ב</w:t>
      </w:r>
      <w:r w:rsidRPr="004E3A96">
        <w:rPr>
          <w:rtl/>
        </w:rPr>
        <w:t xml:space="preserve">בית הדפוס </w:t>
      </w:r>
      <w:r w:rsidRPr="004E3A96">
        <w:rPr>
          <w:rFonts w:hint="cs"/>
          <w:rtl/>
        </w:rPr>
        <w:t>"</w:t>
      </w:r>
      <w:r w:rsidRPr="004E3A96">
        <w:rPr>
          <w:rtl/>
        </w:rPr>
        <w:t>בלשן</w:t>
      </w:r>
      <w:r w:rsidRPr="004E3A96">
        <w:rPr>
          <w:rFonts w:hint="cs"/>
          <w:rtl/>
        </w:rPr>
        <w:t>"</w:t>
      </w:r>
      <w:r w:rsidRPr="004E3A96">
        <w:rPr>
          <w:rtl/>
        </w:rPr>
        <w:t xml:space="preserve"> </w:t>
      </w:r>
      <w:r w:rsidRPr="004E3A96">
        <w:rPr>
          <w:rFonts w:hint="cs"/>
          <w:rtl/>
        </w:rPr>
        <w:t>בלי שהי' שם ס"ת (ולא שממני הגיע סיפור זה למערכת "התקשרות", אלא שגם אני בעצמי שמעתי סיפור זה מפיו בלי קשר להנדפס ב"התקשרות"). ומכיון שכך הנני מתייחס לסיפור זה כאמת</w:t>
      </w:r>
      <w:r w:rsidRPr="00E60D97">
        <w:rPr>
          <w:rStyle w:val="FootnoteReference"/>
          <w:rtl/>
        </w:rPr>
        <w:footnoteReference w:id="73"/>
      </w:r>
      <w:r w:rsidRPr="004E3A96">
        <w:rPr>
          <w:rFonts w:hint="cs"/>
          <w:rtl/>
        </w:rPr>
        <w:t>, והנני להציע בזה ביאור שיכול לבאר הנהגת הרבי שם אך אין בו כדי לבאר ההנהגה בג"ע התחתון].</w:t>
      </w:r>
    </w:p>
    <w:p w14:paraId="21097608" w14:textId="77777777" w:rsidR="004E3A96" w:rsidRPr="004E3A96" w:rsidRDefault="004E3A96" w:rsidP="00E60D97">
      <w:pPr>
        <w:pStyle w:val="a3"/>
        <w:rPr>
          <w:rtl/>
        </w:rPr>
      </w:pPr>
      <w:r w:rsidRPr="004E3A96">
        <w:rPr>
          <w:rFonts w:hint="cs"/>
          <w:rtl/>
        </w:rPr>
        <w:t>דהנה מה שהרבי נפל על אפיו בבית הדפוס אפשר לבאר בפשטות, שהוא משום שאף שלא הי' שם ס"ת אבל היו שם שאר ספרי קדש - שהרי זהו דפוס שהדפיס ספרי קדש, ובפשטות היו שם הרבה ספרי קדש הנדפסים (מלבד הספרים הפרטיים של בעלי הדפוס) - ובמקום שיש ספרי קדש יש מקילין ליפול שם על פניהם.</w:t>
      </w:r>
      <w:r w:rsidRPr="004E3A96">
        <w:rPr>
          <w:rtl/>
        </w:rPr>
        <w:t xml:space="preserve"> </w:t>
      </w:r>
      <w:r w:rsidRPr="004E3A96">
        <w:rPr>
          <w:rFonts w:hint="cs"/>
          <w:rtl/>
        </w:rPr>
        <w:t xml:space="preserve">כמ"ש שיירי כנסת הגדולה (שם, הגהת הב"י אות ו): </w:t>
      </w:r>
      <w:r w:rsidRPr="004E3A96">
        <w:rPr>
          <w:rtl/>
        </w:rPr>
        <w:t>שלא מיעט הרוקח אלא בבית שאין שם ספר תורה</w:t>
      </w:r>
      <w:r w:rsidRPr="004E3A96">
        <w:rPr>
          <w:rFonts w:hint="cs"/>
          <w:rtl/>
        </w:rPr>
        <w:t>,</w:t>
      </w:r>
      <w:r w:rsidRPr="004E3A96">
        <w:rPr>
          <w:rtl/>
        </w:rPr>
        <w:t xml:space="preserve"> אבל בבית הכנסת שיש ספרים לקרות אפילו אין שם ספר תורה נופלין על פניהם</w:t>
      </w:r>
      <w:r w:rsidRPr="004E3A96">
        <w:rPr>
          <w:rFonts w:hint="cs"/>
          <w:rtl/>
        </w:rPr>
        <w:t>.</w:t>
      </w:r>
      <w:r w:rsidRPr="004E3A96">
        <w:rPr>
          <w:rtl/>
        </w:rPr>
        <w:t xml:space="preserve"> ועל דא אנא סמיכנא לנפול על אפים הי</w:t>
      </w:r>
      <w:r w:rsidRPr="004E3A96">
        <w:rPr>
          <w:rFonts w:hint="cs"/>
          <w:rtl/>
        </w:rPr>
        <w:t>כ</w:t>
      </w:r>
      <w:r w:rsidRPr="004E3A96">
        <w:rPr>
          <w:rtl/>
        </w:rPr>
        <w:t>א דגריסנא</w:t>
      </w:r>
      <w:r w:rsidRPr="004E3A96">
        <w:rPr>
          <w:rFonts w:hint="cs"/>
          <w:rtl/>
        </w:rPr>
        <w:t>,</w:t>
      </w:r>
      <w:r w:rsidRPr="004E3A96">
        <w:rPr>
          <w:rtl/>
        </w:rPr>
        <w:t xml:space="preserve"> רצוני לומר </w:t>
      </w:r>
      <w:r w:rsidRPr="004E3A96">
        <w:rPr>
          <w:rFonts w:hint="cs"/>
          <w:rtl/>
        </w:rPr>
        <w:t xml:space="preserve">[שאפשר בזה] </w:t>
      </w:r>
      <w:r w:rsidRPr="004E3A96">
        <w:rPr>
          <w:rtl/>
        </w:rPr>
        <w:t>לצאת אפילו י"ח סברת הרוקח</w:t>
      </w:r>
      <w:r w:rsidRPr="004E3A96">
        <w:rPr>
          <w:rFonts w:hint="cs"/>
          <w:rtl/>
        </w:rPr>
        <w:t>. עכ"ל.</w:t>
      </w:r>
    </w:p>
    <w:p w14:paraId="79360E79" w14:textId="13C1CB80" w:rsidR="004E3A96" w:rsidRPr="0072178A" w:rsidRDefault="004E3A96" w:rsidP="00E60D97">
      <w:pPr>
        <w:pStyle w:val="a3"/>
        <w:rPr>
          <w:rtl/>
        </w:rPr>
      </w:pPr>
      <w:r w:rsidRPr="004E3A96">
        <w:rPr>
          <w:rFonts w:hint="cs"/>
          <w:rtl/>
        </w:rPr>
        <w:t xml:space="preserve">דעה זו הובאה להלכה בבאר היטב (סק"ו), וכן הובאה במשנה ברורה (סקי"א), בכף </w:t>
      </w:r>
      <w:r w:rsidRPr="004E3A96">
        <w:rPr>
          <w:rFonts w:hint="cs"/>
          <w:rtl/>
        </w:rPr>
        <w:lastRenderedPageBreak/>
        <w:t xml:space="preserve">החיים (אות מה) ועוד. ואף שיש חולקים בדבר (הובאו במשנה ברורה ובכף החיים שם), מ"מ יש עוד פוסקים הסוברים כן (צוינו בשער הציון על המשנה ברורה שם). </w:t>
      </w:r>
      <w:bookmarkStart w:id="145" w:name="_Hlk80179725"/>
      <w:r w:rsidRPr="004E3A96">
        <w:rPr>
          <w:rFonts w:hint="cs"/>
          <w:rtl/>
        </w:rPr>
        <w:t>גם בהגהות החתם סופר על השו"ע (סי' קלא ס"ב) הביא דעה זו להלכה,</w:t>
      </w:r>
      <w:bookmarkEnd w:id="145"/>
      <w:r w:rsidRPr="004E3A96">
        <w:rPr>
          <w:rFonts w:hint="cs"/>
          <w:rtl/>
        </w:rPr>
        <w:t xml:space="preserve"> וכן בשו"ת אגרות משה (או"ח ח"ה סי' כ אות ה) הביא דעה זו וסמך עלי'. ואפשר שגם הרבי סמך עלי'. </w:t>
      </w:r>
    </w:p>
    <w:p w14:paraId="29D62F06" w14:textId="77777777" w:rsidR="004E3A96" w:rsidRDefault="004E3A96" w:rsidP="00E60D97">
      <w:pPr>
        <w:pStyle w:val="11"/>
        <w:rPr>
          <w:rtl/>
        </w:rPr>
      </w:pPr>
      <w:r w:rsidRPr="00EC4A41">
        <w:rPr>
          <w:rtl/>
        </w:rPr>
        <w:t>מו</w:t>
      </w:r>
      <w:r w:rsidRPr="00EC4A41">
        <w:rPr>
          <w:rFonts w:hint="cs"/>
          <w:rtl/>
        </w:rPr>
        <w:t>חז</w:t>
      </w:r>
      <w:r w:rsidRPr="00EC4A41">
        <w:rPr>
          <w:rtl/>
        </w:rPr>
        <w:t xml:space="preserve">ק בחסידות </w:t>
      </w:r>
    </w:p>
    <w:p w14:paraId="18D6B55A" w14:textId="77777777" w:rsidR="004E3A96" w:rsidRDefault="004E3A96" w:rsidP="00E60D97">
      <w:pPr>
        <w:pStyle w:val="a3"/>
        <w:rPr>
          <w:rtl/>
        </w:rPr>
      </w:pPr>
      <w:r w:rsidRPr="001B6C2F">
        <w:rPr>
          <w:rFonts w:hint="cs"/>
          <w:bCs/>
          <w:rtl/>
        </w:rPr>
        <w:t>ג.</w:t>
      </w:r>
      <w:r>
        <w:rPr>
          <w:rFonts w:hint="cs"/>
          <w:rtl/>
        </w:rPr>
        <w:t xml:space="preserve"> עוד אופן לבאר הנהגת הרבי, ובהקדים:</w:t>
      </w:r>
    </w:p>
    <w:p w14:paraId="7FF7EBB3" w14:textId="77777777" w:rsidR="004E3A96" w:rsidRDefault="004E3A96" w:rsidP="00E60D97">
      <w:pPr>
        <w:pStyle w:val="a3"/>
        <w:rPr>
          <w:rtl/>
        </w:rPr>
      </w:pPr>
      <w:r>
        <w:rPr>
          <w:rFonts w:hint="cs"/>
          <w:rtl/>
        </w:rPr>
        <w:t>שענין זה שלא ליפול על פניו במקום שאין בו ס"ת, אינו פשוט כל עיקר. דהן אמת מקור המנהג הוא ברוקח והובא בהגהת הרמ"א ובשו"ע אדה"ז כנ"ל, אך גם הם הביאו את המנהג בהסתייגות מסוימת והזכירוהו בלשון "יש נוהגים"</w:t>
      </w:r>
      <w:r>
        <w:rPr>
          <w:rStyle w:val="FootnoteReference"/>
          <w:rFonts w:cs="Arial"/>
          <w:rtl/>
        </w:rPr>
        <w:footnoteReference w:id="74"/>
      </w:r>
      <w:r>
        <w:rPr>
          <w:rFonts w:hint="cs"/>
          <w:rtl/>
        </w:rPr>
        <w:t>.</w:t>
      </w:r>
    </w:p>
    <w:p w14:paraId="651A2018" w14:textId="77777777" w:rsidR="004E3A96" w:rsidRDefault="004E3A96" w:rsidP="00E60D97">
      <w:pPr>
        <w:pStyle w:val="a3"/>
        <w:rPr>
          <w:rtl/>
        </w:rPr>
      </w:pPr>
      <w:r>
        <w:rPr>
          <w:rFonts w:hint="cs"/>
          <w:rtl/>
        </w:rPr>
        <w:t>ועוד שרבים חלקו על מנהג זה, הן ע"ד הנגלה והן מצד פנימיות הענינים. ראשון למפקפקים על המנהג הוא הב"י, שלאחר שהביא את דברי הרוקח כתב עליו</w:t>
      </w:r>
      <w:r w:rsidRPr="00BD25B7">
        <w:rPr>
          <w:rFonts w:hint="cs"/>
          <w:rtl/>
        </w:rPr>
        <w:t>:</w:t>
      </w:r>
      <w:r w:rsidRPr="00BD25B7">
        <w:rPr>
          <w:rtl/>
        </w:rPr>
        <w:t xml:space="preserve"> </w:t>
      </w:r>
      <w:r>
        <w:rPr>
          <w:rFonts w:hint="cs"/>
          <w:rtl/>
        </w:rPr>
        <w:t>"</w:t>
      </w:r>
      <w:r w:rsidRPr="00BD25B7">
        <w:rPr>
          <w:rtl/>
        </w:rPr>
        <w:t>ואני אומר אם קבלה נקבל</w:t>
      </w:r>
      <w:r>
        <w:rPr>
          <w:rFonts w:hint="cs"/>
          <w:rtl/>
        </w:rPr>
        <w:t>,</w:t>
      </w:r>
      <w:r w:rsidRPr="00BD25B7">
        <w:rPr>
          <w:rtl/>
        </w:rPr>
        <w:t xml:space="preserve"> ואם לד</w:t>
      </w:r>
      <w:r>
        <w:rPr>
          <w:rFonts w:hint="cs"/>
          <w:rtl/>
        </w:rPr>
        <w:t>י</w:t>
      </w:r>
      <w:r w:rsidRPr="00BD25B7">
        <w:rPr>
          <w:rtl/>
        </w:rPr>
        <w:t>ן יש תשובה</w:t>
      </w:r>
      <w:r>
        <w:rPr>
          <w:rFonts w:hint="cs"/>
          <w:rtl/>
        </w:rPr>
        <w:t xml:space="preserve">", </w:t>
      </w:r>
      <w:r w:rsidRPr="00BD25B7">
        <w:rPr>
          <w:rtl/>
        </w:rPr>
        <w:t xml:space="preserve">משמע שאינו </w:t>
      </w:r>
      <w:r>
        <w:rPr>
          <w:rFonts w:hint="cs"/>
          <w:rtl/>
        </w:rPr>
        <w:t>שלם עם זה. ואכן בשו"ע לא הביא</w:t>
      </w:r>
      <w:r w:rsidRPr="00201EC2">
        <w:rPr>
          <w:rFonts w:hint="cs"/>
          <w:rtl/>
        </w:rPr>
        <w:t xml:space="preserve"> </w:t>
      </w:r>
      <w:r>
        <w:rPr>
          <w:rFonts w:hint="cs"/>
          <w:rtl/>
        </w:rPr>
        <w:t>המחבר מנהג זה. ובט"ז (שם סק"ה) שקו"ט בדברי הב"י הנ"ל, וכתב שגם מדברי הרא"ש נראה שלא ס"ל למנהג זה</w:t>
      </w:r>
      <w:r>
        <w:rPr>
          <w:rStyle w:val="FootnoteReference"/>
          <w:rFonts w:cs="Arial"/>
          <w:rtl/>
        </w:rPr>
        <w:footnoteReference w:id="75"/>
      </w:r>
      <w:r>
        <w:rPr>
          <w:rFonts w:hint="cs"/>
          <w:rtl/>
        </w:rPr>
        <w:t>. וראה בשיירי כנסת הגדולה (הגהת הב"י אות ד) שהביא כמה דעות וחילוקי מנהגים בזה. ונעתקו גם בכף החיים (שם אות מ).</w:t>
      </w:r>
    </w:p>
    <w:p w14:paraId="364E327A" w14:textId="77777777" w:rsidR="004E3A96" w:rsidRDefault="004E3A96" w:rsidP="00E60D97">
      <w:pPr>
        <w:pStyle w:val="a3"/>
        <w:rPr>
          <w:rtl/>
        </w:rPr>
      </w:pPr>
      <w:r>
        <w:rPr>
          <w:rFonts w:hint="cs"/>
          <w:rtl/>
        </w:rPr>
        <w:t>והחיד"א (ב</w:t>
      </w:r>
      <w:r w:rsidRPr="00974513">
        <w:rPr>
          <w:rtl/>
        </w:rPr>
        <w:t>שיורי ברכה קונטרס אחרון א</w:t>
      </w:r>
      <w:r>
        <w:rPr>
          <w:rFonts w:hint="cs"/>
          <w:rtl/>
        </w:rPr>
        <w:t>) הביא מ</w:t>
      </w:r>
      <w:r w:rsidRPr="00974513">
        <w:rPr>
          <w:rtl/>
        </w:rPr>
        <w:t xml:space="preserve">שו"ת משפט צדק </w:t>
      </w:r>
      <w:r>
        <w:rPr>
          <w:rFonts w:hint="cs"/>
          <w:rtl/>
        </w:rPr>
        <w:t>(</w:t>
      </w:r>
      <w:r w:rsidRPr="00974513">
        <w:rPr>
          <w:rtl/>
        </w:rPr>
        <w:t>ח"ג</w:t>
      </w:r>
      <w:r>
        <w:rPr>
          <w:rFonts w:hint="cs"/>
          <w:rtl/>
        </w:rPr>
        <w:t xml:space="preserve"> סי' יט) ששקו"ט במנהג זה והסיק ש"</w:t>
      </w:r>
      <w:r w:rsidRPr="00974513">
        <w:rPr>
          <w:rtl/>
        </w:rPr>
        <w:t>המדקדק בדברי הפוסקים בעיניו יראה דפליגי על הרוקח</w:t>
      </w:r>
      <w:r>
        <w:rPr>
          <w:rFonts w:hint="cs"/>
          <w:rtl/>
        </w:rPr>
        <w:t>,</w:t>
      </w:r>
      <w:r w:rsidRPr="00974513">
        <w:rPr>
          <w:rtl/>
        </w:rPr>
        <w:t xml:space="preserve"> ואפשר דכל הפוסקים פליגי עליה כנראה מסתמות דבריהם</w:t>
      </w:r>
      <w:r>
        <w:rPr>
          <w:rFonts w:hint="cs"/>
          <w:rtl/>
        </w:rPr>
        <w:t>"</w:t>
      </w:r>
      <w:r>
        <w:rPr>
          <w:rStyle w:val="FootnoteReference"/>
          <w:rFonts w:cs="Arial"/>
          <w:rtl/>
        </w:rPr>
        <w:footnoteReference w:id="76"/>
      </w:r>
      <w:r>
        <w:rPr>
          <w:rFonts w:hint="cs"/>
          <w:rtl/>
        </w:rPr>
        <w:t>.</w:t>
      </w:r>
    </w:p>
    <w:p w14:paraId="70F35287" w14:textId="77777777" w:rsidR="004E3A96" w:rsidRDefault="004E3A96" w:rsidP="00E60D97">
      <w:pPr>
        <w:pStyle w:val="a3"/>
        <w:rPr>
          <w:rtl/>
        </w:rPr>
      </w:pPr>
      <w:r>
        <w:rPr>
          <w:rFonts w:hint="cs"/>
          <w:rtl/>
        </w:rPr>
        <w:t>ובכמה מקומות כתב החיד"א שגם ע"ד הקבלה יש החולקים על הרוקח, וס"ל שאפשר לומר תחינה בנפילת אפים גם אם אין שם ס"ת.</w:t>
      </w:r>
      <w:r w:rsidRPr="0044510B">
        <w:rPr>
          <w:rFonts w:hint="cs"/>
          <w:rtl/>
        </w:rPr>
        <w:t xml:space="preserve"> </w:t>
      </w:r>
      <w:r>
        <w:rPr>
          <w:rFonts w:hint="cs"/>
          <w:rtl/>
        </w:rPr>
        <w:t xml:space="preserve">ראה בברכי יוסף (סי' קלא אות א) וז"ל: </w:t>
      </w:r>
      <w:r w:rsidRPr="004160C7">
        <w:rPr>
          <w:rtl/>
        </w:rPr>
        <w:t>וגם אני שמעתי דעל פי הקבלה אין להקפיד אם יש שם ספר תורה</w:t>
      </w:r>
      <w:r>
        <w:rPr>
          <w:rFonts w:hint="cs"/>
          <w:rtl/>
        </w:rPr>
        <w:t xml:space="preserve">. וכפל דבריו (שם אות </w:t>
      </w:r>
      <w:r w:rsidRPr="009A2EC3">
        <w:rPr>
          <w:rtl/>
        </w:rPr>
        <w:t>יו"ד</w:t>
      </w:r>
      <w:r>
        <w:rPr>
          <w:rFonts w:hint="cs"/>
          <w:rtl/>
        </w:rPr>
        <w:t>):</w:t>
      </w:r>
      <w:r w:rsidRPr="009A2EC3">
        <w:rPr>
          <w:rtl/>
        </w:rPr>
        <w:t xml:space="preserve"> יש נוהגים ליפול על פניהם אף אם מתפללים ביחיד בביתם שלא בשעה שהצבור מתפללין</w:t>
      </w:r>
      <w:r>
        <w:rPr>
          <w:rFonts w:hint="cs"/>
          <w:rtl/>
        </w:rPr>
        <w:t>,</w:t>
      </w:r>
      <w:r w:rsidRPr="009A2EC3">
        <w:rPr>
          <w:rtl/>
        </w:rPr>
        <w:t xml:space="preserve"> ויש להם על מה שיסמוכו בין לפי הפשט בין על דרך האמת</w:t>
      </w:r>
      <w:r>
        <w:rPr>
          <w:rFonts w:hint="cs"/>
          <w:rtl/>
        </w:rPr>
        <w:t xml:space="preserve">. </w:t>
      </w:r>
      <w:r w:rsidRPr="004160C7">
        <w:rPr>
          <w:rtl/>
        </w:rPr>
        <w:t>ו</w:t>
      </w:r>
      <w:r>
        <w:rPr>
          <w:rFonts w:hint="cs"/>
          <w:rtl/>
        </w:rPr>
        <w:t xml:space="preserve">עוד בה שלישי', </w:t>
      </w:r>
      <w:r w:rsidRPr="004160C7">
        <w:rPr>
          <w:rtl/>
        </w:rPr>
        <w:t xml:space="preserve">בקשר גודל </w:t>
      </w:r>
      <w:r>
        <w:rPr>
          <w:rFonts w:hint="cs"/>
          <w:rtl/>
        </w:rPr>
        <w:t>(</w:t>
      </w:r>
      <w:r w:rsidRPr="004160C7">
        <w:rPr>
          <w:rtl/>
        </w:rPr>
        <w:t>סי' יט אות טז</w:t>
      </w:r>
      <w:r>
        <w:rPr>
          <w:rFonts w:hint="cs"/>
          <w:rtl/>
        </w:rPr>
        <w:t>)</w:t>
      </w:r>
      <w:r w:rsidRPr="004160C7">
        <w:rPr>
          <w:rtl/>
        </w:rPr>
        <w:t xml:space="preserve"> כתב </w:t>
      </w:r>
      <w:r>
        <w:rPr>
          <w:rFonts w:hint="cs"/>
          <w:rtl/>
        </w:rPr>
        <w:t>החיד"א</w:t>
      </w:r>
      <w:r w:rsidRPr="004160C7">
        <w:rPr>
          <w:rtl/>
        </w:rPr>
        <w:t xml:space="preserve"> </w:t>
      </w:r>
      <w:r>
        <w:rPr>
          <w:rFonts w:hint="cs"/>
          <w:rtl/>
        </w:rPr>
        <w:t>"</w:t>
      </w:r>
      <w:r w:rsidRPr="004160C7">
        <w:rPr>
          <w:rtl/>
        </w:rPr>
        <w:t>יכול לומר נפילת אפים ביחיד ובכל מקום</w:t>
      </w:r>
      <w:r>
        <w:rPr>
          <w:rFonts w:hint="cs"/>
          <w:rtl/>
        </w:rPr>
        <w:t>,</w:t>
      </w:r>
      <w:r w:rsidRPr="004160C7">
        <w:rPr>
          <w:rtl/>
        </w:rPr>
        <w:t xml:space="preserve"> ואריך בין לפשט בין לסוד</w:t>
      </w:r>
      <w:r>
        <w:rPr>
          <w:rFonts w:hint="cs"/>
          <w:rtl/>
        </w:rPr>
        <w:t xml:space="preserve">". </w:t>
      </w:r>
    </w:p>
    <w:p w14:paraId="41B1E793" w14:textId="77777777" w:rsidR="004E3A96" w:rsidRDefault="004E3A96" w:rsidP="00E60D97">
      <w:pPr>
        <w:pStyle w:val="a3"/>
        <w:rPr>
          <w:rtl/>
        </w:rPr>
      </w:pPr>
      <w:r>
        <w:rPr>
          <w:rFonts w:hint="cs"/>
          <w:rtl/>
        </w:rPr>
        <w:t xml:space="preserve">וראה בנימוקי אורח חיים (להרה"צ ממונקאטש) שגם הוא הביא כמה דיעות בזה </w:t>
      </w:r>
      <w:r>
        <w:rPr>
          <w:rFonts w:hint="cs"/>
          <w:rtl/>
        </w:rPr>
        <w:lastRenderedPageBreak/>
        <w:t>ע"ד הקבלה, שדעת הרמ"ע מפאנו</w:t>
      </w:r>
      <w:r w:rsidRPr="001D2EFF">
        <w:rPr>
          <w:rtl/>
        </w:rPr>
        <w:t xml:space="preserve"> </w:t>
      </w:r>
      <w:r>
        <w:rPr>
          <w:rFonts w:hint="cs"/>
          <w:rtl/>
        </w:rPr>
        <w:t>(</w:t>
      </w:r>
      <w:r w:rsidRPr="001D2EFF">
        <w:rPr>
          <w:rtl/>
        </w:rPr>
        <w:t>במאמר חקור דין חלק א פכ"ג</w:t>
      </w:r>
      <w:r>
        <w:rPr>
          <w:rFonts w:hint="cs"/>
          <w:rtl/>
        </w:rPr>
        <w:t>)</w:t>
      </w:r>
      <w:r w:rsidRPr="001D2EFF">
        <w:rPr>
          <w:rtl/>
        </w:rPr>
        <w:t xml:space="preserve"> </w:t>
      </w:r>
      <w:r>
        <w:rPr>
          <w:rFonts w:hint="cs"/>
          <w:rtl/>
        </w:rPr>
        <w:t xml:space="preserve">שאין </w:t>
      </w:r>
      <w:r w:rsidRPr="001D2EFF">
        <w:rPr>
          <w:rtl/>
        </w:rPr>
        <w:t xml:space="preserve">נפילת אפים </w:t>
      </w:r>
      <w:r>
        <w:rPr>
          <w:rFonts w:hint="cs"/>
          <w:rtl/>
        </w:rPr>
        <w:t xml:space="preserve">אלא </w:t>
      </w:r>
      <w:r w:rsidRPr="001D2EFF">
        <w:rPr>
          <w:rtl/>
        </w:rPr>
        <w:t>רק במקום ספר תורה</w:t>
      </w:r>
      <w:r>
        <w:rPr>
          <w:rFonts w:hint="cs"/>
          <w:rtl/>
        </w:rPr>
        <w:t xml:space="preserve">, אך בסידור האריז"ל (לר' שבתי מראשקוב - דף </w:t>
      </w:r>
      <w:r w:rsidRPr="001D2EFF">
        <w:rPr>
          <w:rFonts w:hint="cs"/>
          <w:rtl/>
        </w:rPr>
        <w:t xml:space="preserve">קב, סוע"ב) </w:t>
      </w:r>
      <w:r>
        <w:rPr>
          <w:rFonts w:hint="cs"/>
          <w:rtl/>
        </w:rPr>
        <w:t>כתב שיש ליפול על פניו</w:t>
      </w:r>
      <w:r w:rsidRPr="001D2EFF">
        <w:rPr>
          <w:rtl/>
        </w:rPr>
        <w:t xml:space="preserve"> אע"פ שאין שם ס"ת</w:t>
      </w:r>
      <w:r>
        <w:rPr>
          <w:rFonts w:hint="cs"/>
          <w:rtl/>
        </w:rPr>
        <w:t>,</w:t>
      </w:r>
      <w:r w:rsidRPr="00371039">
        <w:rPr>
          <w:rFonts w:hint="cs"/>
          <w:rtl/>
        </w:rPr>
        <w:t xml:space="preserve"> אמנם הוא</w:t>
      </w:r>
      <w:r>
        <w:rPr>
          <w:rFonts w:hint="cs"/>
          <w:rtl/>
        </w:rPr>
        <w:t xml:space="preserve"> (הרש"ר בסידור האריז"ל)</w:t>
      </w:r>
      <w:r w:rsidRPr="00371039">
        <w:rPr>
          <w:rFonts w:hint="cs"/>
          <w:rtl/>
        </w:rPr>
        <w:t xml:space="preserve"> סייג את דבריו וכתב: </w:t>
      </w:r>
      <w:r w:rsidRPr="00371039">
        <w:rPr>
          <w:rtl/>
        </w:rPr>
        <w:t>אך לא יעשה זה אלא מי שהוא מו</w:t>
      </w:r>
      <w:r w:rsidRPr="00371039">
        <w:rPr>
          <w:rFonts w:hint="cs"/>
          <w:rtl/>
        </w:rPr>
        <w:t>חז</w:t>
      </w:r>
      <w:r w:rsidRPr="00371039">
        <w:rPr>
          <w:rtl/>
        </w:rPr>
        <w:t>ק בחסידות ובהנהגת קבל</w:t>
      </w:r>
      <w:r>
        <w:rPr>
          <w:rFonts w:hint="cs"/>
          <w:rtl/>
        </w:rPr>
        <w:t>ה. עכ"ל.</w:t>
      </w:r>
    </w:p>
    <w:p w14:paraId="610DC6D8" w14:textId="77777777" w:rsidR="004E3A96" w:rsidRDefault="004E3A96" w:rsidP="00E60D97">
      <w:pPr>
        <w:pStyle w:val="a3"/>
        <w:rPr>
          <w:rtl/>
        </w:rPr>
      </w:pPr>
      <w:r>
        <w:rPr>
          <w:rFonts w:hint="cs"/>
          <w:rtl/>
        </w:rPr>
        <w:t>ובאמת בעיון בדברי הרמ"ע מפאנו (בפנים שם) רואים, שלאחר שהצריך מקום שיש בו ס"ת בשביל נפילת אפים ולאחר שביאר את תוכנה הפנימי של נפילת אפים, כתב וז"ל:</w:t>
      </w:r>
      <w:r w:rsidRPr="00881D6A">
        <w:rPr>
          <w:rtl/>
        </w:rPr>
        <w:t xml:space="preserve"> </w:t>
      </w:r>
      <w:r>
        <w:rPr>
          <w:rFonts w:hint="cs"/>
          <w:rtl/>
        </w:rPr>
        <w:t>"</w:t>
      </w:r>
      <w:r w:rsidRPr="00881D6A">
        <w:rPr>
          <w:rtl/>
        </w:rPr>
        <w:t>ול</w:t>
      </w:r>
      <w:r>
        <w:rPr>
          <w:rFonts w:hint="cs"/>
          <w:rtl/>
        </w:rPr>
        <w:t xml:space="preserve">מדנו </w:t>
      </w:r>
      <w:bookmarkStart w:id="146" w:name="_Hlk80243719"/>
      <w:r>
        <w:rPr>
          <w:rFonts w:hint="cs"/>
          <w:rtl/>
        </w:rPr>
        <w:t xml:space="preserve">שהיודע לכוין </w:t>
      </w:r>
      <w:r w:rsidRPr="00881D6A">
        <w:rPr>
          <w:rtl/>
        </w:rPr>
        <w:t>כל צרכו בכך מחשבתו משויא לי</w:t>
      </w:r>
      <w:r>
        <w:rPr>
          <w:rFonts w:hint="cs"/>
          <w:rtl/>
        </w:rPr>
        <w:t>'</w:t>
      </w:r>
      <w:r w:rsidRPr="00881D6A">
        <w:rPr>
          <w:rtl/>
        </w:rPr>
        <w:t xml:space="preserve"> מקום ספר תורה</w:t>
      </w:r>
      <w:bookmarkEnd w:id="146"/>
      <w:r>
        <w:rPr>
          <w:rFonts w:hint="cs"/>
          <w:rtl/>
        </w:rPr>
        <w:t xml:space="preserve">, [אך] </w:t>
      </w:r>
      <w:r w:rsidRPr="00881D6A">
        <w:rPr>
          <w:rtl/>
        </w:rPr>
        <w:t>לא כל הרוצה לי</w:t>
      </w:r>
      <w:r>
        <w:rPr>
          <w:rFonts w:hint="cs"/>
          <w:rtl/>
        </w:rPr>
        <w:t>ט</w:t>
      </w:r>
      <w:r w:rsidRPr="00881D6A">
        <w:rPr>
          <w:rtl/>
        </w:rPr>
        <w:t>ול את השם יטול</w:t>
      </w:r>
      <w:r>
        <w:rPr>
          <w:rFonts w:hint="cs"/>
          <w:rtl/>
        </w:rPr>
        <w:t>".</w:t>
      </w:r>
      <w:r w:rsidRPr="0003564A">
        <w:rPr>
          <w:rFonts w:hint="cs"/>
          <w:rtl/>
        </w:rPr>
        <w:t xml:space="preserve"> </w:t>
      </w:r>
      <w:r>
        <w:rPr>
          <w:rFonts w:hint="cs"/>
          <w:rtl/>
        </w:rPr>
        <w:t xml:space="preserve">וזהו כדברי הרש"ר בסידור האריז"ל הנ"ל. </w:t>
      </w:r>
      <w:r w:rsidRPr="0003564A">
        <w:rPr>
          <w:rFonts w:hint="cs"/>
          <w:rtl/>
        </w:rPr>
        <w:t xml:space="preserve">גם בהגהות החתם סופר על השו"ע (סי' קלא ס"ב) </w:t>
      </w:r>
      <w:r>
        <w:rPr>
          <w:rFonts w:hint="cs"/>
          <w:rtl/>
        </w:rPr>
        <w:t>העתיק</w:t>
      </w:r>
      <w:r w:rsidRPr="0003564A">
        <w:rPr>
          <w:rFonts w:hint="cs"/>
          <w:rtl/>
        </w:rPr>
        <w:t xml:space="preserve"> </w:t>
      </w:r>
      <w:r>
        <w:rPr>
          <w:rFonts w:hint="cs"/>
          <w:rtl/>
        </w:rPr>
        <w:t>דברי הרמ"ע אלה (</w:t>
      </w:r>
      <w:r w:rsidRPr="00CD7C53">
        <w:rPr>
          <w:rFonts w:hint="cs"/>
          <w:rtl/>
        </w:rPr>
        <w:t xml:space="preserve">שהיודע לכוין </w:t>
      </w:r>
      <w:r w:rsidRPr="00CD7C53">
        <w:rPr>
          <w:rtl/>
        </w:rPr>
        <w:t xml:space="preserve">כל צרכו </w:t>
      </w:r>
      <w:r>
        <w:rPr>
          <w:rFonts w:hint="cs"/>
          <w:rtl/>
        </w:rPr>
        <w:t>. .</w:t>
      </w:r>
      <w:r w:rsidRPr="00CD7C53">
        <w:rPr>
          <w:rtl/>
        </w:rPr>
        <w:t xml:space="preserve"> משויא לי</w:t>
      </w:r>
      <w:r w:rsidRPr="00CD7C53">
        <w:rPr>
          <w:rFonts w:hint="cs"/>
          <w:rtl/>
        </w:rPr>
        <w:t>'</w:t>
      </w:r>
      <w:r w:rsidRPr="00CD7C53">
        <w:rPr>
          <w:rtl/>
        </w:rPr>
        <w:t xml:space="preserve"> מקום ספר תורה</w:t>
      </w:r>
      <w:r>
        <w:rPr>
          <w:rFonts w:hint="cs"/>
          <w:rtl/>
        </w:rPr>
        <w:t>)</w:t>
      </w:r>
      <w:r w:rsidRPr="00CD7C53">
        <w:rPr>
          <w:rFonts w:hint="cs"/>
          <w:rtl/>
        </w:rPr>
        <w:t xml:space="preserve"> </w:t>
      </w:r>
      <w:r>
        <w:rPr>
          <w:rFonts w:hint="cs"/>
          <w:rtl/>
        </w:rPr>
        <w:t>להלכה.</w:t>
      </w:r>
    </w:p>
    <w:p w14:paraId="68924181" w14:textId="77777777" w:rsidR="004E3A96" w:rsidRDefault="004E3A96" w:rsidP="00E60D97">
      <w:pPr>
        <w:pStyle w:val="a3"/>
        <w:rPr>
          <w:rtl/>
        </w:rPr>
      </w:pPr>
      <w:r>
        <w:rPr>
          <w:rFonts w:hint="cs"/>
          <w:rtl/>
        </w:rPr>
        <w:t>הנה כי כן נמצאנו למדים שמנהג זה שנוי במחלוקת גדולה של הפוסקים ראשונים ואחרונים, הן ע"פ נגלות הדברים והן מצד פנימיות הענינים, ולא יפלא אם הרבי מצא לנכון לנהוג פעם (או תמיד) כדיעה המתירה נפילת אפים גם במקום שאין בו ספר תורה. ובפרט ש</w:t>
      </w:r>
      <w:r w:rsidRPr="00881D6A">
        <w:rPr>
          <w:rFonts w:hint="cs"/>
          <w:rtl/>
        </w:rPr>
        <w:t xml:space="preserve">בדברי </w:t>
      </w:r>
      <w:r>
        <w:rPr>
          <w:rFonts w:hint="cs"/>
          <w:rtl/>
        </w:rPr>
        <w:t>המקובלים (</w:t>
      </w:r>
      <w:r w:rsidRPr="00881D6A">
        <w:rPr>
          <w:rFonts w:hint="cs"/>
          <w:rtl/>
        </w:rPr>
        <w:t xml:space="preserve">הרמ"ע מפאנו </w:t>
      </w:r>
      <w:r>
        <w:rPr>
          <w:rFonts w:hint="cs"/>
          <w:rtl/>
        </w:rPr>
        <w:t>וסידור האריז"ל) מצינו ש</w:t>
      </w:r>
      <w:r w:rsidRPr="00142DC5">
        <w:rPr>
          <w:rtl/>
        </w:rPr>
        <w:t>יפול אע"פ שאין ס"ת שם</w:t>
      </w:r>
      <w:r>
        <w:rPr>
          <w:rFonts w:hint="cs"/>
          <w:rtl/>
        </w:rPr>
        <w:t>,</w:t>
      </w:r>
      <w:r w:rsidRPr="00142DC5">
        <w:rPr>
          <w:rtl/>
        </w:rPr>
        <w:t xml:space="preserve"> אך לא יעשה זה אלא מי שהוא מו</w:t>
      </w:r>
      <w:r w:rsidRPr="00142DC5">
        <w:rPr>
          <w:rFonts w:hint="cs"/>
          <w:rtl/>
        </w:rPr>
        <w:t>חז</w:t>
      </w:r>
      <w:r w:rsidRPr="00142DC5">
        <w:rPr>
          <w:rtl/>
        </w:rPr>
        <w:t>ק בחסידות ובהנהגת קבלה</w:t>
      </w:r>
      <w:r>
        <w:rPr>
          <w:rFonts w:hint="cs"/>
          <w:rtl/>
        </w:rPr>
        <w:t>, כנ"ל. ומי לנו גדול מרבינו מוחזק בחסידות, נשיא הדור ונשיא פנימיות התורה, שלו נאה ולו יאה לנהוג כן</w:t>
      </w:r>
      <w:r>
        <w:rPr>
          <w:rStyle w:val="FootnoteReference"/>
          <w:rFonts w:cs="Arial"/>
          <w:rtl/>
        </w:rPr>
        <w:footnoteReference w:id="77"/>
      </w:r>
      <w:r>
        <w:rPr>
          <w:rFonts w:hint="cs"/>
          <w:rtl/>
        </w:rPr>
        <w:t>.</w:t>
      </w:r>
    </w:p>
    <w:p w14:paraId="54A61A36" w14:textId="5F5F6AA2" w:rsidR="004E3A96" w:rsidRPr="00304B8E" w:rsidRDefault="004E3A96" w:rsidP="00304B8E">
      <w:pPr>
        <w:pStyle w:val="a3"/>
        <w:rPr>
          <w:rtl/>
        </w:rPr>
      </w:pPr>
      <w:r>
        <w:rPr>
          <w:rFonts w:hint="cs"/>
          <w:rtl/>
        </w:rPr>
        <w:t>ואם כנים הדברים, שזהו טעמו של רבינו שנפל על אפיו גם כשלא הי' ס"ת באותו מקום, מובן שאין ללמוד מזה מאומה לאנשים כערכנו</w:t>
      </w:r>
      <w:r>
        <w:rPr>
          <w:rStyle w:val="FootnoteReference"/>
          <w:rFonts w:cs="Arial"/>
          <w:rtl/>
        </w:rPr>
        <w:footnoteReference w:id="78"/>
      </w:r>
      <w:r>
        <w:rPr>
          <w:rFonts w:hint="cs"/>
          <w:rtl/>
        </w:rPr>
        <w:t>.</w:t>
      </w:r>
    </w:p>
    <w:p w14:paraId="03486CC0" w14:textId="77777777" w:rsidR="004E3A96" w:rsidRPr="00812F03" w:rsidRDefault="004E3A96" w:rsidP="00E60D97">
      <w:pPr>
        <w:pStyle w:val="11"/>
        <w:rPr>
          <w:rtl/>
        </w:rPr>
      </w:pPr>
      <w:r w:rsidRPr="00812F03">
        <w:rPr>
          <w:rFonts w:hint="cs"/>
          <w:rtl/>
        </w:rPr>
        <w:t>בשולי המאמר:</w:t>
      </w:r>
    </w:p>
    <w:p w14:paraId="0C80C125" w14:textId="77777777" w:rsidR="004E3A96" w:rsidRDefault="004E3A96" w:rsidP="00E60D97">
      <w:pPr>
        <w:pStyle w:val="a3"/>
        <w:rPr>
          <w:rtl/>
        </w:rPr>
      </w:pPr>
      <w:r w:rsidRPr="002D2935">
        <w:rPr>
          <w:rFonts w:hint="cs"/>
          <w:rtl/>
        </w:rPr>
        <w:t>לאחר כתיבת הדברים</w:t>
      </w:r>
      <w:r>
        <w:rPr>
          <w:rFonts w:hint="cs"/>
          <w:rtl/>
        </w:rPr>
        <w:t xml:space="preserve">, </w:t>
      </w:r>
      <w:r w:rsidRPr="002D2935">
        <w:rPr>
          <w:rFonts w:hint="cs"/>
          <w:rtl/>
        </w:rPr>
        <w:t>העירוני מהמובא בשיחת ש</w:t>
      </w:r>
      <w:r w:rsidRPr="002D2935">
        <w:rPr>
          <w:rtl/>
        </w:rPr>
        <w:t xml:space="preserve">"פ תצווה תשמ"ה (התוועדויות תשמ"ה ח"ב ע' </w:t>
      </w:r>
      <w:r w:rsidRPr="002D2935">
        <w:rPr>
          <w:rFonts w:hint="cs"/>
          <w:rtl/>
        </w:rPr>
        <w:t>1323-1324</w:t>
      </w:r>
      <w:r w:rsidRPr="002D2935">
        <w:rPr>
          <w:rtl/>
        </w:rPr>
        <w:t>)</w:t>
      </w:r>
      <w:r>
        <w:rPr>
          <w:rFonts w:hint="cs"/>
          <w:rtl/>
        </w:rPr>
        <w:t>, שמשם משמע לכאורה שמנהג של רבותינו שנתפרסם ה"ה בהשגחה פרטית ויש בו משום הוראה לרבים לנהוג כן.</w:t>
      </w:r>
    </w:p>
    <w:p w14:paraId="427E4F2F" w14:textId="77777777" w:rsidR="004E3A96" w:rsidRPr="002D2935" w:rsidRDefault="004E3A96" w:rsidP="00E60D97">
      <w:pPr>
        <w:pStyle w:val="a3"/>
      </w:pPr>
      <w:r>
        <w:rPr>
          <w:rFonts w:hint="cs"/>
          <w:rtl/>
        </w:rPr>
        <w:t>אמנם לענ"ד להנכתב כאן</w:t>
      </w:r>
      <w:r w:rsidRPr="002D2935">
        <w:rPr>
          <w:rtl/>
        </w:rPr>
        <w:t xml:space="preserve"> אין כל זיקה ושייכות להמובא בשיח</w:t>
      </w:r>
      <w:r>
        <w:rPr>
          <w:rFonts w:hint="cs"/>
          <w:rtl/>
        </w:rPr>
        <w:t xml:space="preserve">ה הנ"ל. </w:t>
      </w:r>
      <w:r w:rsidRPr="002D2935">
        <w:rPr>
          <w:rtl/>
        </w:rPr>
        <w:t>שכן בשיחה זו (בסוף ע' 1323) אומר הרבי: "עניני רזין דרזין או אפילו רזין סתם כולל גם עניני ההנהגות שאינם שייכים לכל לא נתפרסמו</w:t>
      </w:r>
      <w:r w:rsidRPr="002D2935">
        <w:rPr>
          <w:rFonts w:ascii="Cambria" w:hAnsi="Cambria" w:cs="Cambria" w:hint="cs"/>
          <w:rtl/>
        </w:rPr>
        <w:t> </w:t>
      </w:r>
      <w:r w:rsidRPr="002D2935">
        <w:rPr>
          <w:rtl/>
        </w:rPr>
        <w:t xml:space="preserve">. . </w:t>
      </w:r>
      <w:r w:rsidRPr="002D2935">
        <w:rPr>
          <w:rFonts w:hint="cs"/>
          <w:rtl/>
        </w:rPr>
        <w:t>ואילו</w:t>
      </w:r>
      <w:r w:rsidRPr="002D2935">
        <w:rPr>
          <w:rtl/>
        </w:rPr>
        <w:t xml:space="preserve"> </w:t>
      </w:r>
      <w:r w:rsidRPr="002D2935">
        <w:rPr>
          <w:rFonts w:hint="cs"/>
          <w:rtl/>
        </w:rPr>
        <w:t>כ</w:t>
      </w:r>
      <w:r w:rsidRPr="002D2935">
        <w:rPr>
          <w:rtl/>
        </w:rPr>
        <w:t>ל הענינים</w:t>
      </w:r>
      <w:r w:rsidRPr="002D2935">
        <w:rPr>
          <w:rFonts w:ascii="Cambria" w:hAnsi="Cambria" w:cs="Cambria" w:hint="cs"/>
          <w:rtl/>
        </w:rPr>
        <w:t> </w:t>
      </w:r>
      <w:r w:rsidRPr="00812F03">
        <w:rPr>
          <w:bCs/>
          <w:rtl/>
        </w:rPr>
        <w:t>שציוו לפרסמם</w:t>
      </w:r>
      <w:r w:rsidRPr="002D2935">
        <w:rPr>
          <w:rFonts w:ascii="Cambria" w:hAnsi="Cambria" w:cs="Cambria" w:hint="cs"/>
          <w:rtl/>
        </w:rPr>
        <w:t> </w:t>
      </w:r>
      <w:r w:rsidRPr="002D2935">
        <w:rPr>
          <w:rFonts w:hint="cs"/>
          <w:rtl/>
        </w:rPr>
        <w:t>שייכים</w:t>
      </w:r>
      <w:r w:rsidRPr="002D2935">
        <w:rPr>
          <w:rtl/>
        </w:rPr>
        <w:t xml:space="preserve"> </w:t>
      </w:r>
      <w:r w:rsidRPr="002D2935">
        <w:rPr>
          <w:rFonts w:hint="cs"/>
          <w:rtl/>
        </w:rPr>
        <w:t>הם</w:t>
      </w:r>
      <w:r w:rsidRPr="002D2935">
        <w:rPr>
          <w:rtl/>
        </w:rPr>
        <w:t xml:space="preserve"> </w:t>
      </w:r>
      <w:r w:rsidRPr="002D2935">
        <w:rPr>
          <w:rFonts w:hint="cs"/>
          <w:rtl/>
        </w:rPr>
        <w:t>לכאו</w:t>
      </w:r>
      <w:r w:rsidRPr="002D2935">
        <w:rPr>
          <w:rtl/>
        </w:rPr>
        <w:t>"</w:t>
      </w:r>
      <w:r w:rsidRPr="002D2935">
        <w:rPr>
          <w:rFonts w:hint="cs"/>
          <w:rtl/>
        </w:rPr>
        <w:t>א</w:t>
      </w:r>
      <w:r w:rsidRPr="002D2935">
        <w:rPr>
          <w:rtl/>
        </w:rPr>
        <w:t xml:space="preserve"> </w:t>
      </w:r>
      <w:r w:rsidRPr="002D2935">
        <w:rPr>
          <w:rFonts w:hint="cs"/>
          <w:rtl/>
        </w:rPr>
        <w:t>מישראל</w:t>
      </w:r>
      <w:r w:rsidRPr="002D2935">
        <w:rPr>
          <w:rtl/>
        </w:rPr>
        <w:t xml:space="preserve"> (</w:t>
      </w:r>
      <w:r w:rsidRPr="002D2935">
        <w:rPr>
          <w:rFonts w:hint="cs"/>
          <w:rtl/>
        </w:rPr>
        <w:t>ולהלן</w:t>
      </w:r>
      <w:r w:rsidRPr="002D2935">
        <w:rPr>
          <w:rtl/>
        </w:rPr>
        <w:t xml:space="preserve"> </w:t>
      </w:r>
      <w:r w:rsidRPr="002D2935">
        <w:rPr>
          <w:rFonts w:hint="cs"/>
          <w:rtl/>
        </w:rPr>
        <w:t>שם</w:t>
      </w:r>
      <w:r w:rsidRPr="002D2935">
        <w:rPr>
          <w:rtl/>
        </w:rPr>
        <w:t xml:space="preserve">) </w:t>
      </w:r>
      <w:r w:rsidRPr="002D2935">
        <w:rPr>
          <w:rFonts w:hint="cs"/>
          <w:rtl/>
        </w:rPr>
        <w:t>עצם</w:t>
      </w:r>
      <w:r w:rsidRPr="002D2935">
        <w:rPr>
          <w:rtl/>
        </w:rPr>
        <w:t xml:space="preserve"> </w:t>
      </w:r>
      <w:r w:rsidRPr="002D2935">
        <w:rPr>
          <w:rFonts w:hint="cs"/>
          <w:rtl/>
        </w:rPr>
        <w:t>העובדה</w:t>
      </w:r>
      <w:r w:rsidRPr="002D2935">
        <w:rPr>
          <w:rFonts w:ascii="Cambria" w:hAnsi="Cambria" w:cs="Cambria" w:hint="cs"/>
          <w:rtl/>
        </w:rPr>
        <w:t> </w:t>
      </w:r>
      <w:r w:rsidRPr="00812F03">
        <w:rPr>
          <w:bCs/>
          <w:rtl/>
        </w:rPr>
        <w:t>שפירסמו</w:t>
      </w:r>
      <w:r w:rsidRPr="002D2935">
        <w:rPr>
          <w:rFonts w:ascii="Cambria" w:hAnsi="Cambria" w:cs="Cambria" w:hint="cs"/>
          <w:rtl/>
        </w:rPr>
        <w:t> </w:t>
      </w:r>
      <w:r w:rsidRPr="002D2935">
        <w:rPr>
          <w:rFonts w:hint="cs"/>
          <w:rtl/>
        </w:rPr>
        <w:t>ענינים</w:t>
      </w:r>
      <w:r w:rsidRPr="002D2935">
        <w:rPr>
          <w:rtl/>
        </w:rPr>
        <w:t xml:space="preserve"> </w:t>
      </w:r>
      <w:r w:rsidRPr="002D2935">
        <w:rPr>
          <w:rFonts w:hint="cs"/>
          <w:rtl/>
        </w:rPr>
        <w:lastRenderedPageBreak/>
        <w:t>אלו</w:t>
      </w:r>
      <w:r w:rsidRPr="002D2935">
        <w:rPr>
          <w:rtl/>
        </w:rPr>
        <w:t xml:space="preserve"> </w:t>
      </w:r>
      <w:r w:rsidRPr="002D2935">
        <w:rPr>
          <w:rFonts w:hint="cs"/>
          <w:rtl/>
        </w:rPr>
        <w:t>מהוה</w:t>
      </w:r>
      <w:r w:rsidRPr="002D2935">
        <w:rPr>
          <w:rtl/>
        </w:rPr>
        <w:t xml:space="preserve"> </w:t>
      </w:r>
      <w:r w:rsidRPr="002D2935">
        <w:rPr>
          <w:rFonts w:hint="cs"/>
          <w:rtl/>
        </w:rPr>
        <w:t>הוכחה</w:t>
      </w:r>
      <w:r w:rsidRPr="002D2935">
        <w:rPr>
          <w:rtl/>
        </w:rPr>
        <w:t xml:space="preserve"> </w:t>
      </w:r>
      <w:r w:rsidRPr="002D2935">
        <w:rPr>
          <w:rFonts w:hint="cs"/>
          <w:rtl/>
        </w:rPr>
        <w:t>שמעת</w:t>
      </w:r>
      <w:r w:rsidRPr="002D2935">
        <w:rPr>
          <w:rtl/>
        </w:rPr>
        <w:t xml:space="preserve"> </w:t>
      </w:r>
      <w:r w:rsidRPr="002D2935">
        <w:rPr>
          <w:rFonts w:hint="cs"/>
          <w:rtl/>
        </w:rPr>
        <w:t>פרסומם</w:t>
      </w:r>
      <w:r w:rsidRPr="002D2935">
        <w:rPr>
          <w:rtl/>
        </w:rPr>
        <w:t xml:space="preserve"> נעשו הדברים שייכים לכל ההולכים בדרכיהם</w:t>
      </w:r>
      <w:r>
        <w:rPr>
          <w:rFonts w:hint="cs"/>
          <w:rtl/>
        </w:rPr>
        <w:t>".</w:t>
      </w:r>
    </w:p>
    <w:p w14:paraId="02B08507" w14:textId="77777777" w:rsidR="004E3A96" w:rsidRPr="002D2935" w:rsidRDefault="004E3A96" w:rsidP="00E60D97">
      <w:pPr>
        <w:pStyle w:val="a3"/>
      </w:pPr>
      <w:r w:rsidRPr="002D2935">
        <w:rPr>
          <w:rtl/>
        </w:rPr>
        <w:t>דו"ק בלישני' (אף שזו</w:t>
      </w:r>
      <w:r w:rsidRPr="002D2935">
        <w:rPr>
          <w:rFonts w:ascii="Cambria" w:hAnsi="Cambria" w:cs="Cambria" w:hint="cs"/>
          <w:rtl/>
        </w:rPr>
        <w:t> </w:t>
      </w:r>
      <w:r w:rsidRPr="002D2935">
        <w:rPr>
          <w:rFonts w:hint="cs"/>
          <w:rtl/>
        </w:rPr>
        <w:t>שיחה</w:t>
      </w:r>
      <w:r w:rsidRPr="002D2935">
        <w:rPr>
          <w:rtl/>
        </w:rPr>
        <w:t xml:space="preserve"> </w:t>
      </w:r>
      <w:r w:rsidRPr="002D2935">
        <w:rPr>
          <w:rFonts w:hint="cs"/>
          <w:rtl/>
        </w:rPr>
        <w:t>בלתי</w:t>
      </w:r>
      <w:r w:rsidRPr="002D2935">
        <w:rPr>
          <w:rtl/>
        </w:rPr>
        <w:t xml:space="preserve"> </w:t>
      </w:r>
      <w:r w:rsidRPr="002D2935">
        <w:rPr>
          <w:rFonts w:hint="cs"/>
          <w:rtl/>
        </w:rPr>
        <w:t>מוגהת</w:t>
      </w:r>
      <w:r w:rsidRPr="002D2935">
        <w:rPr>
          <w:rtl/>
        </w:rPr>
        <w:t>) "</w:t>
      </w:r>
      <w:r w:rsidRPr="002D2935">
        <w:rPr>
          <w:rFonts w:hint="cs"/>
          <w:rtl/>
        </w:rPr>
        <w:t>הענינים</w:t>
      </w:r>
      <w:r w:rsidRPr="002D2935">
        <w:rPr>
          <w:rFonts w:ascii="Cambria" w:hAnsi="Cambria" w:cs="Cambria" w:hint="cs"/>
          <w:rtl/>
        </w:rPr>
        <w:t> </w:t>
      </w:r>
      <w:r w:rsidRPr="00812F03">
        <w:rPr>
          <w:bCs/>
          <w:rtl/>
        </w:rPr>
        <w:t>שציוו לפרסמם</w:t>
      </w:r>
      <w:r w:rsidRPr="002D2935">
        <w:rPr>
          <w:rFonts w:ascii="Cambria" w:hAnsi="Cambria" w:cs="Cambria" w:hint="cs"/>
          <w:rtl/>
        </w:rPr>
        <w:t> </w:t>
      </w:r>
      <w:r w:rsidRPr="002D2935">
        <w:rPr>
          <w:rFonts w:hint="cs"/>
          <w:rtl/>
        </w:rPr>
        <w:t>שייכים</w:t>
      </w:r>
      <w:r w:rsidRPr="002D2935">
        <w:rPr>
          <w:rtl/>
        </w:rPr>
        <w:t xml:space="preserve"> </w:t>
      </w:r>
      <w:r w:rsidRPr="002D2935">
        <w:rPr>
          <w:rFonts w:hint="cs"/>
          <w:rtl/>
        </w:rPr>
        <w:t>הם</w:t>
      </w:r>
      <w:r w:rsidRPr="002D2935">
        <w:rPr>
          <w:rtl/>
        </w:rPr>
        <w:t xml:space="preserve"> </w:t>
      </w:r>
      <w:r w:rsidRPr="002D2935">
        <w:rPr>
          <w:rFonts w:hint="cs"/>
          <w:rtl/>
        </w:rPr>
        <w:t>לכאו</w:t>
      </w:r>
      <w:r w:rsidRPr="002D2935">
        <w:rPr>
          <w:rtl/>
        </w:rPr>
        <w:t>"</w:t>
      </w:r>
      <w:r w:rsidRPr="002D2935">
        <w:rPr>
          <w:rFonts w:hint="cs"/>
          <w:rtl/>
        </w:rPr>
        <w:t>א</w:t>
      </w:r>
      <w:r w:rsidRPr="002D2935">
        <w:rPr>
          <w:rtl/>
        </w:rPr>
        <w:t xml:space="preserve"> </w:t>
      </w:r>
      <w:r w:rsidRPr="002D2935">
        <w:rPr>
          <w:rFonts w:hint="cs"/>
          <w:rtl/>
        </w:rPr>
        <w:t>מישראל</w:t>
      </w:r>
      <w:r w:rsidRPr="002D2935">
        <w:rPr>
          <w:rtl/>
        </w:rPr>
        <w:t xml:space="preserve"> . . </w:t>
      </w:r>
      <w:r w:rsidRPr="002D2935">
        <w:rPr>
          <w:rFonts w:hint="cs"/>
          <w:rtl/>
        </w:rPr>
        <w:t>עצם</w:t>
      </w:r>
      <w:r w:rsidRPr="002D2935">
        <w:rPr>
          <w:rtl/>
        </w:rPr>
        <w:t xml:space="preserve"> </w:t>
      </w:r>
      <w:r w:rsidRPr="002D2935">
        <w:rPr>
          <w:rFonts w:hint="cs"/>
          <w:rtl/>
        </w:rPr>
        <w:t>העובדה</w:t>
      </w:r>
      <w:r w:rsidRPr="002D2935">
        <w:rPr>
          <w:rFonts w:ascii="Cambria" w:hAnsi="Cambria" w:cs="Cambria" w:hint="cs"/>
          <w:rtl/>
        </w:rPr>
        <w:t> </w:t>
      </w:r>
      <w:r w:rsidRPr="00812F03">
        <w:rPr>
          <w:bCs/>
          <w:rtl/>
        </w:rPr>
        <w:t>שפירסמו</w:t>
      </w:r>
      <w:r w:rsidRPr="002D2935">
        <w:rPr>
          <w:rFonts w:ascii="Cambria" w:hAnsi="Cambria" w:cs="Cambria" w:hint="cs"/>
          <w:rtl/>
        </w:rPr>
        <w:t> </w:t>
      </w:r>
      <w:r w:rsidRPr="002D2935">
        <w:rPr>
          <w:rFonts w:hint="cs"/>
          <w:rtl/>
        </w:rPr>
        <w:t>ענינים</w:t>
      </w:r>
      <w:r w:rsidRPr="002D2935">
        <w:rPr>
          <w:rtl/>
        </w:rPr>
        <w:t xml:space="preserve"> </w:t>
      </w:r>
      <w:r w:rsidRPr="002D2935">
        <w:rPr>
          <w:rFonts w:hint="cs"/>
          <w:rtl/>
        </w:rPr>
        <w:t>אלו</w:t>
      </w:r>
      <w:r w:rsidRPr="002D2935">
        <w:rPr>
          <w:rtl/>
        </w:rPr>
        <w:t xml:space="preserve"> </w:t>
      </w:r>
      <w:r w:rsidRPr="002D2935">
        <w:rPr>
          <w:rFonts w:hint="cs"/>
          <w:rtl/>
        </w:rPr>
        <w:t>מהוה</w:t>
      </w:r>
      <w:r w:rsidRPr="002D2935">
        <w:rPr>
          <w:rtl/>
        </w:rPr>
        <w:t xml:space="preserve"> </w:t>
      </w:r>
      <w:r w:rsidRPr="002D2935">
        <w:rPr>
          <w:rFonts w:hint="cs"/>
          <w:rtl/>
        </w:rPr>
        <w:t>הוכחה</w:t>
      </w:r>
      <w:r w:rsidRPr="002D2935">
        <w:rPr>
          <w:rtl/>
        </w:rPr>
        <w:t xml:space="preserve">...". </w:t>
      </w:r>
      <w:r w:rsidRPr="002D2935">
        <w:rPr>
          <w:rFonts w:hint="cs"/>
          <w:rtl/>
        </w:rPr>
        <w:t>וכוונתו</w:t>
      </w:r>
      <w:r w:rsidRPr="002D2935">
        <w:rPr>
          <w:rtl/>
        </w:rPr>
        <w:t xml:space="preserve"> </w:t>
      </w:r>
      <w:r w:rsidRPr="002D2935">
        <w:rPr>
          <w:rFonts w:hint="cs"/>
          <w:rtl/>
        </w:rPr>
        <w:t>של</w:t>
      </w:r>
      <w:r w:rsidRPr="002D2935">
        <w:rPr>
          <w:rtl/>
        </w:rPr>
        <w:t xml:space="preserve"> </w:t>
      </w:r>
      <w:r w:rsidRPr="002D2935">
        <w:rPr>
          <w:rFonts w:hint="cs"/>
          <w:rtl/>
        </w:rPr>
        <w:t>הרבי</w:t>
      </w:r>
      <w:r w:rsidRPr="002D2935">
        <w:rPr>
          <w:rtl/>
        </w:rPr>
        <w:t xml:space="preserve"> </w:t>
      </w:r>
      <w:r w:rsidRPr="002D2935">
        <w:rPr>
          <w:rFonts w:hint="cs"/>
          <w:rtl/>
        </w:rPr>
        <w:t>בזה</w:t>
      </w:r>
      <w:r w:rsidRPr="002D2935">
        <w:rPr>
          <w:rtl/>
        </w:rPr>
        <w:t xml:space="preserve"> </w:t>
      </w:r>
      <w:r w:rsidRPr="002D2935">
        <w:rPr>
          <w:rFonts w:hint="cs"/>
          <w:rtl/>
        </w:rPr>
        <w:t>היא</w:t>
      </w:r>
      <w:r w:rsidRPr="002D2935">
        <w:rPr>
          <w:rtl/>
        </w:rPr>
        <w:t xml:space="preserve"> </w:t>
      </w:r>
      <w:r w:rsidRPr="002D2935">
        <w:rPr>
          <w:rFonts w:hint="cs"/>
          <w:rtl/>
        </w:rPr>
        <w:t>כמובן</w:t>
      </w:r>
      <w:r w:rsidRPr="002D2935">
        <w:rPr>
          <w:rtl/>
        </w:rPr>
        <w:t xml:space="preserve">, </w:t>
      </w:r>
      <w:r w:rsidRPr="002D2935">
        <w:rPr>
          <w:rFonts w:hint="cs"/>
          <w:rtl/>
        </w:rPr>
        <w:t>לדברים</w:t>
      </w:r>
      <w:r w:rsidRPr="002D2935">
        <w:rPr>
          <w:rFonts w:ascii="Cambria" w:hAnsi="Cambria" w:cs="Cambria" w:hint="cs"/>
          <w:rtl/>
        </w:rPr>
        <w:t> </w:t>
      </w:r>
      <w:r w:rsidRPr="002D2935">
        <w:rPr>
          <w:rFonts w:hint="cs"/>
          <w:rtl/>
        </w:rPr>
        <w:t>שציוו</w:t>
      </w:r>
      <w:r w:rsidRPr="002D2935">
        <w:rPr>
          <w:rtl/>
        </w:rPr>
        <w:t xml:space="preserve"> </w:t>
      </w:r>
      <w:r w:rsidRPr="002D2935">
        <w:rPr>
          <w:rFonts w:hint="cs"/>
          <w:rtl/>
        </w:rPr>
        <w:t>רבותינו</w:t>
      </w:r>
      <w:r w:rsidRPr="002D2935">
        <w:rPr>
          <w:rFonts w:ascii="Cambria" w:hAnsi="Cambria" w:cs="Cambria"/>
        </w:rPr>
        <w:t> </w:t>
      </w:r>
      <w:r w:rsidRPr="002D2935">
        <w:rPr>
          <w:rtl/>
        </w:rPr>
        <w:t>נשיאי חב"ד לפרסמם</w:t>
      </w:r>
      <w:r>
        <w:rPr>
          <w:rFonts w:hint="cs"/>
          <w:rtl/>
        </w:rPr>
        <w:t>,</w:t>
      </w:r>
      <w:r w:rsidRPr="002D2935">
        <w:rPr>
          <w:rFonts w:ascii="Cambria" w:hAnsi="Cambria" w:cs="Cambria" w:hint="cs"/>
          <w:rtl/>
        </w:rPr>
        <w:t> </w:t>
      </w:r>
      <w:r w:rsidRPr="002D2935">
        <w:rPr>
          <w:rFonts w:hint="cs"/>
          <w:rtl/>
        </w:rPr>
        <w:t>שמכיון</w:t>
      </w:r>
      <w:r w:rsidRPr="002D2935">
        <w:rPr>
          <w:rtl/>
        </w:rPr>
        <w:t xml:space="preserve"> </w:t>
      </w:r>
      <w:r w:rsidRPr="002D2935">
        <w:rPr>
          <w:rFonts w:hint="cs"/>
          <w:rtl/>
        </w:rPr>
        <w:t>שדברים</w:t>
      </w:r>
      <w:r w:rsidRPr="002D2935">
        <w:rPr>
          <w:rtl/>
        </w:rPr>
        <w:t xml:space="preserve"> </w:t>
      </w:r>
      <w:r w:rsidRPr="002D2935">
        <w:rPr>
          <w:rFonts w:hint="cs"/>
          <w:rtl/>
        </w:rPr>
        <w:t>אלה</w:t>
      </w:r>
      <w:r w:rsidRPr="002D2935">
        <w:rPr>
          <w:rtl/>
        </w:rPr>
        <w:t xml:space="preserve"> </w:t>
      </w:r>
      <w:r w:rsidRPr="002D2935">
        <w:rPr>
          <w:rFonts w:hint="cs"/>
          <w:rtl/>
        </w:rPr>
        <w:t>רבותינו</w:t>
      </w:r>
      <w:r w:rsidRPr="002D2935">
        <w:rPr>
          <w:rtl/>
        </w:rPr>
        <w:t xml:space="preserve"> </w:t>
      </w:r>
      <w:r w:rsidRPr="002D2935">
        <w:rPr>
          <w:rFonts w:hint="cs"/>
          <w:rtl/>
        </w:rPr>
        <w:t>צוו</w:t>
      </w:r>
      <w:r w:rsidRPr="002D2935">
        <w:rPr>
          <w:rtl/>
        </w:rPr>
        <w:t xml:space="preserve"> </w:t>
      </w:r>
      <w:r w:rsidRPr="002D2935">
        <w:rPr>
          <w:rFonts w:hint="cs"/>
          <w:rtl/>
        </w:rPr>
        <w:t>לפרסמם</w:t>
      </w:r>
      <w:r w:rsidRPr="002D2935">
        <w:rPr>
          <w:rtl/>
        </w:rPr>
        <w:t xml:space="preserve"> </w:t>
      </w:r>
      <w:r w:rsidRPr="002D2935">
        <w:rPr>
          <w:rFonts w:hint="cs"/>
          <w:rtl/>
        </w:rPr>
        <w:t>בהם</w:t>
      </w:r>
      <w:r w:rsidRPr="002D2935">
        <w:rPr>
          <w:rFonts w:ascii="Cambria" w:hAnsi="Cambria" w:cs="Cambria" w:hint="cs"/>
          <w:rtl/>
        </w:rPr>
        <w:t> </w:t>
      </w:r>
      <w:r w:rsidRPr="002D2935">
        <w:rPr>
          <w:rFonts w:hint="cs"/>
          <w:rtl/>
        </w:rPr>
        <w:t>אכן</w:t>
      </w:r>
      <w:r w:rsidRPr="002D2935">
        <w:rPr>
          <w:rtl/>
        </w:rPr>
        <w:t xml:space="preserve"> </w:t>
      </w:r>
      <w:r w:rsidRPr="002D2935">
        <w:rPr>
          <w:rFonts w:hint="cs"/>
          <w:rtl/>
        </w:rPr>
        <w:t>יש</w:t>
      </w:r>
      <w:r w:rsidRPr="002D2935">
        <w:rPr>
          <w:rtl/>
        </w:rPr>
        <w:t xml:space="preserve"> </w:t>
      </w:r>
      <w:r w:rsidRPr="002D2935">
        <w:rPr>
          <w:rFonts w:hint="cs"/>
          <w:rtl/>
        </w:rPr>
        <w:t>ענין</w:t>
      </w:r>
      <w:r w:rsidRPr="002D2935">
        <w:rPr>
          <w:rFonts w:ascii="Cambria" w:hAnsi="Cambria" w:cs="Cambria" w:hint="cs"/>
          <w:rtl/>
        </w:rPr>
        <w:t> </w:t>
      </w:r>
      <w:r w:rsidRPr="002D2935">
        <w:rPr>
          <w:rFonts w:hint="cs"/>
          <w:rtl/>
        </w:rPr>
        <w:t>לרבים</w:t>
      </w:r>
      <w:r w:rsidRPr="002D2935">
        <w:rPr>
          <w:rtl/>
        </w:rPr>
        <w:t xml:space="preserve">, </w:t>
      </w:r>
      <w:r w:rsidRPr="002D2935">
        <w:rPr>
          <w:rFonts w:hint="cs"/>
          <w:rtl/>
        </w:rPr>
        <w:t>אך</w:t>
      </w:r>
      <w:r w:rsidRPr="002D2935">
        <w:rPr>
          <w:rtl/>
        </w:rPr>
        <w:t xml:space="preserve"> </w:t>
      </w:r>
      <w:r w:rsidRPr="002D2935">
        <w:rPr>
          <w:rFonts w:hint="cs"/>
          <w:rtl/>
        </w:rPr>
        <w:t>ה</w:t>
      </w:r>
      <w:r>
        <w:rPr>
          <w:rFonts w:hint="cs"/>
          <w:rtl/>
        </w:rPr>
        <w:t>רבי</w:t>
      </w:r>
      <w:r w:rsidRPr="002D2935">
        <w:rPr>
          <w:rtl/>
        </w:rPr>
        <w:t xml:space="preserve"> לא אמר </w:t>
      </w:r>
      <w:r>
        <w:rPr>
          <w:rFonts w:hint="cs"/>
          <w:rtl/>
        </w:rPr>
        <w:t>ש</w:t>
      </w:r>
      <w:r w:rsidRPr="002D2935">
        <w:rPr>
          <w:rtl/>
        </w:rPr>
        <w:t>דברים ש</w:t>
      </w:r>
      <w:r>
        <w:rPr>
          <w:rFonts w:hint="cs"/>
          <w:rtl/>
        </w:rPr>
        <w:t>"</w:t>
      </w:r>
      <w:r w:rsidRPr="002D2935">
        <w:rPr>
          <w:rtl/>
        </w:rPr>
        <w:t>נתגלו</w:t>
      </w:r>
      <w:r>
        <w:rPr>
          <w:rFonts w:hint="cs"/>
          <w:rtl/>
        </w:rPr>
        <w:t>"</w:t>
      </w:r>
      <w:r w:rsidRPr="002D2935">
        <w:rPr>
          <w:rFonts w:ascii="Cambria" w:hAnsi="Cambria" w:cs="Cambria" w:hint="cs"/>
          <w:rtl/>
        </w:rPr>
        <w:t> </w:t>
      </w:r>
      <w:r w:rsidRPr="002D2935">
        <w:rPr>
          <w:rFonts w:hint="cs"/>
          <w:rtl/>
        </w:rPr>
        <w:t>או</w:t>
      </w:r>
      <w:r w:rsidRPr="002D2935">
        <w:rPr>
          <w:rtl/>
        </w:rPr>
        <w:t xml:space="preserve"> </w:t>
      </w:r>
      <w:r>
        <w:rPr>
          <w:rFonts w:hint="cs"/>
          <w:rtl/>
        </w:rPr>
        <w:t>"</w:t>
      </w:r>
      <w:r w:rsidRPr="002D2935">
        <w:rPr>
          <w:rtl/>
        </w:rPr>
        <w:t>נודעו</w:t>
      </w:r>
      <w:r>
        <w:rPr>
          <w:rFonts w:hint="cs"/>
          <w:rtl/>
        </w:rPr>
        <w:t>"</w:t>
      </w:r>
      <w:r w:rsidRPr="002D2935">
        <w:rPr>
          <w:rtl/>
        </w:rPr>
        <w:t xml:space="preserve"> מאליהם מיד על כל אחד לקפוץ ולנהוג בהם, כי אכן דברים אלו עדיין יתכן שהם הנהגות פרטיות הנוגעות רק לרבותינו הקדושים בעצמם</w:t>
      </w:r>
      <w:r w:rsidRPr="002D2935">
        <w:t>.</w:t>
      </w:r>
    </w:p>
    <w:p w14:paraId="48EC0242" w14:textId="77777777" w:rsidR="004E3A96" w:rsidRPr="002D2935" w:rsidRDefault="004E3A96" w:rsidP="00E60D97">
      <w:pPr>
        <w:pStyle w:val="a3"/>
      </w:pPr>
      <w:r w:rsidRPr="002D2935">
        <w:rPr>
          <w:rtl/>
        </w:rPr>
        <w:t>הגע בעצמך, וכי הנהגה פרטית השייכת רק ליחידי סגולה אסור כבר לרבי לעשותה</w:t>
      </w:r>
      <w:r>
        <w:rPr>
          <w:rFonts w:hint="cs"/>
          <w:rtl/>
        </w:rPr>
        <w:t>,</w:t>
      </w:r>
      <w:r>
        <w:rPr>
          <w:rtl/>
        </w:rPr>
        <w:t xml:space="preserve"> </w:t>
      </w:r>
      <w:r>
        <w:rPr>
          <w:rFonts w:hint="cs"/>
          <w:rtl/>
        </w:rPr>
        <w:t>מחשש</w:t>
      </w:r>
      <w:r w:rsidRPr="002D2935">
        <w:rPr>
          <w:rtl/>
        </w:rPr>
        <w:t xml:space="preserve"> </w:t>
      </w:r>
      <w:r>
        <w:rPr>
          <w:rFonts w:hint="cs"/>
          <w:rtl/>
        </w:rPr>
        <w:t>ש</w:t>
      </w:r>
      <w:r>
        <w:rPr>
          <w:rtl/>
        </w:rPr>
        <w:t xml:space="preserve">מישהו </w:t>
      </w:r>
      <w:r>
        <w:rPr>
          <w:rFonts w:hint="cs"/>
          <w:rtl/>
        </w:rPr>
        <w:t>יר</w:t>
      </w:r>
      <w:r>
        <w:rPr>
          <w:rtl/>
        </w:rPr>
        <w:t>אה</w:t>
      </w:r>
      <w:r>
        <w:rPr>
          <w:rFonts w:hint="cs"/>
          <w:rtl/>
        </w:rPr>
        <w:t>.</w:t>
      </w:r>
      <w:r w:rsidRPr="002D2935">
        <w:rPr>
          <w:rtl/>
        </w:rPr>
        <w:t xml:space="preserve"> וכי הרבי צריך להתחבא בחדרי חדרים, ו</w:t>
      </w:r>
      <w:r>
        <w:rPr>
          <w:rFonts w:hint="cs"/>
          <w:rtl/>
        </w:rPr>
        <w:t>לא נכון עבור</w:t>
      </w:r>
      <w:r w:rsidRPr="002D2935">
        <w:rPr>
          <w:rtl/>
        </w:rPr>
        <w:t xml:space="preserve">ו לעשות שום דבר שאינו מתאים להנהגה לרבים אם ח"ו מישהו </w:t>
      </w:r>
      <w:r>
        <w:rPr>
          <w:rFonts w:hint="cs"/>
          <w:rtl/>
        </w:rPr>
        <w:t>רואה</w:t>
      </w:r>
      <w:r w:rsidRPr="002D2935">
        <w:rPr>
          <w:rtl/>
        </w:rPr>
        <w:t xml:space="preserve">ו. </w:t>
      </w:r>
      <w:r w:rsidRPr="002D2935">
        <w:rPr>
          <w:rFonts w:hint="cs"/>
          <w:rtl/>
        </w:rPr>
        <w:t>אתמהא</w:t>
      </w:r>
      <w:r>
        <w:rPr>
          <w:rFonts w:hint="cs"/>
          <w:rtl/>
        </w:rPr>
        <w:t>?!</w:t>
      </w:r>
    </w:p>
    <w:p w14:paraId="211F77F8" w14:textId="77777777" w:rsidR="004E3A96" w:rsidRPr="002D2935" w:rsidRDefault="004E3A96" w:rsidP="00E60D97">
      <w:pPr>
        <w:pStyle w:val="a3"/>
      </w:pPr>
      <w:r w:rsidRPr="002D2935">
        <w:rPr>
          <w:rtl/>
        </w:rPr>
        <w:t>ובפרט בענין של נפילת אפים, הרי זה דבר פשוט,</w:t>
      </w:r>
      <w:r w:rsidRPr="002D2935">
        <w:rPr>
          <w:rFonts w:ascii="Cambria" w:hAnsi="Cambria" w:cs="Cambria" w:hint="cs"/>
          <w:rtl/>
        </w:rPr>
        <w:t> </w:t>
      </w:r>
      <w:r w:rsidRPr="002D2935">
        <w:rPr>
          <w:rFonts w:hint="cs"/>
          <w:rtl/>
        </w:rPr>
        <w:t>ש</w:t>
      </w:r>
      <w:r>
        <w:rPr>
          <w:rFonts w:hint="cs"/>
          <w:rtl/>
        </w:rPr>
        <w:t>ע"פ ה</w:t>
      </w:r>
      <w:r w:rsidRPr="002D2935">
        <w:rPr>
          <w:rtl/>
        </w:rPr>
        <w:t>מבואר</w:t>
      </w:r>
      <w:r w:rsidRPr="002D2935">
        <w:rPr>
          <w:rFonts w:ascii="Cambria" w:hAnsi="Cambria" w:cs="Cambria" w:hint="cs"/>
          <w:rtl/>
        </w:rPr>
        <w:t> </w:t>
      </w:r>
      <w:r w:rsidRPr="002D2935">
        <w:rPr>
          <w:rFonts w:hint="cs"/>
          <w:rtl/>
        </w:rPr>
        <w:t>בספרים</w:t>
      </w:r>
      <w:r w:rsidRPr="002D2935">
        <w:rPr>
          <w:rtl/>
        </w:rPr>
        <w:t xml:space="preserve"> </w:t>
      </w:r>
      <w:r w:rsidRPr="002D2935">
        <w:rPr>
          <w:rFonts w:hint="cs"/>
          <w:rtl/>
        </w:rPr>
        <w:t>הקדושים</w:t>
      </w:r>
      <w:r>
        <w:rPr>
          <w:rFonts w:hint="cs"/>
          <w:rtl/>
        </w:rPr>
        <w:t xml:space="preserve"> מובן היטב</w:t>
      </w:r>
      <w:r w:rsidRPr="002D2935">
        <w:rPr>
          <w:rtl/>
        </w:rPr>
        <w:t>, שלא רק שיתכן שזהו מנהג פרטי של יחידי סגולה אלא שבוודאות כן הוא. שכן מנהג מדינות אשכנז (וגם חלק מהספרדים נוהגים כן), וכן הביא אדה"ז בשולחנו</w:t>
      </w:r>
      <w:r>
        <w:rPr>
          <w:rFonts w:hint="cs"/>
          <w:rtl/>
        </w:rPr>
        <w:t xml:space="preserve"> כנ"ל</w:t>
      </w:r>
      <w:r w:rsidRPr="002D2935">
        <w:rPr>
          <w:rtl/>
        </w:rPr>
        <w:t>, שבמקום שאין ס"ת אין נופלים על פניהם אלא אומרים את נוסח התפילה בלי נפילה (ואפשר גם בעמידה). ועל זה כתבו המקובלים</w:t>
      </w:r>
      <w:r w:rsidRPr="002D2935">
        <w:rPr>
          <w:rFonts w:ascii="Cambria" w:hAnsi="Cambria" w:cs="Cambria"/>
        </w:rPr>
        <w:t> </w:t>
      </w:r>
      <w:r>
        <w:rPr>
          <w:rFonts w:hint="cs"/>
          <w:rtl/>
        </w:rPr>
        <w:t>(</w:t>
      </w:r>
      <w:r w:rsidRPr="002D2935">
        <w:rPr>
          <w:rtl/>
        </w:rPr>
        <w:t>סידור האריז"ל לר' שבתי מראשקוב) שיש ליפול על פניו אע"פ שאין שם ס"ת,</w:t>
      </w:r>
      <w:r w:rsidRPr="002D2935">
        <w:rPr>
          <w:rFonts w:ascii="Cambria" w:hAnsi="Cambria" w:cs="Cambria" w:hint="cs"/>
          <w:rtl/>
        </w:rPr>
        <w:t> </w:t>
      </w:r>
      <w:r>
        <w:rPr>
          <w:rFonts w:hint="cs"/>
          <w:rtl/>
        </w:rPr>
        <w:t>וסייגו זאת "</w:t>
      </w:r>
      <w:r w:rsidRPr="002D2935">
        <w:rPr>
          <w:rtl/>
        </w:rPr>
        <w:t>אך לא יעשה זה אלא מי שהוא מוחזק בחסידות ובהנהגת קבלה</w:t>
      </w:r>
      <w:r>
        <w:rPr>
          <w:rFonts w:hint="cs"/>
          <w:rtl/>
        </w:rPr>
        <w:t>"</w:t>
      </w:r>
      <w:r w:rsidRPr="002D2935">
        <w:t>.</w:t>
      </w:r>
    </w:p>
    <w:p w14:paraId="47C6AD75" w14:textId="4F48078F" w:rsidR="000672B7" w:rsidRDefault="004E3A96" w:rsidP="00E60D97">
      <w:pPr>
        <w:pStyle w:val="a3"/>
        <w:rPr>
          <w:rtl/>
        </w:rPr>
      </w:pPr>
      <w:r w:rsidRPr="002D2935">
        <w:rPr>
          <w:rtl/>
        </w:rPr>
        <w:t xml:space="preserve">ועד"ז הרמ"ע מפאנו - לאחר שהצריך מקום שיש בו ס"ת בשביל נפילת אפים ולאחר שביאר את תוכנה הפנימי של נפילת אפים - כתב: "ולמדנו </w:t>
      </w:r>
      <w:r w:rsidRPr="00094B4C">
        <w:rPr>
          <w:bCs/>
          <w:rtl/>
        </w:rPr>
        <w:t>שהיודע לכוין כל צרכו בכך מחשבתו משויא לי' מקום ספר תורה</w:t>
      </w:r>
      <w:r w:rsidRPr="002D2935">
        <w:rPr>
          <w:rtl/>
        </w:rPr>
        <w:t>, [אך] לא כל הרוצה ליטול את השם יטול". א"כ ברור שגדולי ישראל הגדירו גדר, סייגו ותחמו שמנהג זה שייך ליחידי סגולה בלבד, ומי פתי ישים עצמו במקום גדולים וינהג כן בגלל שהרבי נהג כן</w:t>
      </w:r>
      <w:r>
        <w:rPr>
          <w:rFonts w:hint="cs"/>
          <w:rtl/>
        </w:rPr>
        <w:t>?!</w:t>
      </w:r>
    </w:p>
    <w:p w14:paraId="1956DBDC" w14:textId="343D3CDF" w:rsidR="0072178A" w:rsidRPr="0072178A" w:rsidRDefault="0072178A" w:rsidP="00492226">
      <w:pPr>
        <w:pStyle w:val="M"/>
        <w:bidi w:val="0"/>
        <w:rPr>
          <w:rtl/>
        </w:rPr>
      </w:pPr>
      <w:r>
        <w:rPr>
          <w:noProof/>
        </w:rPr>
        <w:drawing>
          <wp:inline distT="0" distB="0" distL="0" distR="0" wp14:anchorId="2C550876" wp14:editId="55325B5A">
            <wp:extent cx="875763" cy="2340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BF9460F" w14:textId="46E397F5" w:rsidR="000672B7" w:rsidRPr="003A316E" w:rsidRDefault="000672B7" w:rsidP="000672B7">
      <w:pPr>
        <w:pStyle w:val="a0"/>
        <w:rPr>
          <w:rFonts w:ascii="Calibri" w:hAnsi="Calibri" w:cs="Calibri"/>
          <w:b/>
          <w:bCs w:val="0"/>
          <w:color w:val="000000"/>
          <w:sz w:val="24"/>
          <w:szCs w:val="24"/>
        </w:rPr>
      </w:pPr>
      <w:bookmarkStart w:id="147" w:name="_Toc81540419"/>
      <w:r w:rsidRPr="003A316E">
        <w:rPr>
          <w:rtl/>
        </w:rPr>
        <w:t xml:space="preserve">דברים </w:t>
      </w:r>
      <w:r w:rsidRPr="000672B7">
        <w:rPr>
          <w:rtl/>
        </w:rPr>
        <w:t>שנוהגים</w:t>
      </w:r>
      <w:r w:rsidRPr="003A316E">
        <w:rPr>
          <w:rtl/>
        </w:rPr>
        <w:t xml:space="preserve"> לאכול בראש השנה למנהג חב"ד</w:t>
      </w:r>
      <w:bookmarkEnd w:id="147"/>
    </w:p>
    <w:p w14:paraId="0051DBE1" w14:textId="4AECEEB8" w:rsidR="000672B7" w:rsidRDefault="00E60D97" w:rsidP="0046124A">
      <w:pPr>
        <w:pStyle w:val="a"/>
        <w:rPr>
          <w:rFonts w:ascii="Times New Roman" w:hAnsi="Times New Roman" w:cs="Times New Roman"/>
          <w:rtl/>
        </w:rPr>
      </w:pPr>
      <w:bookmarkStart w:id="148" w:name="_Toc81540420"/>
      <w:r>
        <w:rPr>
          <w:rFonts w:hint="cs"/>
          <w:rtl/>
        </w:rPr>
        <w:t xml:space="preserve">הרב </w:t>
      </w:r>
      <w:r w:rsidR="000672B7" w:rsidRPr="003A316E">
        <w:rPr>
          <w:rtl/>
        </w:rPr>
        <w:t>מרדכי מינצברג</w:t>
      </w:r>
      <w:bookmarkEnd w:id="148"/>
    </w:p>
    <w:p w14:paraId="58867762" w14:textId="65D721BA" w:rsidR="000672B7" w:rsidRPr="000672B7" w:rsidRDefault="000672B7" w:rsidP="000672B7">
      <w:pPr>
        <w:pStyle w:val="a1"/>
        <w:rPr>
          <w:rFonts w:ascii="Times New Roman" w:hAnsi="Times New Roman" w:cs="Times New Roman"/>
          <w:sz w:val="24"/>
          <w:szCs w:val="24"/>
          <w:rtl/>
        </w:rPr>
      </w:pPr>
      <w:r w:rsidRPr="003A316E">
        <w:rPr>
          <w:rtl/>
        </w:rPr>
        <w:t>ביתר עילית, ארה"ק</w:t>
      </w:r>
    </w:p>
    <w:p w14:paraId="399EC4F7" w14:textId="77777777" w:rsidR="000672B7" w:rsidRPr="003A316E" w:rsidRDefault="000672B7" w:rsidP="00E60D97">
      <w:pPr>
        <w:pStyle w:val="a3"/>
        <w:rPr>
          <w:rFonts w:ascii="Times New Roman" w:hAnsi="Times New Roman" w:cs="Times New Roman"/>
        </w:rPr>
      </w:pPr>
      <w:r w:rsidRPr="003A316E">
        <w:rPr>
          <w:rtl/>
        </w:rPr>
        <w:t xml:space="preserve">בשו"ע אדה"ז או"ח סתקפ"ג ס"א: 'יהא אדם רגיל לאכול בראש השנה כרתי סילקא דהיינו תרדין תמרי קרא רוביא דהיינו תלתן והוא הדין מה שנקרא בלשונות </w:t>
      </w:r>
      <w:r w:rsidRPr="003A316E">
        <w:rPr>
          <w:rtl/>
        </w:rPr>
        <w:lastRenderedPageBreak/>
        <w:t>אחרים לשון ריבוי יאכלו כל אנשי מדינה ומדינה כלשונם וכשאוכל רוביא וכיוצא בו יאמר יהי רצון מלפניך שירבו כו' ויש נוהגים לאכול תפוח מתוק מטובל בדבש ואומרים תתחדש עלינו שנה מתוקה</w:t>
      </w:r>
      <w:r>
        <w:rPr>
          <w:rFonts w:hint="cs"/>
          <w:rtl/>
        </w:rPr>
        <w:t>'</w:t>
      </w:r>
      <w:r w:rsidRPr="003A316E">
        <w:rPr>
          <w:rtl/>
        </w:rPr>
        <w:t>.</w:t>
      </w:r>
      <w:r w:rsidRPr="003A316E">
        <w:rPr>
          <w:rFonts w:ascii="Cambria" w:hAnsi="Cambria" w:cs="Cambria" w:hint="cs"/>
          <w:rtl/>
        </w:rPr>
        <w:t>                     </w:t>
      </w:r>
    </w:p>
    <w:p w14:paraId="1AF713D2" w14:textId="67103524" w:rsidR="000672B7" w:rsidRPr="003A316E" w:rsidRDefault="000672B7" w:rsidP="00E60D97">
      <w:pPr>
        <w:pStyle w:val="a3"/>
        <w:rPr>
          <w:rFonts w:ascii="Times New Roman" w:hAnsi="Times New Roman" w:cs="Times New Roman"/>
          <w:rtl/>
        </w:rPr>
      </w:pPr>
      <w:r w:rsidRPr="003A316E">
        <w:rPr>
          <w:rtl/>
        </w:rPr>
        <w:t>ובס"ב: 'ויש אוכלים דגים לפרות ולרבות כדגים'.</w:t>
      </w:r>
    </w:p>
    <w:p w14:paraId="13C01BD6" w14:textId="73D393FF" w:rsidR="000672B7" w:rsidRPr="003A316E" w:rsidRDefault="000672B7" w:rsidP="00E60D97">
      <w:pPr>
        <w:pStyle w:val="a3"/>
        <w:rPr>
          <w:rFonts w:ascii="Times New Roman" w:hAnsi="Times New Roman" w:cs="Times New Roman"/>
          <w:rtl/>
        </w:rPr>
      </w:pPr>
      <w:r w:rsidRPr="003A316E">
        <w:rPr>
          <w:rtl/>
        </w:rPr>
        <w:t>ובס"ד: 'ויש נוהגים לטבל פרוסת המוציא בדבש ויש אוכלין רימונים ואומרים נרבה זכויות כרימון ונוהגין לאכול בשר שמן ולשתות דבש וכל מיני</w:t>
      </w:r>
      <w:r>
        <w:rPr>
          <w:rtl/>
        </w:rPr>
        <w:t xml:space="preserve"> מתיקה כדי שתהא השנה הזאת מתוקה</w:t>
      </w:r>
      <w:r>
        <w:rPr>
          <w:rFonts w:hint="cs"/>
          <w:rtl/>
        </w:rPr>
        <w:t xml:space="preserve"> </w:t>
      </w:r>
      <w:r w:rsidRPr="003A316E">
        <w:rPr>
          <w:rtl/>
        </w:rPr>
        <w:t>ושמינה'.</w:t>
      </w:r>
      <w:r w:rsidRPr="003A316E">
        <w:rPr>
          <w:rFonts w:ascii="Cambria" w:hAnsi="Cambria" w:cs="Cambria" w:hint="cs"/>
          <w:rtl/>
        </w:rPr>
        <w:t>        </w:t>
      </w:r>
    </w:p>
    <w:p w14:paraId="4BF88B3A" w14:textId="16E18963" w:rsidR="000672B7" w:rsidRPr="003A316E" w:rsidRDefault="000672B7" w:rsidP="00E60D97">
      <w:pPr>
        <w:pStyle w:val="a3"/>
        <w:rPr>
          <w:rFonts w:ascii="Times New Roman" w:hAnsi="Times New Roman" w:cs="Times New Roman"/>
          <w:rtl/>
        </w:rPr>
      </w:pPr>
      <w:r w:rsidRPr="003A316E">
        <w:rPr>
          <w:rtl/>
        </w:rPr>
        <w:t>ובס"ה: 'יש לאכול ראש איל זכר לאילו של יצחק</w:t>
      </w:r>
      <w:r w:rsidRPr="003A316E">
        <w:rPr>
          <w:rFonts w:ascii="Cambria" w:hAnsi="Cambria" w:cs="Cambria" w:hint="cs"/>
          <w:rtl/>
        </w:rPr>
        <w:t> </w:t>
      </w:r>
      <w:r w:rsidRPr="003A316E">
        <w:rPr>
          <w:rtl/>
        </w:rPr>
        <w:t xml:space="preserve"> </w:t>
      </w:r>
      <w:r w:rsidRPr="003A316E">
        <w:rPr>
          <w:rFonts w:hint="cs"/>
          <w:rtl/>
        </w:rPr>
        <w:t>ואם</w:t>
      </w:r>
      <w:r w:rsidRPr="003A316E">
        <w:rPr>
          <w:rtl/>
        </w:rPr>
        <w:t xml:space="preserve"> </w:t>
      </w:r>
      <w:r w:rsidRPr="003A316E">
        <w:rPr>
          <w:rFonts w:hint="cs"/>
          <w:rtl/>
        </w:rPr>
        <w:t>אין</w:t>
      </w:r>
      <w:r w:rsidRPr="003A316E">
        <w:rPr>
          <w:rtl/>
        </w:rPr>
        <w:t xml:space="preserve"> </w:t>
      </w:r>
      <w:r w:rsidRPr="003A316E">
        <w:rPr>
          <w:rFonts w:hint="cs"/>
          <w:rtl/>
        </w:rPr>
        <w:t>ראש</w:t>
      </w:r>
      <w:r w:rsidRPr="003A316E">
        <w:rPr>
          <w:rtl/>
        </w:rPr>
        <w:t xml:space="preserve"> </w:t>
      </w:r>
      <w:r w:rsidRPr="003A316E">
        <w:rPr>
          <w:rFonts w:hint="cs"/>
          <w:rtl/>
        </w:rPr>
        <w:t>איל</w:t>
      </w:r>
      <w:r w:rsidRPr="003A316E">
        <w:rPr>
          <w:rtl/>
        </w:rPr>
        <w:t xml:space="preserve"> </w:t>
      </w:r>
      <w:r w:rsidRPr="003A316E">
        <w:rPr>
          <w:rFonts w:hint="cs"/>
          <w:rtl/>
        </w:rPr>
        <w:t>יאכל</w:t>
      </w:r>
      <w:r w:rsidRPr="003A316E">
        <w:rPr>
          <w:rtl/>
        </w:rPr>
        <w:t xml:space="preserve"> </w:t>
      </w:r>
      <w:r w:rsidRPr="003A316E">
        <w:rPr>
          <w:rFonts w:hint="cs"/>
          <w:rtl/>
        </w:rPr>
        <w:t>ראש</w:t>
      </w:r>
      <w:r w:rsidRPr="003A316E">
        <w:rPr>
          <w:rtl/>
        </w:rPr>
        <w:t xml:space="preserve"> </w:t>
      </w:r>
      <w:r w:rsidRPr="003A316E">
        <w:rPr>
          <w:rFonts w:hint="cs"/>
          <w:rtl/>
        </w:rPr>
        <w:t>כבש</w:t>
      </w:r>
      <w:r w:rsidRPr="003A316E">
        <w:rPr>
          <w:rtl/>
        </w:rPr>
        <w:t xml:space="preserve"> </w:t>
      </w:r>
      <w:r w:rsidRPr="003A316E">
        <w:rPr>
          <w:rFonts w:hint="cs"/>
          <w:rtl/>
        </w:rPr>
        <w:t>ואם</w:t>
      </w:r>
      <w:r w:rsidRPr="003A316E">
        <w:rPr>
          <w:rtl/>
        </w:rPr>
        <w:t xml:space="preserve"> </w:t>
      </w:r>
      <w:r w:rsidRPr="003A316E">
        <w:rPr>
          <w:rFonts w:hint="cs"/>
          <w:rtl/>
        </w:rPr>
        <w:t>אין</w:t>
      </w:r>
      <w:r w:rsidRPr="003A316E">
        <w:rPr>
          <w:rtl/>
        </w:rPr>
        <w:t xml:space="preserve"> </w:t>
      </w:r>
      <w:r w:rsidRPr="003A316E">
        <w:rPr>
          <w:rFonts w:hint="cs"/>
          <w:rtl/>
        </w:rPr>
        <w:t>ראש</w:t>
      </w:r>
      <w:r w:rsidRPr="003A316E">
        <w:rPr>
          <w:rtl/>
        </w:rPr>
        <w:t xml:space="preserve"> </w:t>
      </w:r>
      <w:r w:rsidRPr="003A316E">
        <w:rPr>
          <w:rFonts w:hint="cs"/>
          <w:rtl/>
        </w:rPr>
        <w:t>כבש</w:t>
      </w:r>
      <w:r w:rsidRPr="003A316E">
        <w:rPr>
          <w:rtl/>
        </w:rPr>
        <w:t xml:space="preserve"> </w:t>
      </w:r>
      <w:r w:rsidRPr="003A316E">
        <w:rPr>
          <w:rFonts w:hint="cs"/>
          <w:rtl/>
        </w:rPr>
        <w:t>יאכל</w:t>
      </w:r>
      <w:r w:rsidRPr="003A316E">
        <w:rPr>
          <w:rtl/>
        </w:rPr>
        <w:t xml:space="preserve"> </w:t>
      </w:r>
      <w:r w:rsidRPr="003A316E">
        <w:rPr>
          <w:rFonts w:hint="cs"/>
          <w:rtl/>
        </w:rPr>
        <w:t>ראש</w:t>
      </w:r>
      <w:r w:rsidRPr="003A316E">
        <w:rPr>
          <w:rtl/>
        </w:rPr>
        <w:t xml:space="preserve"> </w:t>
      </w:r>
      <w:r w:rsidRPr="003A316E">
        <w:rPr>
          <w:rFonts w:hint="cs"/>
          <w:rtl/>
        </w:rPr>
        <w:t>אחר</w:t>
      </w:r>
      <w:r w:rsidRPr="003A316E">
        <w:rPr>
          <w:rtl/>
        </w:rPr>
        <w:t xml:space="preserve"> </w:t>
      </w:r>
      <w:r w:rsidRPr="003A316E">
        <w:rPr>
          <w:rFonts w:hint="cs"/>
          <w:rtl/>
        </w:rPr>
        <w:t>לומר</w:t>
      </w:r>
      <w:r w:rsidRPr="003A316E">
        <w:rPr>
          <w:rtl/>
        </w:rPr>
        <w:t xml:space="preserve"> </w:t>
      </w:r>
      <w:r w:rsidRPr="003A316E">
        <w:rPr>
          <w:rFonts w:hint="cs"/>
          <w:rtl/>
        </w:rPr>
        <w:t>נהי</w:t>
      </w:r>
      <w:r w:rsidRPr="003A316E">
        <w:rPr>
          <w:rtl/>
        </w:rPr>
        <w:t>' לראש ולא לזנב'.</w:t>
      </w:r>
      <w:r w:rsidRPr="003A316E">
        <w:rPr>
          <w:rFonts w:ascii="Cambria" w:hAnsi="Cambria" w:cs="Cambria" w:hint="cs"/>
          <w:rtl/>
        </w:rPr>
        <w:t>     </w:t>
      </w:r>
    </w:p>
    <w:p w14:paraId="1902098A" w14:textId="77777777" w:rsidR="000672B7" w:rsidRPr="003A316E" w:rsidRDefault="000672B7" w:rsidP="00E60D97">
      <w:pPr>
        <w:pStyle w:val="a3"/>
        <w:rPr>
          <w:rFonts w:ascii="Times New Roman" w:hAnsi="Times New Roman" w:cs="Times New Roman"/>
          <w:rtl/>
        </w:rPr>
      </w:pPr>
      <w:r w:rsidRPr="003A316E">
        <w:rPr>
          <w:rtl/>
        </w:rPr>
        <w:t>והנה, בנוגע לאמירת ה"יהי רצון" כפי שהובא בשלחן ערוך, על כל הדברים הנ"ל מלבד התפוח, ודאי שאין אומרים למנהגינו. וכמפורש ב"היום יום" א' תשרי (וכן הוא ב"לקוטי מנהגים" שערך הרבי, נדפסו כהוספה למחזור השלם הוצאת קה"ת, ובספר המנהגים עמ' 56): 'אין אומרים יהי רצון כי אם על התפוח'.</w:t>
      </w:r>
      <w:r w:rsidRPr="003A316E">
        <w:rPr>
          <w:rFonts w:ascii="Cambria" w:hAnsi="Cambria" w:cs="Cambria" w:hint="cs"/>
          <w:rtl/>
        </w:rPr>
        <w:t> </w:t>
      </w:r>
    </w:p>
    <w:p w14:paraId="7E34A1F6" w14:textId="77777777" w:rsidR="000672B7" w:rsidRPr="003A316E" w:rsidRDefault="000672B7" w:rsidP="00E60D97">
      <w:pPr>
        <w:pStyle w:val="a3"/>
        <w:rPr>
          <w:rFonts w:ascii="Times New Roman" w:hAnsi="Times New Roman" w:cs="Times New Roman"/>
          <w:rtl/>
        </w:rPr>
      </w:pPr>
      <w:r w:rsidRPr="003A316E">
        <w:rPr>
          <w:rtl/>
        </w:rPr>
        <w:t>אבל, בנוגע לאכילת כל הדברים הנ"ל:</w:t>
      </w:r>
    </w:p>
    <w:p w14:paraId="4436485D" w14:textId="77777777" w:rsidR="000672B7" w:rsidRPr="003A316E" w:rsidRDefault="000672B7" w:rsidP="00E60D97">
      <w:pPr>
        <w:pStyle w:val="a3"/>
        <w:rPr>
          <w:rFonts w:ascii="Times New Roman" w:hAnsi="Times New Roman" w:cs="Times New Roman"/>
          <w:rtl/>
        </w:rPr>
      </w:pPr>
      <w:r w:rsidRPr="003A316E">
        <w:rPr>
          <w:rtl/>
        </w:rPr>
        <w:t>י"ל, ובהקדים, דהנה בסידורו כתב אדה"ז, וז"ל: 'בראש השנה בלילה ראשונה נוהגין לאכול תפוח מתוק בדבש בתחילת הסעודה'.</w:t>
      </w:r>
      <w:r w:rsidRPr="003A316E">
        <w:rPr>
          <w:rFonts w:ascii="Cambria" w:hAnsi="Cambria" w:cs="Cambria" w:hint="cs"/>
          <w:rtl/>
        </w:rPr>
        <w:t> </w:t>
      </w:r>
    </w:p>
    <w:p w14:paraId="7182E422" w14:textId="77777777" w:rsidR="000672B7" w:rsidRPr="003A316E" w:rsidRDefault="000672B7" w:rsidP="00E60D97">
      <w:pPr>
        <w:pStyle w:val="a3"/>
        <w:rPr>
          <w:rFonts w:ascii="Times New Roman" w:hAnsi="Times New Roman" w:cs="Times New Roman"/>
          <w:rtl/>
        </w:rPr>
      </w:pPr>
      <w:r w:rsidRPr="003A316E">
        <w:rPr>
          <w:rtl/>
        </w:rPr>
        <w:t>וב"היום יום" א' תשרי הנ"ל: 'אוכלים ראש איל'.</w:t>
      </w:r>
      <w:r w:rsidRPr="003A316E">
        <w:rPr>
          <w:rFonts w:ascii="Cambria" w:hAnsi="Cambria" w:cs="Cambria" w:hint="cs"/>
          <w:rtl/>
        </w:rPr>
        <w:t> </w:t>
      </w:r>
    </w:p>
    <w:p w14:paraId="4576F013" w14:textId="77777777" w:rsidR="000672B7" w:rsidRPr="003A316E" w:rsidRDefault="000672B7" w:rsidP="00E60D97">
      <w:pPr>
        <w:pStyle w:val="a3"/>
        <w:rPr>
          <w:rFonts w:ascii="Times New Roman" w:hAnsi="Times New Roman" w:cs="Times New Roman"/>
          <w:rtl/>
        </w:rPr>
      </w:pPr>
      <w:r w:rsidRPr="003A316E">
        <w:rPr>
          <w:rtl/>
        </w:rPr>
        <w:t>ובלקוטי מנהגים הנ"ל: 'אוכלים רימון וראש איל'.</w:t>
      </w:r>
      <w:r w:rsidRPr="003A316E">
        <w:rPr>
          <w:rFonts w:ascii="Cambria" w:hAnsi="Cambria" w:cs="Cambria" w:hint="cs"/>
          <w:rtl/>
        </w:rPr>
        <w:t> </w:t>
      </w:r>
    </w:p>
    <w:p w14:paraId="7EE4EF53" w14:textId="32EF7B6C" w:rsidR="000672B7" w:rsidRPr="003A316E" w:rsidRDefault="000672B7" w:rsidP="00E60D97">
      <w:pPr>
        <w:pStyle w:val="a3"/>
        <w:rPr>
          <w:rtl/>
        </w:rPr>
      </w:pPr>
      <w:r w:rsidRPr="003A316E">
        <w:rPr>
          <w:rtl/>
        </w:rPr>
        <w:t>והנה, בשיחת כ"ה אלול תנש"א (תורת מנחם התוועדויות תנש"א ח"ד עמ' 323) אומר הרבי: 'ולהעיר מהשייכות דרימון לראש השנה כפי שמביא אדמו"ר הזקן בשולחן ערוך שלו (אף שלא הביא</w:t>
      </w:r>
      <w:r>
        <w:rPr>
          <w:rtl/>
        </w:rPr>
        <w:t>ו בסידורו)</w:t>
      </w:r>
      <w:r>
        <w:rPr>
          <w:rFonts w:ascii="Cambria" w:hAnsi="Cambria" w:cs="Cambria" w:hint="cs"/>
          <w:rtl/>
        </w:rPr>
        <w:t> </w:t>
      </w:r>
      <w:r>
        <w:rPr>
          <w:rtl/>
        </w:rPr>
        <w:t xml:space="preserve"> "</w:t>
      </w:r>
      <w:r>
        <w:rPr>
          <w:rFonts w:hint="cs"/>
          <w:rtl/>
        </w:rPr>
        <w:t>יש</w:t>
      </w:r>
      <w:r>
        <w:rPr>
          <w:rtl/>
        </w:rPr>
        <w:t xml:space="preserve"> </w:t>
      </w:r>
      <w:r>
        <w:rPr>
          <w:rFonts w:hint="cs"/>
          <w:rtl/>
        </w:rPr>
        <w:t>אוכלין</w:t>
      </w:r>
      <w:r>
        <w:rPr>
          <w:rtl/>
        </w:rPr>
        <w:t xml:space="preserve"> </w:t>
      </w:r>
      <w:r>
        <w:rPr>
          <w:rFonts w:hint="cs"/>
          <w:rtl/>
        </w:rPr>
        <w:t>רימונים</w:t>
      </w:r>
      <w:r>
        <w:rPr>
          <w:rtl/>
        </w:rPr>
        <w:t>"</w:t>
      </w:r>
      <w:r>
        <w:rPr>
          <w:rFonts w:hint="cs"/>
          <w:rtl/>
        </w:rPr>
        <w:t xml:space="preserve"> </w:t>
      </w:r>
      <w:r w:rsidRPr="003A316E">
        <w:rPr>
          <w:rtl/>
        </w:rPr>
        <w:t>'.</w:t>
      </w:r>
    </w:p>
    <w:p w14:paraId="2FBE4EF8" w14:textId="285EA03F" w:rsidR="000672B7" w:rsidRPr="003A316E" w:rsidRDefault="000672B7" w:rsidP="00E60D97">
      <w:pPr>
        <w:pStyle w:val="a3"/>
        <w:rPr>
          <w:rFonts w:ascii="Times New Roman" w:hAnsi="Times New Roman" w:cs="Times New Roman"/>
          <w:rtl/>
        </w:rPr>
      </w:pPr>
      <w:r w:rsidRPr="003A316E">
        <w:rPr>
          <w:rtl/>
        </w:rPr>
        <w:t>ושם בהערה 66: 'וכדי שלא יתעוררו שאלות וספקות בנוגע לאמירת (ברכה על הרימון בפני עצמו, וכן) ברכה אחרונה לאחרי אכילת הרימון, אם אכלו שיעור שלם – כדאי לאכלו בתחלת הסעודה (לאחרי נט"י וברכת המוציא)'.</w:t>
      </w:r>
      <w:r w:rsidRPr="003A316E">
        <w:rPr>
          <w:rFonts w:ascii="Cambria" w:hAnsi="Cambria" w:cs="Cambria" w:hint="cs"/>
          <w:rtl/>
        </w:rPr>
        <w:t>                   </w:t>
      </w:r>
    </w:p>
    <w:p w14:paraId="32E857D6" w14:textId="77777777" w:rsidR="000672B7" w:rsidRPr="003A316E" w:rsidRDefault="000672B7" w:rsidP="00E60D97">
      <w:pPr>
        <w:pStyle w:val="a3"/>
        <w:rPr>
          <w:rFonts w:ascii="Times New Roman" w:hAnsi="Times New Roman" w:cs="Times New Roman"/>
          <w:rtl/>
        </w:rPr>
      </w:pPr>
      <w:r w:rsidRPr="003A316E">
        <w:rPr>
          <w:rtl/>
        </w:rPr>
        <w:t>ובשוה"ג שם: 'וכיון שבר"ה</w:t>
      </w:r>
      <w:r>
        <w:rPr>
          <w:rtl/>
        </w:rPr>
        <w:t xml:space="preserve"> כתיב "אכלו משמנים גו' מנות גו'</w:t>
      </w:r>
      <w:r>
        <w:rPr>
          <w:rFonts w:hint="cs"/>
          <w:rtl/>
        </w:rPr>
        <w:t xml:space="preserve"> </w:t>
      </w:r>
      <w:r w:rsidRPr="003A316E">
        <w:rPr>
          <w:rtl/>
        </w:rPr>
        <w:t>", הרי בודאי שצריכים לאכול שיעור שלם'.</w:t>
      </w:r>
      <w:r w:rsidRPr="003A316E">
        <w:rPr>
          <w:rFonts w:ascii="Cambria" w:hAnsi="Cambria" w:cs="Cambria" w:hint="cs"/>
          <w:rtl/>
        </w:rPr>
        <w:t> </w:t>
      </w:r>
    </w:p>
    <w:p w14:paraId="167E7B1F" w14:textId="77777777" w:rsidR="000672B7" w:rsidRPr="003A316E" w:rsidRDefault="000672B7" w:rsidP="00E60D97">
      <w:pPr>
        <w:pStyle w:val="a3"/>
        <w:rPr>
          <w:rFonts w:ascii="Times New Roman" w:hAnsi="Times New Roman" w:cs="Times New Roman"/>
          <w:rtl/>
        </w:rPr>
      </w:pPr>
      <w:r w:rsidRPr="003A316E">
        <w:rPr>
          <w:rtl/>
        </w:rPr>
        <w:t>והיינו, שהרבי נקט, שאע"פ שבסידורו לא הביא אדה"ז את המנהג לאכול רימון, מ"מ הוא שייך לראש השנה היות ואדה"ז הביאו בשולחן ערוך שלו, וא"כ יש לאוכלו בראש השנה, ודווקא שיעור שלם וכו'.</w:t>
      </w:r>
    </w:p>
    <w:p w14:paraId="0D460797" w14:textId="1166AB36" w:rsidR="000672B7" w:rsidRDefault="000672B7" w:rsidP="00E60D97">
      <w:pPr>
        <w:pStyle w:val="a3"/>
        <w:rPr>
          <w:rtl/>
        </w:rPr>
      </w:pPr>
      <w:r w:rsidRPr="003A316E">
        <w:rPr>
          <w:rtl/>
        </w:rPr>
        <w:lastRenderedPageBreak/>
        <w:t>וא"כ, אולי יש לומר, אשר אע"פ שב"היום יום" הוסיף (על הסידור) רק ראש איל, וב"לקוטי מנהגים" הוסיף (על הסידור ו"היום יום") רק רימון, הרי יש לאכול בראש השנה את כל שאר הדברים השייכים לראש השנה, וכפי שהביא אדה"ז בשולחן ערוך שלו.</w:t>
      </w:r>
    </w:p>
    <w:p w14:paraId="2AC2F6AF" w14:textId="147E56AB" w:rsidR="0072178A" w:rsidRDefault="0072178A" w:rsidP="008D2550">
      <w:pPr>
        <w:pStyle w:val="M"/>
        <w:rPr>
          <w:rtl/>
        </w:rPr>
      </w:pPr>
      <w:r>
        <w:rPr>
          <w:noProof/>
        </w:rPr>
        <w:drawing>
          <wp:inline distT="0" distB="0" distL="0" distR="0" wp14:anchorId="4DCF8F59" wp14:editId="2EBB3023">
            <wp:extent cx="875763" cy="23404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C3E8F60" w14:textId="04542633" w:rsidR="000672B7" w:rsidRPr="003A316E" w:rsidRDefault="000672B7" w:rsidP="000672B7">
      <w:pPr>
        <w:pStyle w:val="a0"/>
        <w:rPr>
          <w:rFonts w:ascii="Times New Roman" w:hAnsi="Times New Roman" w:cs="Times New Roman"/>
          <w:sz w:val="24"/>
          <w:szCs w:val="24"/>
          <w:rtl/>
        </w:rPr>
      </w:pPr>
      <w:bookmarkStart w:id="149" w:name="_Toc81540421"/>
      <w:r w:rsidRPr="003A316E">
        <w:rPr>
          <w:rtl/>
        </w:rPr>
        <w:t>אמירת פרקי שיר המעלות בשמחת בית השואבה</w:t>
      </w:r>
      <w:bookmarkEnd w:id="149"/>
    </w:p>
    <w:p w14:paraId="17658E5C" w14:textId="1107F2FE" w:rsidR="000672B7" w:rsidRPr="000672B7" w:rsidRDefault="000672B7" w:rsidP="0046124A">
      <w:pPr>
        <w:pStyle w:val="a"/>
        <w:rPr>
          <w:rFonts w:ascii="Times New Roman" w:hAnsi="Times New Roman" w:cs="Times New Roman"/>
          <w:sz w:val="24"/>
          <w:szCs w:val="24"/>
          <w:rtl/>
        </w:rPr>
      </w:pPr>
      <w:bookmarkStart w:id="150" w:name="_Toc81540422"/>
      <w:r>
        <w:rPr>
          <w:rFonts w:hint="cs"/>
          <w:rtl/>
        </w:rPr>
        <w:t>הנ"ל</w:t>
      </w:r>
      <w:bookmarkEnd w:id="150"/>
    </w:p>
    <w:p w14:paraId="2E13185E" w14:textId="77777777" w:rsidR="000672B7" w:rsidRPr="003A316E" w:rsidRDefault="000672B7" w:rsidP="00E60D97">
      <w:pPr>
        <w:pStyle w:val="a3"/>
        <w:rPr>
          <w:rFonts w:ascii="Times New Roman" w:hAnsi="Times New Roman" w:cs="Times New Roman"/>
        </w:rPr>
      </w:pPr>
      <w:r w:rsidRPr="003A316E">
        <w:rPr>
          <w:rtl/>
        </w:rPr>
        <w:t>בקהילות רבות בישראל, נוהגים בזמננו, לומר בעת "שמחת בית השואבה" שמקיימים בימי חג הסוכות, זכר ל"שמחת בית השואבה" שהיתה בבית המקדש, את ט"ו פרקי "שיר המעלות" שבתהלים (ראה "פסקי תשובות" ח"ו עמ' תמה), אך בקהילות אנ"ש לא נוהגים כן.</w:t>
      </w:r>
      <w:r w:rsidRPr="003A316E">
        <w:rPr>
          <w:rFonts w:ascii="Cambria" w:hAnsi="Cambria" w:cs="Cambria" w:hint="cs"/>
          <w:rtl/>
        </w:rPr>
        <w:t> </w:t>
      </w:r>
    </w:p>
    <w:p w14:paraId="2D9AA9CA" w14:textId="77777777" w:rsidR="000672B7" w:rsidRPr="003A316E" w:rsidRDefault="000672B7" w:rsidP="00E60D97">
      <w:pPr>
        <w:pStyle w:val="a3"/>
        <w:rPr>
          <w:rFonts w:ascii="Times New Roman" w:hAnsi="Times New Roman" w:cs="Times New Roman"/>
          <w:rtl/>
        </w:rPr>
      </w:pPr>
      <w:r w:rsidRPr="003A316E">
        <w:rPr>
          <w:rtl/>
        </w:rPr>
        <w:t>ולהעיר משיחת ליל ג' דחג הסוכות תשמ"ג (תורת מנחם התוועדויות תשמ"ג ח"א עמ' 188), וז"ל:</w:t>
      </w:r>
      <w:r w:rsidRPr="003A316E">
        <w:rPr>
          <w:rFonts w:ascii="Cambria" w:hAnsi="Cambria" w:cs="Cambria" w:hint="cs"/>
          <w:rtl/>
        </w:rPr>
        <w:t> </w:t>
      </w:r>
    </w:p>
    <w:p w14:paraId="2170637B" w14:textId="77777777" w:rsidR="000672B7" w:rsidRPr="003A316E" w:rsidRDefault="000672B7" w:rsidP="00E60D97">
      <w:pPr>
        <w:pStyle w:val="a3"/>
        <w:rPr>
          <w:rFonts w:ascii="Times New Roman" w:hAnsi="Times New Roman" w:cs="Times New Roman"/>
          <w:rtl/>
        </w:rPr>
      </w:pPr>
      <w:r w:rsidRPr="003A316E">
        <w:rPr>
          <w:rtl/>
        </w:rPr>
        <w:t>'והנה "ט"ו שיר המעלות שבספר תהילים" (שאמרם יעקב אבינו בהיותו בבית לבן) - יש להם קשר מיוחד עם "שמחת בית השואבה".</w:t>
      </w:r>
    </w:p>
    <w:p w14:paraId="6FA528E4" w14:textId="77777777" w:rsidR="000672B7" w:rsidRPr="003A316E" w:rsidRDefault="000672B7" w:rsidP="00E60D97">
      <w:pPr>
        <w:pStyle w:val="a3"/>
        <w:rPr>
          <w:rFonts w:ascii="Times New Roman" w:hAnsi="Times New Roman" w:cs="Times New Roman"/>
          <w:rtl/>
        </w:rPr>
      </w:pPr>
      <w:r w:rsidRPr="003A316E">
        <w:rPr>
          <w:rtl/>
        </w:rPr>
        <w:t>אודות "שמחת בית השואבה" מסופר במשנה (סוכה נא, ב): "חסידים ואנשי מעשה היו מרקדין כו' והלויים בכינורות וכו' על חמש עשרה מעלות היורדות מעזרת ישראל לעזרת נשים, כנגד חמשה עשר שיר המעלות שבתהלים, שעליהן לויים עומדין בכלי שיר ואומרים שירה".</w:t>
      </w:r>
    </w:p>
    <w:p w14:paraId="2E1EB069" w14:textId="77777777" w:rsidR="000672B7" w:rsidRPr="003A316E" w:rsidRDefault="000672B7" w:rsidP="00E60D97">
      <w:pPr>
        <w:pStyle w:val="a3"/>
        <w:rPr>
          <w:rFonts w:ascii="Times New Roman" w:hAnsi="Times New Roman" w:cs="Times New Roman"/>
          <w:rtl/>
        </w:rPr>
      </w:pPr>
      <w:r w:rsidRPr="003A316E">
        <w:rPr>
          <w:rtl/>
        </w:rPr>
        <w:t>ויש לומר – שלא זו בלבד שהלויים היו עומדים על חמש עשרה מעלות שהן כנגד ט"ו שיר המעלות שבספר תהלים, אלא יתירה מזו: השירה שאמרו הלויים ב"שמחת בית השואבה" בעת עמדם על חמש עשרה המעלות – היא "חמשה עשר שיר המעלות שבתהלים".</w:t>
      </w:r>
    </w:p>
    <w:p w14:paraId="6A62701A" w14:textId="77777777" w:rsidR="000672B7" w:rsidRPr="003A316E" w:rsidRDefault="000672B7" w:rsidP="00E60D97">
      <w:pPr>
        <w:pStyle w:val="a3"/>
        <w:rPr>
          <w:rFonts w:ascii="Times New Roman" w:hAnsi="Times New Roman" w:cs="Times New Roman"/>
          <w:rtl/>
        </w:rPr>
      </w:pPr>
      <w:r w:rsidRPr="003A316E">
        <w:rPr>
          <w:rtl/>
        </w:rPr>
        <w:t>דהנה, בכל מפרשי המשנה שראיתי, לא נתבאר מה היא השירה שהיו הלויים אומרים ב"שמחת בית השואבה", בעת עמדם ע"ג המעלות שבביהמ"ק. אבל בפירוש רש"י על התהלים, במזמור הראשון ד"שיר המעלות" (קכ, א) – נאמר: "שיר המעלות שיאמרו הלוויים אותו על חמש עשרה מעלות היורדות מעזרת ישראל עד עזרת נשים, ויש כאן ט"ו מזמורים של שיר המעלות", כלומר, מ"ש במשנה "שעליהן (על המעלות שבביהמ"ק) לויים עומדין בכלי שיר ואומרים שירה" – קאי על אמירת ט"ו המזמורים ד"שיר המעלות".</w:t>
      </w:r>
    </w:p>
    <w:p w14:paraId="5D738BFB" w14:textId="77777777" w:rsidR="000672B7" w:rsidRPr="003A316E" w:rsidRDefault="000672B7" w:rsidP="00E60D97">
      <w:pPr>
        <w:pStyle w:val="a3"/>
        <w:rPr>
          <w:rFonts w:ascii="Times New Roman" w:hAnsi="Times New Roman" w:cs="Times New Roman"/>
          <w:rtl/>
        </w:rPr>
      </w:pPr>
      <w:r w:rsidRPr="003A316E">
        <w:rPr>
          <w:rtl/>
        </w:rPr>
        <w:lastRenderedPageBreak/>
        <w:t>ולפלא גדול שלא ראיתי שענין זה יובא לפסק הלכה (או עכ"פ בתור מנהג) – אע"פ שהדבר מפורש בפירוש רש"י בפשטות הכתובים!'. עכ"ל.</w:t>
      </w:r>
    </w:p>
    <w:p w14:paraId="34CE03A9" w14:textId="77777777" w:rsidR="000672B7" w:rsidRPr="003A316E" w:rsidRDefault="000672B7" w:rsidP="00E60D97">
      <w:pPr>
        <w:pStyle w:val="a3"/>
        <w:rPr>
          <w:rFonts w:ascii="Times New Roman" w:hAnsi="Times New Roman" w:cs="Times New Roman"/>
          <w:rtl/>
        </w:rPr>
      </w:pPr>
      <w:r w:rsidRPr="003A316E">
        <w:rPr>
          <w:rtl/>
        </w:rPr>
        <w:t>ולכאורה, נראה לומר, שדברי הרבי וב"פלא גדול", אודות אי הבאת פסק הלכה או עכ"פ מנהג, לגבי אמירת ט"ו פרקי "שיר המעלות" ב"שמחת בית השואבה", מיירי אודות הזכר ל"שמחת בית השואבה" שמקיימים בזמן הזה זכר למקדש, ולא ל"שמחת בית השואבה" שהיתה בבית המקדש.</w:t>
      </w:r>
    </w:p>
    <w:p w14:paraId="5E6F3E50" w14:textId="77777777" w:rsidR="000672B7" w:rsidRPr="003A316E" w:rsidRDefault="000672B7" w:rsidP="00E60D97">
      <w:pPr>
        <w:pStyle w:val="a3"/>
        <w:rPr>
          <w:rFonts w:ascii="Times New Roman" w:hAnsi="Times New Roman" w:cs="Times New Roman"/>
          <w:rtl/>
        </w:rPr>
      </w:pPr>
      <w:r w:rsidRPr="003A316E">
        <w:rPr>
          <w:rtl/>
        </w:rPr>
        <w:t xml:space="preserve">היות, שהרי אין בספרי ההלכה שלנו, פסקים בהלכה ומנהג במצוות שאינן נוהגות בזמן הזה, כמו ענייני בית המקדש והעבודות התלויות בו, אלא בספר משנה תורה - יד החזקה להרמב"ם. וכמ"ש בתורת מנחם התוועדויות תשד"מ ח"ג עמ' 1623 (מוגה): </w:t>
      </w:r>
      <w:r>
        <w:rPr>
          <w:rFonts w:hint="cs"/>
          <w:rtl/>
        </w:rPr>
        <w:t>'</w:t>
      </w:r>
      <w:r w:rsidRPr="003A316E">
        <w:rPr>
          <w:rtl/>
        </w:rPr>
        <w:t>'מעלה מיוחדת בספרו של הרמב"ם, מכיון שבו נתבארו הלכות התורה כולה (משא"כ בספרי שאר הפוסקים, כמו הרי"ף וכיו"ב, וכן ה"שולחן ערוך", שבהם לא הובאו כו"כ מצוות שאינן נוהגות בזמן הזה וכיו"ב)'</w:t>
      </w:r>
      <w:r>
        <w:rPr>
          <w:rFonts w:hint="cs"/>
          <w:rtl/>
        </w:rPr>
        <w:t>'</w:t>
      </w:r>
      <w:r w:rsidRPr="003A316E">
        <w:rPr>
          <w:rtl/>
        </w:rPr>
        <w:t>.</w:t>
      </w:r>
      <w:r w:rsidRPr="003A316E">
        <w:rPr>
          <w:rFonts w:ascii="Cambria" w:hAnsi="Cambria" w:cs="Cambria" w:hint="cs"/>
          <w:rtl/>
        </w:rPr>
        <w:t>  </w:t>
      </w:r>
    </w:p>
    <w:p w14:paraId="6CB66DAF" w14:textId="51F83117" w:rsidR="000672B7" w:rsidRDefault="000672B7" w:rsidP="00E60D97">
      <w:pPr>
        <w:pStyle w:val="a3"/>
        <w:rPr>
          <w:rFonts w:ascii="Cambria" w:hAnsi="Cambria" w:cs="Cambria"/>
          <w:rtl/>
        </w:rPr>
      </w:pPr>
      <w:r w:rsidRPr="003A316E">
        <w:rPr>
          <w:rtl/>
        </w:rPr>
        <w:t>והרי, אין לתמוה ועוד "בפלא גדול", על הרמב"ם מדוע לא הביא את דברי רש"י, מכיון שרש"י והרמב"ם היו (בערך) באותו דור (ראה "סדר הדורות" ד"א תתס"ה ערך רש"י).</w:t>
      </w:r>
      <w:r w:rsidRPr="003A316E">
        <w:rPr>
          <w:rFonts w:ascii="Cambria" w:hAnsi="Cambria" w:cs="Cambria" w:hint="cs"/>
          <w:rtl/>
        </w:rPr>
        <w:t> </w:t>
      </w:r>
    </w:p>
    <w:p w14:paraId="5BA8EE5B" w14:textId="77777777" w:rsidR="00BE42E8" w:rsidRDefault="0072178A" w:rsidP="00492226">
      <w:pPr>
        <w:pStyle w:val="M"/>
        <w:rPr>
          <w:rFonts w:ascii="Cambria" w:hAnsi="Cambria" w:cs="Times New Roman"/>
          <w:rtl/>
        </w:rPr>
        <w:sectPr w:rsidR="00BE42E8" w:rsidSect="00541E5D">
          <w:footnotePr>
            <w:numRestart w:val="eachSect"/>
          </w:footnotePr>
          <w:type w:val="continuous"/>
          <w:pgSz w:w="7920" w:h="12240"/>
          <w:pgMar w:top="-810" w:right="864" w:bottom="720" w:left="864" w:header="270" w:footer="0" w:gutter="0"/>
          <w:cols w:space="720"/>
          <w:docGrid w:linePitch="360"/>
        </w:sectPr>
      </w:pPr>
      <w:r>
        <w:rPr>
          <w:noProof/>
        </w:rPr>
        <w:drawing>
          <wp:inline distT="0" distB="0" distL="0" distR="0" wp14:anchorId="34C9F826" wp14:editId="43419B67">
            <wp:extent cx="875763" cy="234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98019DF" w14:textId="6DF7EF6C" w:rsidR="0072178A" w:rsidRDefault="0072178A" w:rsidP="00E60D97">
      <w:pPr>
        <w:pStyle w:val="a3"/>
        <w:rPr>
          <w:rtl/>
        </w:rPr>
      </w:pPr>
    </w:p>
    <w:p w14:paraId="0D55B385" w14:textId="6A09218A" w:rsidR="000672B7" w:rsidRPr="008447BC" w:rsidRDefault="000672B7" w:rsidP="000672B7">
      <w:pPr>
        <w:pStyle w:val="a0"/>
        <w:bidi w:val="0"/>
        <w:rPr>
          <w:rtl/>
        </w:rPr>
      </w:pPr>
      <w:bookmarkStart w:id="151" w:name="_Toc81540423"/>
      <w:r w:rsidRPr="008447BC">
        <w:rPr>
          <w:rFonts w:hint="cs"/>
          <w:rtl/>
        </w:rPr>
        <w:t xml:space="preserve">יין ופירות </w:t>
      </w:r>
      <w:r w:rsidRPr="000672B7">
        <w:rPr>
          <w:rFonts w:hint="cs"/>
          <w:rtl/>
        </w:rPr>
        <w:t>שלפני</w:t>
      </w:r>
      <w:r w:rsidRPr="008447BC">
        <w:rPr>
          <w:rFonts w:hint="cs"/>
          <w:rtl/>
        </w:rPr>
        <w:t xml:space="preserve"> סעודה ומנהג חב"ד בליל ר"ה</w:t>
      </w:r>
      <w:bookmarkEnd w:id="151"/>
    </w:p>
    <w:p w14:paraId="2BD49D54" w14:textId="77777777" w:rsidR="000672B7" w:rsidRDefault="000672B7" w:rsidP="0046124A">
      <w:pPr>
        <w:pStyle w:val="a"/>
        <w:rPr>
          <w:rtl/>
        </w:rPr>
      </w:pPr>
      <w:bookmarkStart w:id="152" w:name="_Toc81540424"/>
      <w:r>
        <w:rPr>
          <w:rFonts w:hint="cs"/>
          <w:rtl/>
        </w:rPr>
        <w:t>הרב יוחנן מרזוב</w:t>
      </w:r>
      <w:bookmarkEnd w:id="152"/>
    </w:p>
    <w:p w14:paraId="16A47935" w14:textId="77777777" w:rsidR="000672B7" w:rsidRDefault="000672B7" w:rsidP="000672B7">
      <w:pPr>
        <w:pStyle w:val="a1"/>
        <w:rPr>
          <w:rtl/>
        </w:rPr>
      </w:pPr>
      <w:r>
        <w:rPr>
          <w:rFonts w:hint="cs"/>
          <w:rtl/>
        </w:rPr>
        <w:t>שליח ורב ק"ק בית מנחם מענדל - פלאטבוש</w:t>
      </w:r>
    </w:p>
    <w:p w14:paraId="3ECAA9FD" w14:textId="77777777" w:rsidR="000672B7" w:rsidRPr="007674A6" w:rsidRDefault="000672B7" w:rsidP="00E60D97">
      <w:pPr>
        <w:pStyle w:val="11"/>
        <w:rPr>
          <w:rtl/>
        </w:rPr>
      </w:pPr>
      <w:r w:rsidRPr="007674A6">
        <w:rPr>
          <w:rFonts w:hint="cs"/>
          <w:rtl/>
        </w:rPr>
        <w:t>האם יין ופירות שלפני סעודה פוטרים יין ופירות שבתוך הסעודה</w:t>
      </w:r>
    </w:p>
    <w:p w14:paraId="7FE8308A" w14:textId="77777777" w:rsidR="000672B7" w:rsidRDefault="000672B7" w:rsidP="00E60D97">
      <w:pPr>
        <w:pStyle w:val="a3"/>
        <w:rPr>
          <w:rtl/>
        </w:rPr>
      </w:pPr>
      <w:r>
        <w:rPr>
          <w:rFonts w:hint="cs"/>
          <w:rtl/>
        </w:rPr>
        <w:t>א. כתב אדה"ז בסדר ברה"נ (פ"ד הי"א-ב) "</w:t>
      </w:r>
      <w:r>
        <w:rPr>
          <w:rtl/>
        </w:rPr>
        <w:t>כל משקין ששותה לפני הסעודה אינו פוטר דברים שבתוך הסעודה</w:t>
      </w:r>
      <w:r>
        <w:rPr>
          <w:rFonts w:hint="cs"/>
          <w:rtl/>
        </w:rPr>
        <w:t>...ו</w:t>
      </w:r>
      <w:r>
        <w:rPr>
          <w:rtl/>
        </w:rPr>
        <w:t>צריך לברך אחריו אם שתה</w:t>
      </w:r>
      <w:r>
        <w:rPr>
          <w:rFonts w:hint="cs"/>
          <w:rtl/>
        </w:rPr>
        <w:t xml:space="preserve"> </w:t>
      </w:r>
      <w:r>
        <w:rPr>
          <w:rtl/>
        </w:rPr>
        <w:t>כשיעור</w:t>
      </w:r>
      <w:r>
        <w:rPr>
          <w:rFonts w:hint="cs"/>
          <w:rtl/>
        </w:rPr>
        <w:t>,</w:t>
      </w:r>
      <w:r>
        <w:rPr>
          <w:rtl/>
        </w:rPr>
        <w:t xml:space="preserve"> חוץ מן היין לפי שבא לפתוח בני מעיים להמשיך האדם לתאות האכילה ומכלל</w:t>
      </w:r>
      <w:r>
        <w:rPr>
          <w:rFonts w:hint="cs"/>
          <w:rtl/>
        </w:rPr>
        <w:t xml:space="preserve"> </w:t>
      </w:r>
      <w:r>
        <w:rPr>
          <w:rtl/>
        </w:rPr>
        <w:t>הסעודה הוא ונפטר בברכת המזון</w:t>
      </w:r>
      <w:r>
        <w:rPr>
          <w:rFonts w:hint="cs"/>
          <w:rtl/>
        </w:rPr>
        <w:t>,</w:t>
      </w:r>
      <w:r>
        <w:rPr>
          <w:rtl/>
        </w:rPr>
        <w:t xml:space="preserve"> לפיכך אין צריך לברך אחריו קודם הסעודה אפילו אין</w:t>
      </w:r>
      <w:r>
        <w:rPr>
          <w:rFonts w:hint="cs"/>
          <w:rtl/>
        </w:rPr>
        <w:t xml:space="preserve"> </w:t>
      </w:r>
      <w:r>
        <w:rPr>
          <w:rtl/>
        </w:rPr>
        <w:t>בדעתו כלל לשתות יין בתוך הסעודה</w:t>
      </w:r>
      <w:r>
        <w:rPr>
          <w:rFonts w:hint="cs"/>
          <w:rtl/>
        </w:rPr>
        <w:t>...</w:t>
      </w:r>
      <w:r>
        <w:rPr>
          <w:rtl/>
        </w:rPr>
        <w:t>וכן מי שמקדש על היין הואיל ואין קידוש אלא במקום סעודה מכלל הסעודה הוא</w:t>
      </w:r>
      <w:r>
        <w:rPr>
          <w:rFonts w:hint="cs"/>
          <w:rtl/>
        </w:rPr>
        <w:t xml:space="preserve"> </w:t>
      </w:r>
      <w:r>
        <w:rPr>
          <w:rtl/>
        </w:rPr>
        <w:t>ואין צריך לברך אחריו</w:t>
      </w:r>
      <w:r>
        <w:rPr>
          <w:rFonts w:hint="cs"/>
          <w:rtl/>
        </w:rPr>
        <w:t>,</w:t>
      </w:r>
      <w:r>
        <w:rPr>
          <w:rtl/>
        </w:rPr>
        <w:t xml:space="preserve"> אבל המבדיל על היין ולא היה בדעתו כלל לשתות יין בתוך</w:t>
      </w:r>
      <w:r>
        <w:rPr>
          <w:rFonts w:hint="cs"/>
          <w:rtl/>
        </w:rPr>
        <w:t xml:space="preserve"> </w:t>
      </w:r>
      <w:r>
        <w:rPr>
          <w:rtl/>
        </w:rPr>
        <w:t>הסעודה צריך לברך אחריו</w:t>
      </w:r>
      <w:r>
        <w:rPr>
          <w:rFonts w:hint="cs"/>
          <w:rtl/>
        </w:rPr>
        <w:t>,</w:t>
      </w:r>
      <w:r>
        <w:rPr>
          <w:rtl/>
        </w:rPr>
        <w:t xml:space="preserve"> הואיל ואינו מתכוין לפתוח תאות המאכל אלא למצוה בלבד</w:t>
      </w:r>
      <w:r>
        <w:rPr>
          <w:rFonts w:hint="cs"/>
          <w:rtl/>
        </w:rPr>
        <w:t>".</w:t>
      </w:r>
    </w:p>
    <w:p w14:paraId="099B11FA" w14:textId="77777777" w:rsidR="000672B7" w:rsidRDefault="000672B7" w:rsidP="00E60D97">
      <w:pPr>
        <w:pStyle w:val="a3"/>
        <w:rPr>
          <w:rtl/>
        </w:rPr>
      </w:pPr>
      <w:r>
        <w:rPr>
          <w:rFonts w:hint="cs"/>
          <w:rtl/>
        </w:rPr>
        <w:t xml:space="preserve">ובסדר ברה"נ עם מקורות ציונים והערות (הרב אלאשווילי שי' בהוצאת קה"ת </w:t>
      </w:r>
      <w:r>
        <w:rPr>
          <w:rFonts w:hint="cs"/>
          <w:rtl/>
        </w:rPr>
        <w:lastRenderedPageBreak/>
        <w:t>תשע"ד הע' קטו) כתב "</w:t>
      </w:r>
      <w:r>
        <w:rPr>
          <w:rtl/>
        </w:rPr>
        <w:t>יש לדייק קצת מלשונו שאם יש בדעתו לשתות יין בתוך הסעודה לא יברך ברכה אחרונה על</w:t>
      </w:r>
      <w:r>
        <w:rPr>
          <w:rFonts w:hint="cs"/>
          <w:rtl/>
        </w:rPr>
        <w:t xml:space="preserve"> </w:t>
      </w:r>
      <w:r>
        <w:rPr>
          <w:rtl/>
        </w:rPr>
        <w:t>יין הבדלה</w:t>
      </w:r>
      <w:r>
        <w:rPr>
          <w:rStyle w:val="FootnoteReference"/>
          <w:rFonts w:cs="Arial"/>
          <w:rtl/>
        </w:rPr>
        <w:footnoteReference w:id="79"/>
      </w:r>
      <w:r>
        <w:rPr>
          <w:rFonts w:hint="cs"/>
          <w:rtl/>
        </w:rPr>
        <w:t>,</w:t>
      </w:r>
      <w:r>
        <w:rPr>
          <w:rtl/>
        </w:rPr>
        <w:t xml:space="preserve"> כי כשם שהיין שבתוך הסעודה נפטר בברכת</w:t>
      </w:r>
      <w:r>
        <w:rPr>
          <w:rFonts w:hint="cs"/>
          <w:rtl/>
        </w:rPr>
        <w:t xml:space="preserve"> </w:t>
      </w:r>
      <w:r>
        <w:rPr>
          <w:rtl/>
        </w:rPr>
        <w:t>המזון כך היין של ההבדלה נפטר בברכת המזון</w:t>
      </w:r>
      <w:r>
        <w:rPr>
          <w:rFonts w:hint="cs"/>
          <w:rtl/>
        </w:rPr>
        <w:t>,</w:t>
      </w:r>
      <w:r>
        <w:rPr>
          <w:rtl/>
        </w:rPr>
        <w:t xml:space="preserve"> אבל בשוע"ר</w:t>
      </w:r>
      <w:r>
        <w:rPr>
          <w:rFonts w:hint="cs"/>
          <w:rtl/>
        </w:rPr>
        <w:t xml:space="preserve"> (סי' קע"ד</w:t>
      </w:r>
      <w:r>
        <w:rPr>
          <w:rtl/>
        </w:rPr>
        <w:t xml:space="preserve"> ס"ה</w:t>
      </w:r>
      <w:r>
        <w:rPr>
          <w:rFonts w:hint="cs"/>
          <w:rtl/>
        </w:rPr>
        <w:t>)</w:t>
      </w:r>
      <w:r>
        <w:rPr>
          <w:rtl/>
        </w:rPr>
        <w:t xml:space="preserve"> הביא מחלוקת הפוסקים אם ברכת היין</w:t>
      </w:r>
      <w:r>
        <w:rPr>
          <w:rFonts w:hint="cs"/>
          <w:rtl/>
        </w:rPr>
        <w:t xml:space="preserve"> </w:t>
      </w:r>
      <w:r>
        <w:rPr>
          <w:rtl/>
        </w:rPr>
        <w:t>של ההבדלה פוטרת את היין שבתוך הסעודה קודם שקבע עצמו לסעודה</w:t>
      </w:r>
      <w:r>
        <w:rPr>
          <w:rFonts w:hint="cs"/>
          <w:rtl/>
        </w:rPr>
        <w:t>".</w:t>
      </w:r>
      <w:r>
        <w:rPr>
          <w:rtl/>
        </w:rPr>
        <w:t xml:space="preserve"> ומסיק שם להלכה</w:t>
      </w:r>
      <w:r>
        <w:rPr>
          <w:rFonts w:hint="cs"/>
          <w:rtl/>
        </w:rPr>
        <w:t>,</w:t>
      </w:r>
      <w:r>
        <w:rPr>
          <w:rtl/>
        </w:rPr>
        <w:t xml:space="preserve"> </w:t>
      </w:r>
      <w:r>
        <w:rPr>
          <w:rFonts w:hint="cs"/>
          <w:rtl/>
        </w:rPr>
        <w:t>"</w:t>
      </w:r>
      <w:r>
        <w:rPr>
          <w:rtl/>
        </w:rPr>
        <w:t>שבשמבדיל קודם</w:t>
      </w:r>
      <w:r>
        <w:rPr>
          <w:rFonts w:hint="cs"/>
          <w:rtl/>
        </w:rPr>
        <w:t xml:space="preserve"> </w:t>
      </w:r>
      <w:r>
        <w:rPr>
          <w:rtl/>
        </w:rPr>
        <w:t>שקבע עצמו לסעודה יכוין שלא לפטור בברכה זו היי</w:t>
      </w:r>
      <w:r>
        <w:rPr>
          <w:rFonts w:hint="cs"/>
          <w:rtl/>
        </w:rPr>
        <w:t xml:space="preserve">ן </w:t>
      </w:r>
      <w:r>
        <w:rPr>
          <w:rtl/>
        </w:rPr>
        <w:t>שבתוך הסעודה</w:t>
      </w:r>
      <w:r>
        <w:rPr>
          <w:rFonts w:hint="cs"/>
          <w:rtl/>
        </w:rPr>
        <w:t>".</w:t>
      </w:r>
    </w:p>
    <w:p w14:paraId="1D0D5068" w14:textId="77777777" w:rsidR="000672B7" w:rsidRDefault="000672B7" w:rsidP="00E60D97">
      <w:pPr>
        <w:pStyle w:val="a3"/>
        <w:rPr>
          <w:rtl/>
        </w:rPr>
      </w:pPr>
      <w:r>
        <w:rPr>
          <w:rFonts w:hint="cs"/>
          <w:rtl/>
        </w:rPr>
        <w:t>ונ"ל שאדה"ז חזר בו בסדר ברה"נ ממה שפסק בשולחנו, ומפורש הכי בהלכה שלפנ"ז (ה"ח) "</w:t>
      </w:r>
      <w:r w:rsidRPr="00B16160">
        <w:rPr>
          <w:rtl/>
        </w:rPr>
        <w:t>אם שתה יין לפני הסעודה</w:t>
      </w:r>
      <w:r>
        <w:rPr>
          <w:rFonts w:hint="cs"/>
          <w:rtl/>
        </w:rPr>
        <w:t>,</w:t>
      </w:r>
      <w:r w:rsidRPr="00B16160">
        <w:rPr>
          <w:rtl/>
        </w:rPr>
        <w:t xml:space="preserve"> אפילו קודם שקבע עצמו לסעודה</w:t>
      </w:r>
      <w:r>
        <w:rPr>
          <w:rFonts w:hint="cs"/>
          <w:rtl/>
        </w:rPr>
        <w:t>,</w:t>
      </w:r>
      <w:r w:rsidRPr="00B16160">
        <w:rPr>
          <w:rtl/>
        </w:rPr>
        <w:t xml:space="preserve"> אין צריך לברך על היין</w:t>
      </w:r>
      <w:r>
        <w:rPr>
          <w:rFonts w:hint="cs"/>
          <w:rtl/>
        </w:rPr>
        <w:t xml:space="preserve"> </w:t>
      </w:r>
      <w:r w:rsidRPr="00B16160">
        <w:rPr>
          <w:rtl/>
        </w:rPr>
        <w:t>שבתוך הסעודה</w:t>
      </w:r>
      <w:r>
        <w:rPr>
          <w:rFonts w:hint="cs"/>
          <w:rtl/>
        </w:rPr>
        <w:t>,</w:t>
      </w:r>
      <w:r w:rsidRPr="00B16160">
        <w:rPr>
          <w:rtl/>
        </w:rPr>
        <w:t xml:space="preserve"> אלא אם כן לא היה בדעתו כלל לשתות יין בתוך הסעודה ואחר</w:t>
      </w:r>
      <w:r>
        <w:rPr>
          <w:rFonts w:hint="cs"/>
          <w:rtl/>
        </w:rPr>
        <w:t xml:space="preserve"> </w:t>
      </w:r>
      <w:r>
        <w:rPr>
          <w:rtl/>
        </w:rPr>
        <w:t>כך נמלך</w:t>
      </w:r>
      <w:r>
        <w:rPr>
          <w:rFonts w:hint="cs"/>
          <w:rtl/>
        </w:rPr>
        <w:t>", ומדסתים ולא חילק בין שתה יין סתם או יין להבדלה משמע דיין שלפני סעודה פוטר היין בסעודה גם בהבדלה.</w:t>
      </w:r>
    </w:p>
    <w:p w14:paraId="22D25C2E" w14:textId="77777777" w:rsidR="000672B7" w:rsidRDefault="000672B7" w:rsidP="00E60D97">
      <w:pPr>
        <w:pStyle w:val="a3"/>
        <w:rPr>
          <w:rtl/>
        </w:rPr>
      </w:pPr>
      <w:r>
        <w:rPr>
          <w:rFonts w:hint="cs"/>
          <w:rtl/>
        </w:rPr>
        <w:t>ומש"כ אח"כ (הי"ב) גבי הבדלה אינו שייך למחלוקת אם הבדלה פוטר יין שבסעודה, דבסדר ברה"נ פסק כמ"ד שהבדלה פוטר יין שבסעודה, וכיון שפו</w:t>
      </w:r>
      <w:r w:rsidRPr="00D177CB">
        <w:rPr>
          <w:rFonts w:asciiTheme="minorBidi" w:hAnsiTheme="minorBidi"/>
          <w:rtl/>
        </w:rPr>
        <w:t>טר היין בסעודה נעשה שייך לסעודה ונפטר בברכת המזון, (כמו שפסק בשוע"ר סי' קעד ס"ו "וכל מקום שיין שלפני הסעודה פוטר את היין שבתוך הסעו</w:t>
      </w:r>
      <w:r>
        <w:rPr>
          <w:rFonts w:asciiTheme="minorBidi" w:hAnsiTheme="minorBidi"/>
          <w:rtl/>
        </w:rPr>
        <w:t>דה א''צ לברך לאחריו ברכה אחרונה</w:t>
      </w:r>
      <w:r>
        <w:rPr>
          <w:rFonts w:asciiTheme="minorBidi" w:hAnsiTheme="minorBidi" w:hint="cs"/>
          <w:rtl/>
        </w:rPr>
        <w:t>...</w:t>
      </w:r>
      <w:r w:rsidRPr="00D177CB">
        <w:rPr>
          <w:rFonts w:asciiTheme="minorBidi" w:hAnsiTheme="minorBidi"/>
          <w:rtl/>
        </w:rPr>
        <w:t>לפי שנפטר הוא בברכת המזון כמו היין שבתוך הסעודה ששניהם הם שתיה אחת כיון שנפטרו בברכה ראשונה אחת")</w:t>
      </w:r>
      <w:r>
        <w:rPr>
          <w:rFonts w:asciiTheme="minorBidi" w:hAnsiTheme="minorBidi" w:hint="cs"/>
          <w:rtl/>
        </w:rPr>
        <w:t>, אלא שפסק ד</w:t>
      </w:r>
      <w:r w:rsidRPr="00D177CB">
        <w:rPr>
          <w:rFonts w:asciiTheme="minorBidi" w:hAnsiTheme="minorBidi"/>
          <w:rtl/>
        </w:rPr>
        <w:t xml:space="preserve">אם אינו רוצה לשתות יין בסעודה </w:t>
      </w:r>
      <w:r>
        <w:rPr>
          <w:rFonts w:hint="cs"/>
          <w:rtl/>
        </w:rPr>
        <w:t>צריך לברך מעין ג' על יין הבדלה ולא נפטר בברכת המזון.</w:t>
      </w:r>
    </w:p>
    <w:p w14:paraId="7B27259A" w14:textId="77777777" w:rsidR="000672B7" w:rsidRPr="00D177CB" w:rsidRDefault="000672B7" w:rsidP="00E60D97">
      <w:pPr>
        <w:pStyle w:val="a3"/>
        <w:rPr>
          <w:rFonts w:asciiTheme="minorBidi" w:hAnsiTheme="minorBidi"/>
          <w:rtl/>
        </w:rPr>
      </w:pPr>
      <w:r>
        <w:rPr>
          <w:rFonts w:hint="cs"/>
          <w:rtl/>
        </w:rPr>
        <w:t>וכתב דזהו רק בהבדלה משא"כ בחול וביין לקידוש נפטר היין שלפני המזון בברכת המזון אפי' אינו רוצה לשתות בסעודה, וטעם החילוק הוא דבחול היין גורר לתאות אכילה ולכן שייך היין לסעודה, וה"נ בקידוש כיון שאין קידוש אלא במקום סעודה שייך היין לסעודה, משא"כ בהבדלה שאינו שותה היין כדי לגרור תאוות אכילה אלא לקיים מצות הבדלה, ולפי אדה"ז דין זה פשוט לכו"ע ולא נחלקו הראשונים בזה</w:t>
      </w:r>
      <w:r>
        <w:rPr>
          <w:rStyle w:val="FootnoteReference"/>
          <w:rFonts w:cs="Arial"/>
          <w:rtl/>
        </w:rPr>
        <w:footnoteReference w:id="80"/>
      </w:r>
      <w:r>
        <w:rPr>
          <w:rFonts w:hint="cs"/>
          <w:rtl/>
        </w:rPr>
        <w:t>.</w:t>
      </w:r>
    </w:p>
    <w:p w14:paraId="27DA7D6F" w14:textId="77777777" w:rsidR="000672B7" w:rsidRPr="0032051F" w:rsidRDefault="000672B7" w:rsidP="00E60D97">
      <w:pPr>
        <w:pStyle w:val="11"/>
        <w:rPr>
          <w:rtl/>
        </w:rPr>
      </w:pPr>
      <w:r w:rsidRPr="0032051F">
        <w:rPr>
          <w:rFonts w:hint="cs"/>
          <w:rtl/>
        </w:rPr>
        <w:lastRenderedPageBreak/>
        <w:t>אינו בדין שיפטור הגרוע את החשוב</w:t>
      </w:r>
    </w:p>
    <w:p w14:paraId="040AC1CD" w14:textId="77777777" w:rsidR="000672B7" w:rsidRPr="000672B7" w:rsidRDefault="000672B7" w:rsidP="00E60D97">
      <w:pPr>
        <w:pStyle w:val="a3"/>
        <w:rPr>
          <w:rtl/>
        </w:rPr>
      </w:pPr>
      <w:r w:rsidRPr="0072178A">
        <w:rPr>
          <w:rtl/>
        </w:rPr>
        <w:t>ב. והטעם שאדה"ז שינה דעתו משע</w:t>
      </w:r>
      <w:r w:rsidRPr="000672B7">
        <w:rPr>
          <w:rtl/>
        </w:rPr>
        <w:t>"ר לסדר ברה"נ י"ל ובהקדים מקור דין זה</w:t>
      </w:r>
      <w:r w:rsidRPr="000672B7">
        <w:rPr>
          <w:rStyle w:val="FootnoteReference"/>
          <w:rtl/>
        </w:rPr>
        <w:footnoteReference w:id="81"/>
      </w:r>
      <w:r w:rsidRPr="000672B7">
        <w:rPr>
          <w:rtl/>
        </w:rPr>
        <w:t xml:space="preserve">, תנן (ברכות מב א) </w:t>
      </w:r>
      <w:bookmarkStart w:id="156" w:name="דף_מא"/>
      <w:r w:rsidRPr="000672B7">
        <w:rPr>
          <w:rtl/>
        </w:rPr>
        <w:t>"ברך על היין שלפני המזון פטר את היין שלאחר המזון</w:t>
      </w:r>
      <w:bookmarkEnd w:id="156"/>
      <w:r w:rsidRPr="000672B7">
        <w:rPr>
          <w:rtl/>
        </w:rPr>
        <w:t>", ובתוס' (מב ב ד"ה ורב ששת) כתב "יין שלפני הסעודה פוטר שבתוך הסעודה...אבל</w:t>
      </w:r>
      <w:r w:rsidRPr="000672B7">
        <w:rPr>
          <w:bCs/>
          <w:rtl/>
        </w:rPr>
        <w:t xml:space="preserve"> יין של הבדלה לא פטר אפילו הבדיל לאחר נטילה</w:t>
      </w:r>
      <w:r w:rsidRPr="000672B7">
        <w:rPr>
          <w:rtl/>
        </w:rPr>
        <w:t xml:space="preserve">, דהכי מיירי הא דפסקינן דיין שלפני המזון פוטר היין שבתוך המזון דכבר נטל ידיו, והכי משמע בסמוך מתוך הברייתא כיצד סדר הסבה וכו', מיהו נראה </w:t>
      </w:r>
      <w:r w:rsidRPr="000672B7">
        <w:rPr>
          <w:bCs/>
          <w:rtl/>
        </w:rPr>
        <w:t>כיון דנטל ידיו ודעתו לאכול ולשתות שם פוטר אפי' דהבדלה</w:t>
      </w:r>
      <w:r w:rsidRPr="000672B7">
        <w:rPr>
          <w:rtl/>
        </w:rPr>
        <w:t>...</w:t>
      </w:r>
      <w:r w:rsidRPr="000672B7">
        <w:rPr>
          <w:bCs/>
          <w:rtl/>
        </w:rPr>
        <w:t>דלא גרע יין דהבדלה מיין שלפני סעודה דפטר</w:t>
      </w:r>
      <w:r w:rsidRPr="000672B7">
        <w:rPr>
          <w:rtl/>
        </w:rPr>
        <w:t>, ומיהו יש שמחמירין להבדיל קודם נטילת ידים לאפוקי נפשייהו מפלוגתא דאז ודאי צריך לברך אחריו ברכה מעין שלש ולא פטר יין שבתוך המזון", אבל הרא"ש (סי' לב) ותר"י (ל, ב ד"ה ואומר) והרשב"א (מב ב ד"ה איבעיא) ס"ל שגם יין הבדלה שלפני נט"י פוטר יין שבסעודה.</w:t>
      </w:r>
    </w:p>
    <w:p w14:paraId="2BB98AF9" w14:textId="77777777" w:rsidR="000672B7" w:rsidRPr="000672B7" w:rsidRDefault="000672B7" w:rsidP="00E60D97">
      <w:pPr>
        <w:pStyle w:val="a3"/>
        <w:rPr>
          <w:rtl/>
        </w:rPr>
      </w:pPr>
      <w:r w:rsidRPr="000672B7">
        <w:rPr>
          <w:rtl/>
        </w:rPr>
        <w:t xml:space="preserve">ובשו"ע (סי' קעד ס"ד) פסק "אם קבע לשתות לפני המזון א"צ לברך על יין שבתוך המזון דיין שלפני המזון פוטרו, וכן יין של קידוש פוטר יין שבתוך המזון, וכן המבדיל על השלחן פוטר היין שבתוך המזון, וי"א שאין ברכת יין הבדלה פוטר אלא א"כ נטל </w:t>
      </w:r>
      <w:r w:rsidRPr="000672B7">
        <w:rPr>
          <w:rtl/>
        </w:rPr>
        <w:lastRenderedPageBreak/>
        <w:t>ידיו קודם הבדלה, הילכך המבדיל קודם נטילה יכוין שלא להוציא יין  שבתוך הסעודה, ובדיעבד שלא כוון כך פוטר יין שבתוך הסעודה דספק ברכות דרבנן להקל" וכ"פ בשוע"ר (סי' קעד ס"ה) אלא שמוסיף שאחר שקבע עצמו לסעודה הוה כמו אחר נט"י</w:t>
      </w:r>
      <w:r w:rsidRPr="000672B7">
        <w:rPr>
          <w:rStyle w:val="FootnoteReference"/>
          <w:rtl/>
        </w:rPr>
        <w:footnoteReference w:id="82"/>
      </w:r>
      <w:r w:rsidRPr="000672B7">
        <w:rPr>
          <w:rtl/>
        </w:rPr>
        <w:t>, ולפום ריהטא דשו"ע משמע שמחלוקת הראשונים הוא רק בהבדלה, אם יין הבדלה פוטר יין שבסעודה.</w:t>
      </w:r>
    </w:p>
    <w:p w14:paraId="08154076" w14:textId="77777777" w:rsidR="000672B7" w:rsidRPr="000672B7" w:rsidRDefault="000672B7" w:rsidP="00E60D97">
      <w:pPr>
        <w:pStyle w:val="a3"/>
        <w:rPr>
          <w:rtl/>
        </w:rPr>
      </w:pPr>
      <w:r w:rsidRPr="000672B7">
        <w:rPr>
          <w:rtl/>
        </w:rPr>
        <w:t>וצ"ע דעת התוס', למה נגרע הבדלה שלא יפטור יין שבסעודה?</w:t>
      </w:r>
      <w:r w:rsidRPr="000672B7">
        <w:rPr>
          <w:rStyle w:val="FootnoteReference"/>
          <w:rtl/>
        </w:rPr>
        <w:footnoteReference w:id="83"/>
      </w:r>
      <w:r w:rsidRPr="000672B7">
        <w:rPr>
          <w:rtl/>
        </w:rPr>
        <w:t xml:space="preserve"> ונ"ל דאיתא (שם </w:t>
      </w:r>
      <w:r w:rsidRPr="000672B7">
        <w:rPr>
          <w:rtl/>
        </w:rPr>
        <w:lastRenderedPageBreak/>
        <w:t xml:space="preserve">מב ,ב) "איבעיא להו בא להם יין בתוך המזון מהו שיפטור את היין שלאחר המזון, אם תימצי לומר ברך על היין שלפני המזון פוטר את היין שלאחר המזון, משום דזה לשתות וזה לשתות, אבל הכא דזה לשתות וזה לשרות לא או דילמא לא שנא...ורב יהודה וכל תלמידי דרב אמרי אינו פוטר", וכ"פ הראשנים (טור סי' קעד ט"ז (ס"ק ד) מ"א (ס"ק ג)) וכ"פ בשוע"ר (סי' קעד ס"ט). </w:t>
      </w:r>
    </w:p>
    <w:p w14:paraId="3256A5B7" w14:textId="77777777" w:rsidR="000672B7" w:rsidRPr="000672B7" w:rsidRDefault="000672B7" w:rsidP="00E60D97">
      <w:pPr>
        <w:pStyle w:val="a3"/>
        <w:rPr>
          <w:rtl/>
        </w:rPr>
      </w:pPr>
      <w:r w:rsidRPr="000672B7">
        <w:rPr>
          <w:rtl/>
        </w:rPr>
        <w:t>ובסברת הדבר י"ל עפ"י הרשב"א (שם מב א סד"ה ולענין) "אין בדין שיפטור מי שאינו חשוב את החשוב דרך גררה אלא דרך כונה, והיינו נמי טעמא דההיא (משנה שם מב א) דהא משמע אפילו לת"ק פרפרת שהיא חשובה פטרה מעשה קדרה, אבל מעשה קדרה לא פטר את הפרפרת, ולפי פירוש זה אם היה אוכל תפוחים ובירך עליהן ואח"כ הביאו לפניו אגוזים את התפוחים חביבים לו יותר פוטרים את האגוזים בגררת ברכת התפוחים אבל אם אינן חביבים אינן פוטרין את האגוזים אלא א"כ נתכון להם מתחלה", (הובא בב"י ריש סי' רו, רמ"א סי' ריא ס"ה, שוע"ר סי' רו ס"י), וה"נ יין שהוא לשרות האכילה שבמעיו אינה חשובה כמו היין שבא לשתות כדי ליהנות מהיין, דבתוך הסעודה יתכן שישתה מים לשרות האכילה שבמעיו אבל אחר הסעודה אינו שותה אלא כדי ליהנות מהיין, ואינו בדין שהברכה על שתיה הגרועה יפטור שתיה שהיא חשובה הימנה.</w:t>
      </w:r>
    </w:p>
    <w:p w14:paraId="412035D2" w14:textId="77777777" w:rsidR="000672B7" w:rsidRPr="000672B7" w:rsidRDefault="000672B7" w:rsidP="00E60D97">
      <w:pPr>
        <w:pStyle w:val="a3"/>
        <w:rPr>
          <w:rtl/>
        </w:rPr>
      </w:pPr>
      <w:r w:rsidRPr="000672B7">
        <w:rPr>
          <w:rtl/>
        </w:rPr>
        <w:t>וה"נ י"ל שהבדלה אינו אלא כדי לקיים מצות חכמים לקדש השבת בכניסתו וביצאתו (שוע"ר סי' רצ"ו סי"ח) ואינה חשובה לפי ערך היין שבסעודה שהוא עכ"פ כדי לשרות האכילה שבמעיו, ואינו בדין שהברכה על שתיה הגרועה יפטור שתיה שהיא חשובה הימנה.</w:t>
      </w:r>
    </w:p>
    <w:p w14:paraId="0BBD990D" w14:textId="77777777" w:rsidR="000672B7" w:rsidRPr="000672B7" w:rsidRDefault="000672B7" w:rsidP="00E60D97">
      <w:pPr>
        <w:pStyle w:val="a3"/>
        <w:rPr>
          <w:rtl/>
        </w:rPr>
      </w:pPr>
      <w:r w:rsidRPr="000672B7">
        <w:rPr>
          <w:rtl/>
        </w:rPr>
        <w:t>וצ"ע על סברה זו, שהרי אם נתכוין בפירוש שהגרוע יפטור החשוב מהני, וא"כ גם בהבדלה נימא שיתכוין בפירוש לפטור היין שבסעודה, ודוחק לומר שהתוס' מיירי בסתם אבל אה"נ אם בשעת הבדלה כיון לפטור היין בסעודה מהני, ובשו"ע ודאי דוחק לומר הכי, דלמה פסק שו"ע לצאת לכו"ע ע"י שיכיון בפירוש</w:t>
      </w:r>
      <w:r w:rsidRPr="000672B7">
        <w:rPr>
          <w:bCs/>
          <w:rtl/>
        </w:rPr>
        <w:t xml:space="preserve"> לא לפטור </w:t>
      </w:r>
      <w:r w:rsidRPr="000672B7">
        <w:rPr>
          <w:rtl/>
        </w:rPr>
        <w:t xml:space="preserve">היין </w:t>
      </w:r>
      <w:r w:rsidRPr="000672B7">
        <w:rPr>
          <w:rtl/>
        </w:rPr>
        <w:lastRenderedPageBreak/>
        <w:t xml:space="preserve">שבסעודה, הול"ל שיכוין בפירוש </w:t>
      </w:r>
      <w:r w:rsidRPr="000672B7">
        <w:rPr>
          <w:bCs/>
          <w:rtl/>
        </w:rPr>
        <w:t>לפטור</w:t>
      </w:r>
      <w:r w:rsidRPr="000672B7">
        <w:rPr>
          <w:rtl/>
        </w:rPr>
        <w:t xml:space="preserve"> היין שבסעודה וזה מועיל גם להתוס', ומשמע שלפי תוס' גם אם יכוין בפירוש לפטור יין שבסעודה לא מהני, ולמה? (ודוחק לומר דשו"ע חד מתרי עצות נקט).</w:t>
      </w:r>
    </w:p>
    <w:p w14:paraId="03A54073" w14:textId="77777777" w:rsidR="000672B7" w:rsidRPr="000672B7" w:rsidRDefault="000672B7" w:rsidP="00E60D97">
      <w:pPr>
        <w:pStyle w:val="a3"/>
        <w:rPr>
          <w:rtl/>
        </w:rPr>
      </w:pPr>
      <w:r w:rsidRPr="000672B7">
        <w:rPr>
          <w:rtl/>
        </w:rPr>
        <w:t>וי"ל דהנה הצ"צ (בחידושים על ברכות דף י ע"א ד"ה והנה) הביא שיש בזה מחלוקת ראשונים, לפי הריא"ז (בשלטי גבורים אות ג' בדף ל ב מדפי הרי"ף) שאם נתכיון בפירוש שיין שבא לשרות יפטור יין שבא לשתות מהני, אבל מהגהות מיימניות (פ"ד ס"ק ל) משמע כסתמא דסוגי' שלא מהני שיתכיון בפירוש.</w:t>
      </w:r>
    </w:p>
    <w:p w14:paraId="75A61C25" w14:textId="77777777" w:rsidR="000672B7" w:rsidRPr="000672B7" w:rsidRDefault="000672B7" w:rsidP="00E60D97">
      <w:pPr>
        <w:pStyle w:val="a3"/>
        <w:rPr>
          <w:rtl/>
        </w:rPr>
      </w:pPr>
      <w:r w:rsidRPr="000672B7">
        <w:rPr>
          <w:rtl/>
        </w:rPr>
        <w:t xml:space="preserve">ובתחלה חשב שמהרשב"א משמע כריא"ז, שהרי פסק שאם נתכוין בפירוש שהגרוע יפטור החשוב מהני, ומסיק שתרי גווני גרוע איכא, (א) גרוע שאינו פוטר החשוב דרך גררא אבל אם נתכוין לפוטרו מהני (ב) גרוע טפי דאפי' כיון בפירוש שיפטור גרוע החשוב לא מהני, ומסיק הצ"צ דביין שבא לשרות י"ל שגם להרשב"א לא מהני שיתכוין לפטור יין דלשתות כי הוא גרוע טפי, כיון ש"יש הפסק רב בינתיים היינו בין </w:t>
      </w:r>
      <w:r w:rsidRPr="000672B7">
        <w:rPr>
          <w:bCs/>
          <w:rtl/>
        </w:rPr>
        <w:t xml:space="preserve">תוך המזון לאחר המזון </w:t>
      </w:r>
      <w:r w:rsidRPr="000672B7">
        <w:rPr>
          <w:rtl/>
        </w:rPr>
        <w:t>יש הפסק רב ע"כ לא מהני אף כשנתכוין לפטור...אבל בנדון דהרשב"א שדעתו לאוכלן זה אחר זה מהני כשנתכוין לפטור".</w:t>
      </w:r>
    </w:p>
    <w:p w14:paraId="0092A344" w14:textId="77777777" w:rsidR="000672B7" w:rsidRPr="000672B7" w:rsidRDefault="000672B7" w:rsidP="00E60D97">
      <w:pPr>
        <w:pStyle w:val="a3"/>
        <w:rPr>
          <w:rtl/>
        </w:rPr>
      </w:pPr>
      <w:r w:rsidRPr="000672B7">
        <w:rPr>
          <w:rtl/>
        </w:rPr>
        <w:t xml:space="preserve">ובסברת הדבר י"ל דבשני אוכלים השווים הברכה הוא על אוכל הראשון מ"מ כל זמן שלא הסיח דעתו מאכילה נפטר השני בברכת הראשון, ולכן אם בתחילה נתכוין </w:t>
      </w:r>
      <w:r w:rsidRPr="000672B7">
        <w:rPr>
          <w:bCs/>
          <w:rtl/>
        </w:rPr>
        <w:t>לאכול</w:t>
      </w:r>
      <w:r w:rsidRPr="000672B7">
        <w:rPr>
          <w:rtl/>
        </w:rPr>
        <w:t xml:space="preserve"> השני מהני לכו"ע כי ודאי לא הסיח דעתו מאכילה (סדר ברה"נ פ"ט ה"ה), אבל בגרוע וחשוב אינו בדין שיפטור הגרוע את החשוב, אבל אם נתכווין לפוטר החשוב בשעה שבירך על הגרוע הרי חל ברכתו ישר על החשוב (ולא בגרירת הגרוע), והו"ל כמי שבירך על הפרי שבידו ונפל מידו דאם היה דעתו בבירור לאכול עוד פרי שעומד לפניו בשעת הברכה אין צריך לחזור ולברך (סדר ברה"נ פ"ט ה"ח-ט), אבל אם יש הפסק רב ביניהם הו"ל כהיה דעתו בבירור לאכול עוד פרי אבל הפרי אינו עומד לפני בשעת הברכה שצריך לחזור ולברך שנית.</w:t>
      </w:r>
    </w:p>
    <w:p w14:paraId="148E29DE" w14:textId="77777777" w:rsidR="000672B7" w:rsidRPr="0080359A" w:rsidRDefault="000672B7" w:rsidP="00E60D97">
      <w:pPr>
        <w:pStyle w:val="a3"/>
        <w:rPr>
          <w:rtl/>
        </w:rPr>
      </w:pPr>
      <w:r w:rsidRPr="000672B7">
        <w:rPr>
          <w:rtl/>
        </w:rPr>
        <w:t xml:space="preserve">ונ"ל שהבדלה הוא בגדר גרוע טפי, כי אינו בא לשתות או לשרות אלא לקיים מצוות חכמים לקדש השבת בכנסתו וביציאתו, וגם יש הפרש רב בין </w:t>
      </w:r>
      <w:r w:rsidRPr="000672B7">
        <w:rPr>
          <w:bCs/>
          <w:rtl/>
        </w:rPr>
        <w:t>הבדלה דקודם המזון ליין דלאחר המזון</w:t>
      </w:r>
      <w:r w:rsidRPr="000672B7">
        <w:rPr>
          <w:rtl/>
        </w:rPr>
        <w:t>, ולכן להתוס' אינו פוטר יין שבסעודה (שלפחות</w:t>
      </w:r>
      <w:r>
        <w:rPr>
          <w:rFonts w:hint="cs"/>
          <w:rtl/>
        </w:rPr>
        <w:t xml:space="preserve"> בא לשרות האכילה שבמעיו).</w:t>
      </w:r>
    </w:p>
    <w:p w14:paraId="2CE8EC0A" w14:textId="77777777" w:rsidR="000672B7" w:rsidRPr="0032051F" w:rsidRDefault="000672B7" w:rsidP="00E60D97">
      <w:pPr>
        <w:pStyle w:val="11"/>
        <w:rPr>
          <w:rtl/>
        </w:rPr>
      </w:pPr>
      <w:r w:rsidRPr="0032051F">
        <w:rPr>
          <w:rFonts w:hint="cs"/>
          <w:rtl/>
        </w:rPr>
        <w:t>האם חייב לברך ברכה אחרונה על כל מה שאכל ושתה לפני שמתחיל סעודתו</w:t>
      </w:r>
    </w:p>
    <w:p w14:paraId="7EB3F80F" w14:textId="77777777" w:rsidR="000672B7" w:rsidRDefault="000672B7" w:rsidP="00E60D97">
      <w:pPr>
        <w:pStyle w:val="a3"/>
        <w:rPr>
          <w:rtl/>
        </w:rPr>
      </w:pPr>
      <w:r>
        <w:rPr>
          <w:rFonts w:hint="cs"/>
          <w:rtl/>
        </w:rPr>
        <w:t>ג. אבל אדה"ז (</w:t>
      </w:r>
      <w:r w:rsidRPr="00387ED2">
        <w:rPr>
          <w:rFonts w:hint="cs"/>
          <w:rtl/>
        </w:rPr>
        <w:t xml:space="preserve">בקו"א ס"ק ה-ו) הוכיח שיש ב' שיטות בתוס' גופא, (א) שרק הבדלה אינו פוטר יין שבסעודה </w:t>
      </w:r>
      <w:r>
        <w:rPr>
          <w:rFonts w:hint="cs"/>
          <w:rtl/>
        </w:rPr>
        <w:t xml:space="preserve">(וזהו אפי' אחר שנטל ידיו, </w:t>
      </w:r>
      <w:r w:rsidRPr="00387ED2">
        <w:rPr>
          <w:rFonts w:hint="cs"/>
          <w:rtl/>
        </w:rPr>
        <w:t>ו</w:t>
      </w:r>
      <w:r>
        <w:rPr>
          <w:rFonts w:hint="cs"/>
          <w:rtl/>
        </w:rPr>
        <w:t>לכ' הסברה הוא כנ"ל דהוה</w:t>
      </w:r>
      <w:r w:rsidRPr="00387ED2">
        <w:rPr>
          <w:rFonts w:hint="cs"/>
          <w:rtl/>
        </w:rPr>
        <w:t xml:space="preserve"> שתיה גרועה), (ב) שאין שום חילוק בין הבדלה לסתם יין (</w:t>
      </w:r>
      <w:r>
        <w:rPr>
          <w:rFonts w:hint="cs"/>
          <w:rtl/>
        </w:rPr>
        <w:t xml:space="preserve">וכלשון התוס' </w:t>
      </w:r>
      <w:r w:rsidRPr="00387ED2">
        <w:rPr>
          <w:rFonts w:hint="cs"/>
          <w:rtl/>
        </w:rPr>
        <w:t>"דלא גרע יין דהבדלה מיין שלפני סעודה</w:t>
      </w:r>
      <w:r>
        <w:rPr>
          <w:rFonts w:hint="cs"/>
          <w:rtl/>
        </w:rPr>
        <w:t xml:space="preserve">" היינו דשניהם שווה) ובשניהם חייב לברך ב"א </w:t>
      </w:r>
      <w:r>
        <w:rPr>
          <w:rFonts w:hint="cs"/>
          <w:rtl/>
        </w:rPr>
        <w:lastRenderedPageBreak/>
        <w:t xml:space="preserve">על היין לפני שמתחיל סעודתו </w:t>
      </w:r>
      <w:r w:rsidRPr="00C8556F">
        <w:rPr>
          <w:rFonts w:hint="cs"/>
          <w:bCs/>
          <w:rtl/>
        </w:rPr>
        <w:t xml:space="preserve">ובדרך ממילא </w:t>
      </w:r>
      <w:r>
        <w:rPr>
          <w:rFonts w:hint="cs"/>
          <w:rtl/>
        </w:rPr>
        <w:t>יתחייב לברך בורא פרי הגפן על היין שבסעודה, אבל אם בירך על היין אחר שנטל ידיו לסעודה אפי' קודם המוציא א"צ לברך ב"א על היין וממילא פוטר היין שבסעודה, והשו"ע חש לשיטה הב' שבתוס' רק לענין הבדלה, כי ס"ל כמ"ד שיין לפני סעדה כיון שגוררין תאוות המאכל שייך לסעודה וא"צ ב"א כי נפטר בברכת המזון, וממילא פוטר היין שבסעודה, ורק בהבדלה שאינו בא לגרור האכילה חשש לדעת התוס'.</w:t>
      </w:r>
    </w:p>
    <w:p w14:paraId="59405763" w14:textId="77777777" w:rsidR="000672B7" w:rsidRDefault="000672B7" w:rsidP="00E60D97">
      <w:pPr>
        <w:pStyle w:val="a3"/>
        <w:rPr>
          <w:rtl/>
        </w:rPr>
      </w:pPr>
      <w:r>
        <w:rPr>
          <w:rFonts w:hint="cs"/>
          <w:rtl/>
        </w:rPr>
        <w:t xml:space="preserve">ולמה לפי התוס' חייב לברך ברכה אחרונה על היין שלפני הסעודה? ותירץ אדה"ז "אבל קודם נטילה </w:t>
      </w:r>
      <w:r>
        <w:rPr>
          <w:rtl/>
        </w:rPr>
        <w:t>צריך לברך מיד</w:t>
      </w:r>
      <w:r>
        <w:rPr>
          <w:rFonts w:hint="cs"/>
          <w:rtl/>
        </w:rPr>
        <w:t>...</w:t>
      </w:r>
      <w:r w:rsidRPr="00A1130E">
        <w:rPr>
          <w:rtl/>
        </w:rPr>
        <w:t>שאין</w:t>
      </w:r>
      <w:r>
        <w:rPr>
          <w:rFonts w:hint="cs"/>
          <w:rtl/>
        </w:rPr>
        <w:t xml:space="preserve"> </w:t>
      </w:r>
      <w:r w:rsidRPr="00A1130E">
        <w:rPr>
          <w:rtl/>
        </w:rPr>
        <w:t>לקבוע סעודה קודם ברכה אחרונה שמחוייב כבר</w:t>
      </w:r>
      <w:r>
        <w:rPr>
          <w:rFonts w:hint="cs"/>
          <w:rtl/>
        </w:rPr>
        <w:t>", משא"כ אחר נט"י שנחשב כאילו הוא כבר תוך הסעודה, וביאור דבריו, לפני התחלת סעודה צריך לברך ברכה אחרונה על כל מה שכבר אכל ושתה, אלא שנחלקו הראשונים בדין זה, להתוס' כך גזרו חכמים בלי יוצא מהכלל, ואולי גזרו הכי כדי שלא ישכח לברך ברכה אחרונה, עכ"פ עכשיו שגזרו הכי אסור לאדם להתחיל סעודתו לפני שמברך ב"א על כל מה שאכל ושתה לפני הסעודה.</w:t>
      </w:r>
    </w:p>
    <w:p w14:paraId="146563D5" w14:textId="77777777" w:rsidR="000672B7" w:rsidRDefault="000672B7" w:rsidP="00E60D97">
      <w:pPr>
        <w:pStyle w:val="a3"/>
        <w:rPr>
          <w:rtl/>
        </w:rPr>
      </w:pPr>
      <w:r>
        <w:rPr>
          <w:rFonts w:hint="cs"/>
          <w:rtl/>
        </w:rPr>
        <w:t xml:space="preserve">אבל להרא"ש רק אם ברכתו שלפני הסעודה לא יועיל כלום למה שיאכל או ישתה בסעודה צריך לברך עליהם ב"א לפני שמתחיל הסעודה, לדוג' כשסיים לשתות כוס מים או שאר משקין שלא בסעודה אינו חייב לברך ברכה אחרונה דאולי ירצה לשתות עוד ואין כדאי לגרום ברכה שאינה צריכה, אבל בסעודה כיון דפסקינן כמ"ד שאין לברך על משקין בסעודה הרי לא יועיל ברכתו שלפני סעודה למה שישתה בסעודה, ומעתה חייב להזדרז ולברך ברכה אחרונה על מה ששתה לפני שיתחיל סעודתו, (ולפי"ז למ"ד שחייב לברך על משקין בסעודה אדרבא מוטב שלא יברך ב"א על המשקין שלפני סעודה כדי שיפטרו המשקין בסעודה). </w:t>
      </w:r>
    </w:p>
    <w:p w14:paraId="10B3A751" w14:textId="77777777" w:rsidR="000672B7" w:rsidRPr="00A1130E" w:rsidRDefault="000672B7" w:rsidP="00E60D97">
      <w:pPr>
        <w:pStyle w:val="a3"/>
      </w:pPr>
      <w:r>
        <w:rPr>
          <w:rFonts w:hint="cs"/>
          <w:rtl/>
        </w:rPr>
        <w:t>[יעויין בתבואות שור (סי' יט ס"ק יז) "</w:t>
      </w:r>
      <w:r w:rsidRPr="007C4497">
        <w:rPr>
          <w:rtl/>
        </w:rPr>
        <w:t>כתב השלח</w:t>
      </w:r>
      <w:r>
        <w:rPr>
          <w:rFonts w:hint="cs"/>
          <w:rtl/>
        </w:rPr>
        <w:t xml:space="preserve">ן ערוך או"ח (סי' </w:t>
      </w:r>
      <w:r w:rsidRPr="007C4497">
        <w:rPr>
          <w:rtl/>
        </w:rPr>
        <w:t>קע"</w:t>
      </w:r>
      <w:r>
        <w:rPr>
          <w:rFonts w:hint="cs"/>
          <w:rtl/>
        </w:rPr>
        <w:t xml:space="preserve">ד ס"ד) </w:t>
      </w:r>
      <w:r>
        <w:rPr>
          <w:rtl/>
        </w:rPr>
        <w:t>ליכוין בכוס הב</w:t>
      </w:r>
      <w:r>
        <w:rPr>
          <w:rFonts w:hint="cs"/>
          <w:rtl/>
        </w:rPr>
        <w:t>ד</w:t>
      </w:r>
      <w:r w:rsidRPr="007C4497">
        <w:rPr>
          <w:rtl/>
        </w:rPr>
        <w:t>לה שלא לפטור יין</w:t>
      </w:r>
      <w:r>
        <w:rPr>
          <w:rFonts w:hint="cs"/>
          <w:rtl/>
        </w:rPr>
        <w:t xml:space="preserve"> </w:t>
      </w:r>
      <w:r w:rsidRPr="007C4497">
        <w:rPr>
          <w:rtl/>
        </w:rPr>
        <w:t>שבתוך המזון</w:t>
      </w:r>
      <w:r>
        <w:rPr>
          <w:rFonts w:hint="cs"/>
          <w:rtl/>
        </w:rPr>
        <w:t>...</w:t>
      </w:r>
      <w:r w:rsidRPr="007C4497">
        <w:rPr>
          <w:rtl/>
        </w:rPr>
        <w:t>שזה בא למצוה וזה בא לשתות</w:t>
      </w:r>
      <w:r>
        <w:rPr>
          <w:rFonts w:hint="cs"/>
          <w:rtl/>
        </w:rPr>
        <w:t>", משמע שס"ל דסברת התוס' הוא שהבדלה הוא שתיה גרועה ואינו בדין שיפטור שתיה גרועה את שתיה החשובה, ודלא כסברת אדה"ז בדעת התוס'.</w:t>
      </w:r>
    </w:p>
    <w:p w14:paraId="57268619" w14:textId="77777777" w:rsidR="000672B7" w:rsidRDefault="000672B7" w:rsidP="00E60D97">
      <w:pPr>
        <w:pStyle w:val="a3"/>
        <w:rPr>
          <w:rtl/>
        </w:rPr>
      </w:pPr>
      <w:r>
        <w:rPr>
          <w:rFonts w:hint="cs"/>
          <w:rtl/>
        </w:rPr>
        <w:t>והנה במ"א (סי' קעד ס"ק ה) כתב דבליל הסדר כוס הב' פוטר היין שבסעודה, וכתב הנוב"י</w:t>
      </w:r>
      <w:r w:rsidRPr="004C0930">
        <w:rPr>
          <w:rtl/>
        </w:rPr>
        <w:t xml:space="preserve"> </w:t>
      </w:r>
      <w:r>
        <w:rPr>
          <w:rFonts w:hint="cs"/>
          <w:rtl/>
        </w:rPr>
        <w:t>(בדגול מרבבה בסי' קעד) "</w:t>
      </w:r>
      <w:r>
        <w:rPr>
          <w:rtl/>
        </w:rPr>
        <w:t>ו</w:t>
      </w:r>
      <w:r>
        <w:rPr>
          <w:rFonts w:hint="cs"/>
          <w:rtl/>
        </w:rPr>
        <w:t>כ</w:t>
      </w:r>
      <w:r>
        <w:rPr>
          <w:rtl/>
        </w:rPr>
        <w:t>ן משמע בטו</w:t>
      </w:r>
      <w:r>
        <w:rPr>
          <w:rFonts w:hint="cs"/>
          <w:rtl/>
        </w:rPr>
        <w:t>ר,</w:t>
      </w:r>
      <w:r>
        <w:rPr>
          <w:rtl/>
        </w:rPr>
        <w:t xml:space="preserve"> ואמנ</w:t>
      </w:r>
      <w:r>
        <w:rPr>
          <w:rFonts w:hint="cs"/>
          <w:rtl/>
        </w:rPr>
        <w:t>ם</w:t>
      </w:r>
      <w:r>
        <w:rPr>
          <w:rtl/>
        </w:rPr>
        <w:t xml:space="preserve"> אני תמה דה</w:t>
      </w:r>
      <w:r>
        <w:rPr>
          <w:rFonts w:hint="cs"/>
          <w:rtl/>
        </w:rPr>
        <w:t>ר</w:t>
      </w:r>
      <w:r>
        <w:rPr>
          <w:rtl/>
        </w:rPr>
        <w:t xml:space="preserve">י </w:t>
      </w:r>
      <w:r>
        <w:rPr>
          <w:rFonts w:hint="cs"/>
          <w:rtl/>
        </w:rPr>
        <w:t>כ</w:t>
      </w:r>
      <w:r>
        <w:rPr>
          <w:rtl/>
        </w:rPr>
        <w:t>וס שני של א</w:t>
      </w:r>
      <w:r>
        <w:rPr>
          <w:rFonts w:hint="cs"/>
          <w:rtl/>
        </w:rPr>
        <w:t>ר</w:t>
      </w:r>
      <w:r>
        <w:rPr>
          <w:rtl/>
        </w:rPr>
        <w:t xml:space="preserve">בע </w:t>
      </w:r>
      <w:r>
        <w:rPr>
          <w:rFonts w:hint="cs"/>
          <w:rtl/>
        </w:rPr>
        <w:t>כ</w:t>
      </w:r>
      <w:r w:rsidRPr="004C0930">
        <w:rPr>
          <w:rtl/>
        </w:rPr>
        <w:t>וסות בא לצורך מצוה ואינו לצמאו</w:t>
      </w:r>
      <w:r>
        <w:rPr>
          <w:rFonts w:hint="cs"/>
          <w:rtl/>
        </w:rPr>
        <w:t xml:space="preserve"> </w:t>
      </w:r>
      <w:r>
        <w:rPr>
          <w:rtl/>
        </w:rPr>
        <w:t>וא"</w:t>
      </w:r>
      <w:r>
        <w:rPr>
          <w:rFonts w:hint="cs"/>
          <w:rtl/>
        </w:rPr>
        <w:t>כ</w:t>
      </w:r>
      <w:r>
        <w:rPr>
          <w:rtl/>
        </w:rPr>
        <w:t xml:space="preserve"> למה יגרע </w:t>
      </w:r>
      <w:r>
        <w:rPr>
          <w:rFonts w:hint="cs"/>
          <w:rtl/>
        </w:rPr>
        <w:t>כ</w:t>
      </w:r>
      <w:r>
        <w:rPr>
          <w:rtl/>
        </w:rPr>
        <w:t>וס של הבדלה מ</w:t>
      </w:r>
      <w:r>
        <w:rPr>
          <w:rFonts w:hint="cs"/>
          <w:rtl/>
        </w:rPr>
        <w:t>כ</w:t>
      </w:r>
      <w:r w:rsidRPr="004C0930">
        <w:rPr>
          <w:rtl/>
        </w:rPr>
        <w:t>וס זה</w:t>
      </w:r>
      <w:r>
        <w:rPr>
          <w:rFonts w:hint="cs"/>
          <w:rtl/>
        </w:rPr>
        <w:t>"</w:t>
      </w:r>
      <w:r>
        <w:rPr>
          <w:rStyle w:val="FootnoteReference"/>
          <w:rFonts w:asciiTheme="minorBidi" w:hAnsiTheme="minorBidi" w:cs="Arial"/>
          <w:rtl/>
        </w:rPr>
        <w:footnoteReference w:id="84"/>
      </w:r>
      <w:r>
        <w:rPr>
          <w:rFonts w:hint="cs"/>
          <w:rtl/>
        </w:rPr>
        <w:t>.</w:t>
      </w:r>
    </w:p>
    <w:p w14:paraId="7BF34558" w14:textId="77777777" w:rsidR="000672B7" w:rsidRPr="004C0930" w:rsidRDefault="000672B7" w:rsidP="00E60D97">
      <w:pPr>
        <w:pStyle w:val="a3"/>
        <w:rPr>
          <w:rtl/>
        </w:rPr>
      </w:pPr>
      <w:r>
        <w:rPr>
          <w:rFonts w:hint="cs"/>
          <w:rtl/>
        </w:rPr>
        <w:lastRenderedPageBreak/>
        <w:t xml:space="preserve">משמע שלפי הנוב"י סברת התוס' הוא שהבדלה הוא שתיה גרועה - כי בא לצורך מצוה ולא להנאתו </w:t>
      </w:r>
      <w:r>
        <w:rPr>
          <w:rtl/>
        </w:rPr>
        <w:t>–</w:t>
      </w:r>
      <w:r>
        <w:rPr>
          <w:rFonts w:hint="cs"/>
          <w:rtl/>
        </w:rPr>
        <w:t xml:space="preserve"> ולכן אינו פוטר יין שבסעודה, אכן לפי אדה"ז קושיית הנוב"י מעיקרא ליתא, שהרי סברת התוס' הוא שחייב לברך ב"א לפני הסעודה (וממילא לא יפטור ההבדלה יין שבסעודה), אבל בליל הסדר אינו מברך ב"א לפני הסעודה שהרי חייב לשתות ד' כוסות ובסוף הד' כוסות יברך ב"א על כל הכוסות, (ואם יברך ב"א עכשיו על כוס הב' הו"ל ברכה שאינה צריכה), וכ"כ בשוע"ר (סי' תעד ס"ג)].</w:t>
      </w:r>
    </w:p>
    <w:p w14:paraId="3EB8401F" w14:textId="77777777" w:rsidR="000672B7" w:rsidRPr="00354456" w:rsidRDefault="000672B7" w:rsidP="00E60D97">
      <w:pPr>
        <w:pStyle w:val="11"/>
        <w:rPr>
          <w:rtl/>
        </w:rPr>
      </w:pPr>
      <w:r w:rsidRPr="00354456">
        <w:rPr>
          <w:rFonts w:hint="cs"/>
          <w:rtl/>
        </w:rPr>
        <w:t>לפי התוס' למה א"א לפטור יין בסעודה מ</w:t>
      </w:r>
      <w:r>
        <w:rPr>
          <w:rFonts w:hint="cs"/>
          <w:rtl/>
        </w:rPr>
        <w:t xml:space="preserve">יין </w:t>
      </w:r>
      <w:r w:rsidRPr="00354456">
        <w:rPr>
          <w:rFonts w:hint="cs"/>
          <w:rtl/>
        </w:rPr>
        <w:t>הבדלה</w:t>
      </w:r>
    </w:p>
    <w:p w14:paraId="3D80C88B" w14:textId="77777777" w:rsidR="000672B7" w:rsidRDefault="000672B7" w:rsidP="00E60D97">
      <w:pPr>
        <w:pStyle w:val="a3"/>
        <w:rPr>
          <w:rtl/>
        </w:rPr>
      </w:pPr>
      <w:r>
        <w:rPr>
          <w:rFonts w:hint="cs"/>
          <w:rtl/>
        </w:rPr>
        <w:t>ד. וממשיך (בקו"א ס"ק ו') דלפי שיטתו אם שתה בהבדלה יין פחות מכשיעור, כיון שאינו מברך ברכה אחרונה גם להתוס' יפטור הבדלה יין שבסעודה, שהרי לא נתחייב בברכה אחרונה על היין לפני הסעודה, וכתב "ומיהו אף בפחות מכשיעור אין להקל נגד משמעות האחרונים שלא הזכירו ברכה אחרונה....ממה שכתב הט"ז (סי' רצט ס"ק ו) מבואר להדיא ד...אינה משום ברכה אחרונה".</w:t>
      </w:r>
    </w:p>
    <w:p w14:paraId="109A49D3" w14:textId="77777777" w:rsidR="000672B7" w:rsidRDefault="000672B7" w:rsidP="00E60D97">
      <w:pPr>
        <w:pStyle w:val="a3"/>
        <w:rPr>
          <w:rtl/>
        </w:rPr>
      </w:pPr>
      <w:r>
        <w:rPr>
          <w:rFonts w:hint="cs"/>
          <w:rtl/>
        </w:rPr>
        <w:t>כוונתו, לפי הט"ז והאחרונים בהתוס' הבדלה אין בכוחו לפטור יין שבסעודה (ולעיל כבר הראית לדעת שכו"כ אחרונים למדו הכי, עכ"פ צ"ע איך יפרנסו לשון התוס' שמוכיח כאדה"ז, ואולי ישנו קצת הגירסא בתוס', וצ"ע) ולכן גם אם שתה פחות מכשיעור אין בכוח ההבדלה לפטור יין שבסעודה, ולדינא ס"ל שאין להקל נגד דעת הט"ז והאחרונים.</w:t>
      </w:r>
    </w:p>
    <w:p w14:paraId="0A0EE884" w14:textId="77777777" w:rsidR="000672B7" w:rsidRDefault="000672B7" w:rsidP="00E60D97">
      <w:pPr>
        <w:pStyle w:val="a3"/>
        <w:rPr>
          <w:rtl/>
        </w:rPr>
      </w:pPr>
      <w:r>
        <w:rPr>
          <w:rFonts w:hint="cs"/>
          <w:rtl/>
        </w:rPr>
        <w:t>ונמצא שאדה"ז חולק על הט"ז והאחרונים בסברת התוס', ונפק"מ טובא:</w:t>
      </w:r>
    </w:p>
    <w:p w14:paraId="78FAC0A7" w14:textId="77777777" w:rsidR="000672B7" w:rsidRDefault="000672B7" w:rsidP="00E60D97">
      <w:pPr>
        <w:pStyle w:val="a3"/>
        <w:rPr>
          <w:rtl/>
        </w:rPr>
      </w:pPr>
      <w:r>
        <w:rPr>
          <w:rFonts w:hint="cs"/>
          <w:rtl/>
        </w:rPr>
        <w:t xml:space="preserve">(א) לשתה פחות מכשיעור יין (כנ"ל). </w:t>
      </w:r>
    </w:p>
    <w:p w14:paraId="46BDC96B" w14:textId="77777777" w:rsidR="000672B7" w:rsidRDefault="000672B7" w:rsidP="00E60D97">
      <w:pPr>
        <w:pStyle w:val="a3"/>
        <w:rPr>
          <w:rtl/>
        </w:rPr>
      </w:pPr>
      <w:r>
        <w:rPr>
          <w:rFonts w:hint="cs"/>
          <w:rtl/>
        </w:rPr>
        <w:t>(ב) דיעבד שלא בירך ב"א לפני הסעודה, לאדה"ז לפי התוס' הגם שעבר על מצות חכמים, אבל מעתה כבר נפטר היין שבסעודה מהבדלה (וממילא אין לברך ב"א על הבדלה כי נפטר בברכת המזון, ואדרבה אם עכשיו יברך ב"א על יין הבדלה הו"ל ברכה שאינה צריכה, אכן באינו שותה יין בסעודה עדיין צריך לברך ב"א על ההבדלה), אבל להט"ז הבדלה לא פטר היין שבסעודה (וממילא חייב לברך ב"א על יין ההבדלה), מ"מ לדינא אין נפק"מ שהרי דיעבד פסקינן כהרא"ש שהבדלה פוטר יין שבסעודה.</w:t>
      </w:r>
    </w:p>
    <w:p w14:paraId="79E4E65C" w14:textId="77777777" w:rsidR="000672B7" w:rsidRDefault="000672B7" w:rsidP="00E60D97">
      <w:pPr>
        <w:pStyle w:val="a3"/>
        <w:rPr>
          <w:rtl/>
        </w:rPr>
      </w:pPr>
      <w:r>
        <w:rPr>
          <w:rFonts w:hint="cs"/>
          <w:rtl/>
        </w:rPr>
        <w:t xml:space="preserve">(ג) יין של חול, לאדה"ז לפי תוס' צריך לברך עליהם ב"א לפני הסעודה, ולהט"ז לפי התוס' יין של חול א"צ ברכה אחרונה לפני סעודה, מ"מ לדינא אין נפק"מ שהרי שהשו"ע לא חשש לשיטת התוס' ליין שבחול אלא כיון שהיין שבחול גורר הלב </w:t>
      </w:r>
      <w:r>
        <w:rPr>
          <w:rFonts w:hint="cs"/>
          <w:rtl/>
        </w:rPr>
        <w:lastRenderedPageBreak/>
        <w:t>לאכילה שייך להסעודה (קו"א ס"ק ו).</w:t>
      </w:r>
    </w:p>
    <w:p w14:paraId="5D66451E" w14:textId="77777777" w:rsidR="000672B7" w:rsidRDefault="000672B7" w:rsidP="00E60D97">
      <w:pPr>
        <w:pStyle w:val="a3"/>
        <w:rPr>
          <w:rtl/>
        </w:rPr>
      </w:pPr>
      <w:r>
        <w:rPr>
          <w:rFonts w:hint="cs"/>
          <w:rtl/>
        </w:rPr>
        <w:t xml:space="preserve">(ד) אם רוצה לשתות אחר הבדלה קודם סעודה, לאדה"ז אינו מברך על יין זה כי נפטר ביין הבדלה, ולט"ז יש סברה לומר דאם הבדלה אינו פוטר יין שבסעודה שבא לשרות האכילה שבמעיו כ"ש שאינו פוטר יין שלפני סעודה שבא לשתות. </w:t>
      </w:r>
    </w:p>
    <w:p w14:paraId="377666BE" w14:textId="77777777" w:rsidR="000672B7" w:rsidRDefault="000672B7" w:rsidP="00E60D97">
      <w:pPr>
        <w:pStyle w:val="a3"/>
        <w:rPr>
          <w:rtl/>
        </w:rPr>
      </w:pPr>
      <w:r>
        <w:rPr>
          <w:rFonts w:hint="cs"/>
          <w:rtl/>
        </w:rPr>
        <w:t>(ה) לענין פירות שלפני סעודה, שהרי במשנה תנן "בירך על היין שלפני המזון פטר את היין שלאחר המזון, בירך על הפרפרת שלפני המזון פטר את הפרפרת שלאחר המזון", לפי סברת אדה"ז בתוס' צריך לברך עליהם ב"א לפני הסעודה (אא"כ כבר נטל ידיו או שקבע עצמו לסעודה)</w:t>
      </w:r>
      <w:r>
        <w:rPr>
          <w:rStyle w:val="FootnoteReference"/>
          <w:rFonts w:asciiTheme="minorBidi" w:hAnsiTheme="minorBidi" w:cs="Arial"/>
          <w:rtl/>
        </w:rPr>
        <w:footnoteReference w:id="85"/>
      </w:r>
      <w:r>
        <w:rPr>
          <w:rFonts w:hint="cs"/>
          <w:rtl/>
        </w:rPr>
        <w:t>,</w:t>
      </w:r>
      <w:r w:rsidRPr="00AE1F6E">
        <w:rPr>
          <w:rFonts w:hint="cs"/>
          <w:rtl/>
        </w:rPr>
        <w:t xml:space="preserve"> </w:t>
      </w:r>
      <w:r>
        <w:rPr>
          <w:rFonts w:hint="cs"/>
          <w:rtl/>
        </w:rPr>
        <w:t xml:space="preserve">דכמו ביין ס"ל לתוס' שאינו פוטר יין בסעודה משום שחייב לברך עליהם ב"א לפני ברכת המוציא ה"נ בפרפרת חייב לברך עליהם ב"א לפני ברכת המוציא, אבל לפי סברת הט"ז בתוס' פרפרת שלפני סעודה פוטר פרפרת שתוך הסעודה כיון שאינו אכילה גרועה, ולדינא כתב אדה"ז (קו"א ס"ק ו) שלפי השו"ע דבר הגורר לסעודה שייך לסעודה, ומשמע שפירות שאינם לגרור לסעודה יש לחשוש לדעת התוס' ולכיון שמברך בורא פרי העץ רק על הפירות שלפני סעודה, (אבל בסדר ברה"נ (פ"ד הי"ג) משמע שאין לחשוש לתוס' (כדלקמן)). </w:t>
      </w:r>
    </w:p>
    <w:p w14:paraId="54504E81" w14:textId="77777777" w:rsidR="000672B7" w:rsidRDefault="000672B7" w:rsidP="00E60D97">
      <w:pPr>
        <w:pStyle w:val="a3"/>
        <w:rPr>
          <w:rtl/>
        </w:rPr>
      </w:pPr>
      <w:r>
        <w:rPr>
          <w:rFonts w:hint="cs"/>
          <w:rtl/>
        </w:rPr>
        <w:t>והנה לפי דעת הט"ז והאחרונים בתוס' יש לחשוש לדעת התוס' דאל"כ נמצא ששתה יין בתוך סעודה מבלי לברך עליו ונהנה מעוה"ז בלא ברכה, ולכן בשוע"ר שהלך בעקבות הט"ז והאחרונים פסק כמחבר לחשוש לדעת התוס'</w:t>
      </w:r>
      <w:r>
        <w:rPr>
          <w:rStyle w:val="FootnoteReference"/>
          <w:rFonts w:asciiTheme="minorBidi" w:hAnsiTheme="minorBidi"/>
          <w:rtl/>
        </w:rPr>
        <w:footnoteReference w:id="86"/>
      </w:r>
      <w:r>
        <w:rPr>
          <w:rFonts w:hint="cs"/>
          <w:rtl/>
        </w:rPr>
        <w:t>, אבל בסדר ברה"נ הלך לפי דעת עצמו דגם לתוס' נפטר יין שבסעודה מיין הבדלה, אלא שלכתחילה צריך לברך ב"א לפני שמתחיל הסעודה (ומ"מ לא הוה כנהנה בלא ברכה), וכיון שיתר כל הראשונים חלקו על התוס' החליט בסדר ברה"נ שאין לחשוש לשיטת התוס'.</w:t>
      </w:r>
      <w:r w:rsidRPr="003264C1">
        <w:rPr>
          <w:rtl/>
        </w:rPr>
        <w:t xml:space="preserve"> </w:t>
      </w:r>
    </w:p>
    <w:p w14:paraId="27E08FA5" w14:textId="77777777" w:rsidR="000672B7" w:rsidRPr="0032051F" w:rsidRDefault="000672B7" w:rsidP="00E60D97">
      <w:pPr>
        <w:pStyle w:val="11"/>
        <w:rPr>
          <w:rtl/>
        </w:rPr>
      </w:pPr>
      <w:r w:rsidRPr="0032051F">
        <w:rPr>
          <w:rFonts w:hint="cs"/>
          <w:rtl/>
        </w:rPr>
        <w:t>האם ברכת התפוח בדבש או הפרי חדש פוטר הליפתן של פירות (קאמפאט)</w:t>
      </w:r>
    </w:p>
    <w:p w14:paraId="6CF36C2E" w14:textId="77777777" w:rsidR="000672B7" w:rsidRDefault="000672B7" w:rsidP="00E60D97">
      <w:pPr>
        <w:pStyle w:val="a3"/>
        <w:rPr>
          <w:rtl/>
        </w:rPr>
      </w:pPr>
      <w:r>
        <w:rPr>
          <w:rFonts w:hint="cs"/>
          <w:rtl/>
        </w:rPr>
        <w:t>ה. כתב בספר המנהגים (ע' 56) "</w:t>
      </w:r>
      <w:r>
        <w:rPr>
          <w:rtl/>
        </w:rPr>
        <w:t>בדבר ברכת בורא פרי הע</w:t>
      </w:r>
      <w:r>
        <w:rPr>
          <w:rFonts w:hint="cs"/>
          <w:rtl/>
        </w:rPr>
        <w:t>ץ</w:t>
      </w:r>
      <w:r w:rsidRPr="003264C1">
        <w:rPr>
          <w:rtl/>
        </w:rPr>
        <w:t xml:space="preserve"> שמברכים בליל ראש </w:t>
      </w:r>
      <w:r w:rsidRPr="003264C1">
        <w:rPr>
          <w:rtl/>
        </w:rPr>
        <w:lastRenderedPageBreak/>
        <w:t>השנה על התפוח</w:t>
      </w:r>
      <w:r>
        <w:rPr>
          <w:rFonts w:hint="cs"/>
          <w:rtl/>
        </w:rPr>
        <w:t xml:space="preserve"> </w:t>
      </w:r>
      <w:r w:rsidRPr="003264C1">
        <w:rPr>
          <w:rtl/>
        </w:rPr>
        <w:t xml:space="preserve">מתוק בדבש </w:t>
      </w:r>
      <w:r>
        <w:rPr>
          <w:rFonts w:hint="cs"/>
          <w:rtl/>
        </w:rPr>
        <w:t>- י</w:t>
      </w:r>
      <w:r>
        <w:rPr>
          <w:rtl/>
        </w:rPr>
        <w:t>שנ</w:t>
      </w:r>
      <w:r>
        <w:rPr>
          <w:rFonts w:hint="cs"/>
          <w:rtl/>
        </w:rPr>
        <w:t>ה</w:t>
      </w:r>
      <w:r>
        <w:rPr>
          <w:rtl/>
        </w:rPr>
        <w:t xml:space="preserve"> פל</w:t>
      </w:r>
      <w:r>
        <w:rPr>
          <w:rFonts w:hint="cs"/>
          <w:rtl/>
        </w:rPr>
        <w:t>וגת</w:t>
      </w:r>
      <w:r w:rsidRPr="003264C1">
        <w:rPr>
          <w:rtl/>
        </w:rPr>
        <w:t>א אם פוטרת את ברכת בורא פרי הע</w:t>
      </w:r>
      <w:r>
        <w:rPr>
          <w:rFonts w:hint="cs"/>
          <w:rtl/>
        </w:rPr>
        <w:t xml:space="preserve">ץ </w:t>
      </w:r>
      <w:r>
        <w:rPr>
          <w:rtl/>
        </w:rPr>
        <w:t xml:space="preserve">של קינוח </w:t>
      </w:r>
      <w:r>
        <w:rPr>
          <w:rFonts w:hint="cs"/>
          <w:rtl/>
        </w:rPr>
        <w:t>ס</w:t>
      </w:r>
      <w:r w:rsidRPr="003264C1">
        <w:rPr>
          <w:rtl/>
        </w:rPr>
        <w:t xml:space="preserve">עודה </w:t>
      </w:r>
      <w:r>
        <w:rPr>
          <w:rFonts w:hint="cs"/>
          <w:rtl/>
        </w:rPr>
        <w:t xml:space="preserve">- </w:t>
      </w:r>
      <w:r>
        <w:rPr>
          <w:rtl/>
        </w:rPr>
        <w:t xml:space="preserve">ולזה </w:t>
      </w:r>
      <w:r>
        <w:rPr>
          <w:rFonts w:hint="cs"/>
          <w:rtl/>
        </w:rPr>
        <w:t>נה</w:t>
      </w:r>
      <w:r>
        <w:rPr>
          <w:rtl/>
        </w:rPr>
        <w:t xml:space="preserve">ג כ"ק אדמו"ר מוהריי"צ </w:t>
      </w:r>
      <w:r>
        <w:rPr>
          <w:rFonts w:hint="cs"/>
          <w:rtl/>
        </w:rPr>
        <w:t>נ"</w:t>
      </w:r>
      <w:r w:rsidRPr="003264C1">
        <w:rPr>
          <w:rtl/>
        </w:rPr>
        <w:t xml:space="preserve">ע </w:t>
      </w:r>
      <w:r>
        <w:rPr>
          <w:rFonts w:hint="cs"/>
          <w:rtl/>
        </w:rPr>
        <w:t>ל</w:t>
      </w:r>
      <w:r w:rsidRPr="003264C1">
        <w:rPr>
          <w:rtl/>
        </w:rPr>
        <w:t>כ</w:t>
      </w:r>
      <w:r>
        <w:rPr>
          <w:rFonts w:hint="cs"/>
          <w:rtl/>
        </w:rPr>
        <w:t>וו</w:t>
      </w:r>
      <w:r w:rsidRPr="003264C1">
        <w:rPr>
          <w:rtl/>
        </w:rPr>
        <w:t>ן ש</w:t>
      </w:r>
      <w:r>
        <w:rPr>
          <w:rFonts w:hint="cs"/>
          <w:rtl/>
        </w:rPr>
        <w:t xml:space="preserve">לא </w:t>
      </w:r>
      <w:r w:rsidRPr="003264C1">
        <w:rPr>
          <w:rtl/>
        </w:rPr>
        <w:t>לפטו</w:t>
      </w:r>
      <w:r>
        <w:rPr>
          <w:rtl/>
        </w:rPr>
        <w:t xml:space="preserve">ר בברכתו על התפוח גם את הקינוח </w:t>
      </w:r>
      <w:r>
        <w:rPr>
          <w:rFonts w:hint="cs"/>
          <w:rtl/>
        </w:rPr>
        <w:t>ס</w:t>
      </w:r>
      <w:r w:rsidRPr="003264C1">
        <w:rPr>
          <w:rtl/>
        </w:rPr>
        <w:t>עודה</w:t>
      </w:r>
      <w:r>
        <w:rPr>
          <w:rFonts w:hint="cs"/>
          <w:rtl/>
        </w:rPr>
        <w:t>,</w:t>
      </w:r>
      <w:r w:rsidRPr="003264C1">
        <w:rPr>
          <w:rtl/>
        </w:rPr>
        <w:t xml:space="preserve"> והיה מברך שנית</w:t>
      </w:r>
      <w:r>
        <w:rPr>
          <w:rFonts w:hint="cs"/>
          <w:rtl/>
        </w:rPr>
        <w:t>", (</w:t>
      </w:r>
      <w:r>
        <w:rPr>
          <w:rtl/>
        </w:rPr>
        <w:t xml:space="preserve">הוספת המלקט </w:t>
      </w:r>
      <w:r>
        <w:rPr>
          <w:rFonts w:hint="cs"/>
          <w:rtl/>
        </w:rPr>
        <w:t xml:space="preserve">- </w:t>
      </w:r>
      <w:r w:rsidRPr="003264C1">
        <w:rPr>
          <w:rtl/>
        </w:rPr>
        <w:t xml:space="preserve">על פי האמור בס' השיחות תש"ב עמ' </w:t>
      </w:r>
      <w:r>
        <w:rPr>
          <w:rFonts w:hint="cs"/>
          <w:rtl/>
        </w:rPr>
        <w:t>4).</w:t>
      </w:r>
    </w:p>
    <w:p w14:paraId="518A063D" w14:textId="77777777" w:rsidR="000672B7" w:rsidRPr="00B4459E" w:rsidRDefault="000672B7" w:rsidP="00E60D97">
      <w:pPr>
        <w:pStyle w:val="a3"/>
        <w:rPr>
          <w:rtl/>
        </w:rPr>
      </w:pPr>
      <w:r>
        <w:rPr>
          <w:rFonts w:hint="cs"/>
          <w:rtl/>
        </w:rPr>
        <w:t>וכתב בספר אוצר מנהגי חב"ד (תשרי ע' עט) "</w:t>
      </w:r>
      <w:r w:rsidRPr="003264C1">
        <w:rPr>
          <w:rtl/>
        </w:rPr>
        <w:t>ואף כי</w:t>
      </w:r>
      <w:r>
        <w:rPr>
          <w:rFonts w:hint="cs"/>
          <w:rtl/>
        </w:rPr>
        <w:t xml:space="preserve"> </w:t>
      </w:r>
      <w:r w:rsidRPr="003264C1">
        <w:rPr>
          <w:rtl/>
        </w:rPr>
        <w:t>המדובר שם הוא אודות התפוח בדבש</w:t>
      </w:r>
      <w:r>
        <w:rPr>
          <w:rFonts w:hint="cs"/>
          <w:rtl/>
        </w:rPr>
        <w:t>,</w:t>
      </w:r>
      <w:r w:rsidRPr="003264C1">
        <w:rPr>
          <w:rtl/>
        </w:rPr>
        <w:t xml:space="preserve"> אבל היה זה בסעודת הלילה השני דר"ה</w:t>
      </w:r>
      <w:r>
        <w:rPr>
          <w:rFonts w:hint="cs"/>
          <w:rtl/>
        </w:rPr>
        <w:t xml:space="preserve">, </w:t>
      </w:r>
      <w:r w:rsidRPr="003264C1">
        <w:rPr>
          <w:rtl/>
        </w:rPr>
        <w:t>והמעשה רב דאדמו"ר מוהריי"צ היה באכילת הפרי החדש</w:t>
      </w:r>
      <w:r>
        <w:rPr>
          <w:rFonts w:hint="cs"/>
          <w:rtl/>
        </w:rPr>
        <w:t>,</w:t>
      </w:r>
      <w:r w:rsidRPr="003264C1">
        <w:rPr>
          <w:rtl/>
        </w:rPr>
        <w:t xml:space="preserve"> ולא נתבאר </w:t>
      </w:r>
      <w:r>
        <w:rPr>
          <w:rFonts w:hint="cs"/>
          <w:rtl/>
        </w:rPr>
        <w:t xml:space="preserve">מהו </w:t>
      </w:r>
      <w:r w:rsidRPr="003264C1">
        <w:rPr>
          <w:rtl/>
        </w:rPr>
        <w:t>הספק ולאיזו פלוגתא הכוונה</w:t>
      </w:r>
      <w:r>
        <w:rPr>
          <w:rFonts w:hint="cs"/>
          <w:rtl/>
        </w:rPr>
        <w:t>,</w:t>
      </w:r>
      <w:r w:rsidRPr="003264C1">
        <w:rPr>
          <w:rtl/>
        </w:rPr>
        <w:t xml:space="preserve"> וצ"ע</w:t>
      </w:r>
      <w:r>
        <w:rPr>
          <w:rFonts w:hint="cs"/>
          <w:rtl/>
        </w:rPr>
        <w:t>".</w:t>
      </w:r>
    </w:p>
    <w:p w14:paraId="371E30CC" w14:textId="77777777" w:rsidR="000672B7" w:rsidRDefault="000672B7" w:rsidP="00E60D97">
      <w:pPr>
        <w:pStyle w:val="a3"/>
        <w:rPr>
          <w:rtl/>
        </w:rPr>
      </w:pPr>
      <w:r>
        <w:rPr>
          <w:rFonts w:hint="cs"/>
          <w:rtl/>
        </w:rPr>
        <w:t>"</w:t>
      </w:r>
      <w:r w:rsidRPr="00B4459E">
        <w:rPr>
          <w:rtl/>
        </w:rPr>
        <w:t xml:space="preserve">אולם ברוב המקורות שלפנינו ההנהגה </w:t>
      </w:r>
      <w:r>
        <w:rPr>
          <w:rtl/>
        </w:rPr>
        <w:t>בפוע</w:t>
      </w:r>
      <w:r>
        <w:rPr>
          <w:rFonts w:hint="cs"/>
          <w:rtl/>
        </w:rPr>
        <w:t xml:space="preserve">ל </w:t>
      </w:r>
      <w:r w:rsidRPr="00B4459E">
        <w:rPr>
          <w:rtl/>
        </w:rPr>
        <w:t>וההוראה רבים הם לכוין לפטור</w:t>
      </w:r>
      <w:r>
        <w:rPr>
          <w:rFonts w:hint="cs"/>
          <w:rtl/>
        </w:rPr>
        <w:t xml:space="preserve"> </w:t>
      </w:r>
      <w:r w:rsidRPr="00B4459E">
        <w:rPr>
          <w:rtl/>
        </w:rPr>
        <w:t>גם את הקאמפאט ליפתן כדלהלן</w:t>
      </w:r>
      <w:r>
        <w:rPr>
          <w:rFonts w:hint="cs"/>
          <w:rtl/>
        </w:rPr>
        <w:t xml:space="preserve">: </w:t>
      </w:r>
      <w:r w:rsidRPr="00B4459E">
        <w:rPr>
          <w:rtl/>
        </w:rPr>
        <w:t xml:space="preserve">ברשימות' כ"ק אדמו"ר אדמו"ר זי"ע </w:t>
      </w:r>
      <w:r>
        <w:rPr>
          <w:rFonts w:hint="cs"/>
          <w:rtl/>
        </w:rPr>
        <w:t>(</w:t>
      </w:r>
      <w:r w:rsidRPr="00B4459E">
        <w:rPr>
          <w:rtl/>
        </w:rPr>
        <w:t xml:space="preserve">ד עמ' </w:t>
      </w:r>
      <w:r>
        <w:rPr>
          <w:rFonts w:hint="cs"/>
          <w:rtl/>
        </w:rPr>
        <w:t xml:space="preserve">8) </w:t>
      </w:r>
      <w:r w:rsidRPr="00B4459E">
        <w:rPr>
          <w:rtl/>
        </w:rPr>
        <w:t>מהנהנות כ"ק אדמו"ר</w:t>
      </w:r>
      <w:r>
        <w:rPr>
          <w:rFonts w:hint="cs"/>
          <w:rtl/>
        </w:rPr>
        <w:t xml:space="preserve"> </w:t>
      </w:r>
      <w:r w:rsidRPr="00B4459E">
        <w:rPr>
          <w:rtl/>
        </w:rPr>
        <w:t>מוהריי"צ בשנת תרצ"א בב</w:t>
      </w:r>
      <w:r>
        <w:rPr>
          <w:rtl/>
        </w:rPr>
        <w:t>רכת בורא פרי העץ שעל התפוח מכוי</w:t>
      </w:r>
      <w:r>
        <w:rPr>
          <w:rFonts w:hint="cs"/>
          <w:rtl/>
        </w:rPr>
        <w:t xml:space="preserve">ן </w:t>
      </w:r>
      <w:r>
        <w:rPr>
          <w:rtl/>
        </w:rPr>
        <w:t>להוציא גם הקאמפ</w:t>
      </w:r>
      <w:r>
        <w:rPr>
          <w:rFonts w:hint="cs"/>
          <w:rtl/>
        </w:rPr>
        <w:t xml:space="preserve">אט, </w:t>
      </w:r>
      <w:r>
        <w:rPr>
          <w:rtl/>
        </w:rPr>
        <w:t>ב</w:t>
      </w:r>
      <w:r>
        <w:rPr>
          <w:rFonts w:hint="cs"/>
          <w:rtl/>
        </w:rPr>
        <w:t>ספר</w:t>
      </w:r>
      <w:r>
        <w:rPr>
          <w:rtl/>
        </w:rPr>
        <w:t xml:space="preserve"> השי</w:t>
      </w:r>
      <w:r>
        <w:rPr>
          <w:rFonts w:hint="cs"/>
          <w:rtl/>
        </w:rPr>
        <w:t>ח</w:t>
      </w:r>
      <w:r w:rsidRPr="00B4459E">
        <w:rPr>
          <w:rtl/>
        </w:rPr>
        <w:t xml:space="preserve">ות </w:t>
      </w:r>
      <w:r>
        <w:rPr>
          <w:rFonts w:hint="cs"/>
          <w:rtl/>
        </w:rPr>
        <w:t>(</w:t>
      </w:r>
      <w:r w:rsidRPr="00B4459E">
        <w:rPr>
          <w:rtl/>
        </w:rPr>
        <w:t xml:space="preserve">תש"ה עמ' </w:t>
      </w:r>
      <w:r>
        <w:rPr>
          <w:rFonts w:hint="cs"/>
          <w:rtl/>
        </w:rPr>
        <w:t xml:space="preserve">4) </w:t>
      </w:r>
      <w:r w:rsidRPr="00B4459E">
        <w:rPr>
          <w:rtl/>
        </w:rPr>
        <w:t>נאמר באכילת התפוח שאוכלים בלילה</w:t>
      </w:r>
      <w:r>
        <w:rPr>
          <w:rFonts w:hint="cs"/>
          <w:rtl/>
        </w:rPr>
        <w:t xml:space="preserve"> </w:t>
      </w:r>
      <w:r w:rsidRPr="00B4459E">
        <w:rPr>
          <w:rtl/>
        </w:rPr>
        <w:t>הראשון דר</w:t>
      </w:r>
      <w:r>
        <w:rPr>
          <w:rtl/>
        </w:rPr>
        <w:t>"ה נהגו בליובאווי</w:t>
      </w:r>
      <w:r>
        <w:rPr>
          <w:rFonts w:hint="cs"/>
          <w:rtl/>
        </w:rPr>
        <w:t>ט</w:t>
      </w:r>
      <w:r w:rsidRPr="00B4459E">
        <w:rPr>
          <w:rtl/>
        </w:rPr>
        <w:t>ש כשבירכו עליו בורא פרי העץ היו</w:t>
      </w:r>
      <w:r>
        <w:rPr>
          <w:rFonts w:hint="cs"/>
          <w:rtl/>
        </w:rPr>
        <w:t xml:space="preserve"> </w:t>
      </w:r>
      <w:r w:rsidRPr="00B4459E">
        <w:rPr>
          <w:rtl/>
        </w:rPr>
        <w:t>מכוונ</w:t>
      </w:r>
      <w:r>
        <w:rPr>
          <w:rtl/>
        </w:rPr>
        <w:t>ים להוציא בברכה זו גם את הקאמפ</w:t>
      </w:r>
      <w:r>
        <w:rPr>
          <w:rFonts w:hint="cs"/>
          <w:rtl/>
        </w:rPr>
        <w:t>אט</w:t>
      </w:r>
      <w:r w:rsidRPr="00B4459E">
        <w:rPr>
          <w:rtl/>
        </w:rPr>
        <w:t xml:space="preserve"> הבא בסוף הסעודה</w:t>
      </w:r>
      <w:r>
        <w:rPr>
          <w:rFonts w:hint="cs"/>
          <w:rtl/>
        </w:rPr>
        <w:t>...</w:t>
      </w:r>
      <w:r>
        <w:rPr>
          <w:rtl/>
        </w:rPr>
        <w:t>ובתיאור מ</w:t>
      </w:r>
      <w:r>
        <w:rPr>
          <w:rFonts w:hint="cs"/>
          <w:rtl/>
        </w:rPr>
        <w:t>סע</w:t>
      </w:r>
      <w:r w:rsidRPr="00B4459E">
        <w:rPr>
          <w:rtl/>
        </w:rPr>
        <w:t>ודת הלילה הראשון דר"ה דשנת תשכ"ז נאמר</w:t>
      </w:r>
      <w:r>
        <w:rPr>
          <w:rFonts w:hint="cs"/>
          <w:rtl/>
        </w:rPr>
        <w:t>,</w:t>
      </w:r>
      <w:r w:rsidRPr="00B4459E">
        <w:rPr>
          <w:rtl/>
        </w:rPr>
        <w:t xml:space="preserve"> כ"ק אדמו"ר</w:t>
      </w:r>
      <w:r>
        <w:rPr>
          <w:rtl/>
        </w:rPr>
        <w:t xml:space="preserve"> שלי</w:t>
      </w:r>
      <w:r>
        <w:rPr>
          <w:rFonts w:hint="cs"/>
          <w:rtl/>
        </w:rPr>
        <w:t>ט</w:t>
      </w:r>
      <w:r>
        <w:rPr>
          <w:rtl/>
        </w:rPr>
        <w:t>"א לק</w:t>
      </w:r>
      <w:r>
        <w:rPr>
          <w:rFonts w:hint="cs"/>
          <w:rtl/>
        </w:rPr>
        <w:t>ח</w:t>
      </w:r>
      <w:r>
        <w:rPr>
          <w:rtl/>
        </w:rPr>
        <w:t xml:space="preserve"> תפוח ו</w:t>
      </w:r>
      <w:r>
        <w:rPr>
          <w:rFonts w:hint="cs"/>
          <w:rtl/>
        </w:rPr>
        <w:t>ח</w:t>
      </w:r>
      <w:r w:rsidRPr="00B4459E">
        <w:rPr>
          <w:rtl/>
        </w:rPr>
        <w:t>תך חתיכה</w:t>
      </w:r>
      <w:r>
        <w:rPr>
          <w:rFonts w:hint="cs"/>
          <w:rtl/>
        </w:rPr>
        <w:t>,</w:t>
      </w:r>
      <w:r>
        <w:rPr>
          <w:rtl/>
        </w:rPr>
        <w:t xml:space="preserve"> </w:t>
      </w:r>
      <w:r>
        <w:rPr>
          <w:rFonts w:hint="cs"/>
          <w:rtl/>
        </w:rPr>
        <w:t>ט</w:t>
      </w:r>
      <w:r w:rsidRPr="00B4459E">
        <w:rPr>
          <w:rtl/>
        </w:rPr>
        <w:t>בל בדבש</w:t>
      </w:r>
      <w:r>
        <w:rPr>
          <w:rFonts w:hint="cs"/>
          <w:rtl/>
        </w:rPr>
        <w:t>,</w:t>
      </w:r>
      <w:r w:rsidRPr="00B4459E">
        <w:rPr>
          <w:rtl/>
        </w:rPr>
        <w:t xml:space="preserve"> ואת החתיכה</w:t>
      </w:r>
      <w:r>
        <w:rPr>
          <w:rFonts w:hint="cs"/>
          <w:rtl/>
        </w:rPr>
        <w:t xml:space="preserve"> </w:t>
      </w:r>
      <w:r w:rsidRPr="00B4459E">
        <w:rPr>
          <w:rtl/>
        </w:rPr>
        <w:t>שנותרה הניח בקערה של הליפתן קאמפאמ</w:t>
      </w:r>
      <w:r>
        <w:rPr>
          <w:rFonts w:hint="cs"/>
          <w:rtl/>
        </w:rPr>
        <w:t>ט</w:t>
      </w:r>
      <w:r w:rsidRPr="00B4459E">
        <w:rPr>
          <w:rtl/>
        </w:rPr>
        <w:t xml:space="preserve"> של סוף הסעודה</w:t>
      </w:r>
      <w:r>
        <w:rPr>
          <w:rFonts w:hint="cs"/>
          <w:rtl/>
        </w:rPr>
        <w:t>, ו</w:t>
      </w:r>
      <w:r>
        <w:rPr>
          <w:rtl/>
        </w:rPr>
        <w:t>ב</w:t>
      </w:r>
      <w:r>
        <w:rPr>
          <w:rFonts w:hint="cs"/>
          <w:rtl/>
        </w:rPr>
        <w:t>ס</w:t>
      </w:r>
      <w:r>
        <w:rPr>
          <w:rtl/>
        </w:rPr>
        <w:t>וף ה</w:t>
      </w:r>
      <w:r>
        <w:rPr>
          <w:rFonts w:hint="cs"/>
          <w:rtl/>
        </w:rPr>
        <w:t>ס</w:t>
      </w:r>
      <w:r w:rsidRPr="00B4459E">
        <w:rPr>
          <w:rtl/>
        </w:rPr>
        <w:t>עודה אכל בתחילה</w:t>
      </w:r>
      <w:r>
        <w:rPr>
          <w:rtl/>
        </w:rPr>
        <w:t xml:space="preserve"> את התפו</w:t>
      </w:r>
      <w:r>
        <w:rPr>
          <w:rFonts w:hint="cs"/>
          <w:rtl/>
        </w:rPr>
        <w:t>ח</w:t>
      </w:r>
      <w:r>
        <w:rPr>
          <w:rtl/>
        </w:rPr>
        <w:t xml:space="preserve"> וא</w:t>
      </w:r>
      <w:r>
        <w:rPr>
          <w:rFonts w:hint="cs"/>
          <w:rtl/>
        </w:rPr>
        <w:t>ח</w:t>
      </w:r>
      <w:r w:rsidRPr="00B4459E">
        <w:rPr>
          <w:rtl/>
        </w:rPr>
        <w:t>ר כך את הליפתן</w:t>
      </w:r>
      <w:r>
        <w:rPr>
          <w:rFonts w:hint="cs"/>
          <w:rtl/>
        </w:rPr>
        <w:t>,</w:t>
      </w:r>
      <w:r>
        <w:rPr>
          <w:rtl/>
        </w:rPr>
        <w:t xml:space="preserve"> </w:t>
      </w:r>
      <w:r>
        <w:rPr>
          <w:rFonts w:hint="cs"/>
          <w:rtl/>
        </w:rPr>
        <w:t xml:space="preserve">ולא </w:t>
      </w:r>
      <w:r w:rsidRPr="00B4459E">
        <w:rPr>
          <w:rtl/>
        </w:rPr>
        <w:t xml:space="preserve">בירך על הליפתן </w:t>
      </w:r>
      <w:r>
        <w:rPr>
          <w:rFonts w:hint="cs"/>
          <w:rtl/>
        </w:rPr>
        <w:t>(</w:t>
      </w:r>
      <w:r>
        <w:rPr>
          <w:rtl/>
        </w:rPr>
        <w:t>ה</w:t>
      </w:r>
      <w:r>
        <w:rPr>
          <w:rFonts w:hint="cs"/>
          <w:rtl/>
        </w:rPr>
        <w:t>מ</w:t>
      </w:r>
      <w:r>
        <w:rPr>
          <w:rtl/>
        </w:rPr>
        <w:t>ל</w:t>
      </w:r>
      <w:r>
        <w:rPr>
          <w:rFonts w:hint="cs"/>
          <w:rtl/>
        </w:rPr>
        <w:t>ך</w:t>
      </w:r>
      <w:r w:rsidRPr="00B4459E">
        <w:rPr>
          <w:rtl/>
        </w:rPr>
        <w:t xml:space="preserve"> במסיבו א עמ' קיא</w:t>
      </w:r>
      <w:r>
        <w:rPr>
          <w:rFonts w:hint="cs"/>
          <w:rtl/>
        </w:rPr>
        <w:t>)".</w:t>
      </w:r>
    </w:p>
    <w:p w14:paraId="1C42C566" w14:textId="77777777" w:rsidR="000672B7" w:rsidRDefault="000672B7" w:rsidP="00E60D97">
      <w:pPr>
        <w:pStyle w:val="a3"/>
        <w:rPr>
          <w:rtl/>
        </w:rPr>
      </w:pPr>
      <w:r>
        <w:rPr>
          <w:rFonts w:hint="cs"/>
          <w:rtl/>
        </w:rPr>
        <w:t xml:space="preserve">ולפי ביאורו הרי אין שום סתירה בין הנהגת הרבי ריי"ץ בתרצ"א להנהגתו בתש"ב, בתרצ"א נתכיון לפטור הליפתן כי היה תפוח בדבש, ובתש"ב נתכיון שלא לפטור הליפתן כי היה הפרי חדש, ומ"מ צ"ע מה נשתנה ליל א' דר"ה מליל הב' דר"ה, דבליל הא' נתכיון לפטור הליפתן בברכת התפוח, ובליל הב' לא נתכיון לפטור הליפתן בברכת הפרי חדש? </w:t>
      </w:r>
      <w:r w:rsidRPr="00BA1601">
        <w:rPr>
          <w:rFonts w:hint="cs"/>
          <w:rtl/>
        </w:rPr>
        <w:t xml:space="preserve"> </w:t>
      </w:r>
    </w:p>
    <w:p w14:paraId="489B91E0" w14:textId="77777777" w:rsidR="000672B7" w:rsidRDefault="000672B7" w:rsidP="00E60D97">
      <w:pPr>
        <w:pStyle w:val="a3"/>
        <w:rPr>
          <w:rtl/>
        </w:rPr>
      </w:pPr>
      <w:r>
        <w:rPr>
          <w:rFonts w:hint="cs"/>
          <w:rtl/>
        </w:rPr>
        <w:t>ולכ' היה אפשר לתרץ דכיון שבליל הא' אוכלים התפוח אחר ברכת המוציא (ספר מנהגים שם, אג"ק הרבי ח"ג ע' רט) ולכו"ע פירות שתוך סעודה פוטרים פירות אחרים שבסעודה, אבל בליל הב' אוכלים הפרי חדש לפני ברכת המוציא ובזה הרי פליגי הראשונים (כנ"ל לאדה"ז) אם פירות שלפני סעודה פוטרים פירות שתוך הסעודה או שצריך לברך ב"א על הפירות לפני שמתחיל הסעודה, ולכן נתכוין מהריי"צ שברכת בורא פרי העץ על הפרי חדש לא יפטור הליפתן, דבזה יצא לכו"ע, וזהו כמו שפסק בשו"ע לעשות גבי יין הבדלה</w:t>
      </w:r>
      <w:r>
        <w:rPr>
          <w:rStyle w:val="FootnoteReference"/>
          <w:rFonts w:asciiTheme="minorBidi" w:hAnsiTheme="minorBidi" w:cs="Arial"/>
          <w:rtl/>
        </w:rPr>
        <w:footnoteReference w:id="87"/>
      </w:r>
      <w:r>
        <w:rPr>
          <w:rFonts w:hint="cs"/>
          <w:rtl/>
        </w:rPr>
        <w:t>.</w:t>
      </w:r>
    </w:p>
    <w:p w14:paraId="13382495" w14:textId="77777777" w:rsidR="000672B7" w:rsidRPr="00FE5167" w:rsidRDefault="000672B7" w:rsidP="00E60D97">
      <w:pPr>
        <w:pStyle w:val="11"/>
        <w:rPr>
          <w:rtl/>
        </w:rPr>
      </w:pPr>
      <w:r w:rsidRPr="00FE5167">
        <w:rPr>
          <w:rFonts w:hint="cs"/>
          <w:rtl/>
        </w:rPr>
        <w:lastRenderedPageBreak/>
        <w:t>תפוח בדבש למשנה ראשונה ולמשנה אחרונה במנהג חב"ד</w:t>
      </w:r>
    </w:p>
    <w:p w14:paraId="6BE01250" w14:textId="77777777" w:rsidR="000672B7" w:rsidRDefault="000672B7" w:rsidP="00E60D97">
      <w:pPr>
        <w:pStyle w:val="a3"/>
        <w:rPr>
          <w:rtl/>
        </w:rPr>
      </w:pPr>
      <w:r>
        <w:rPr>
          <w:rFonts w:hint="cs"/>
          <w:rtl/>
        </w:rPr>
        <w:t>ו. אבל אין לתרץ הכי, כי מובא בשיחה דליל ר"ה תש"ה (ע' 4) ככה: "</w:t>
      </w:r>
      <w:r w:rsidRPr="003A1DBE">
        <w:rPr>
          <w:rtl/>
        </w:rPr>
        <w:t>בליובאוויטש נהגו לאכול בלילה</w:t>
      </w:r>
      <w:r>
        <w:rPr>
          <w:rFonts w:hint="cs"/>
          <w:rtl/>
        </w:rPr>
        <w:t xml:space="preserve"> </w:t>
      </w:r>
      <w:r w:rsidRPr="003A1DBE">
        <w:rPr>
          <w:rtl/>
        </w:rPr>
        <w:t>השני של ראש השנה את הפרי שעליו</w:t>
      </w:r>
      <w:r>
        <w:rPr>
          <w:rFonts w:hint="cs"/>
          <w:rtl/>
        </w:rPr>
        <w:t xml:space="preserve"> </w:t>
      </w:r>
      <w:r w:rsidRPr="003A1DBE">
        <w:rPr>
          <w:rtl/>
        </w:rPr>
        <w:t>בירכו שהחיינו מיד אחרי הקידוש</w:t>
      </w:r>
      <w:r>
        <w:rPr>
          <w:rFonts w:hint="cs"/>
          <w:rtl/>
        </w:rPr>
        <w:t xml:space="preserve">. </w:t>
      </w:r>
      <w:r w:rsidRPr="003A1DBE">
        <w:rPr>
          <w:rtl/>
        </w:rPr>
        <w:t>לפני נטילת ידים לסעודה היו אוכלים</w:t>
      </w:r>
      <w:r>
        <w:rPr>
          <w:rFonts w:hint="cs"/>
          <w:rtl/>
        </w:rPr>
        <w:t xml:space="preserve"> </w:t>
      </w:r>
      <w:r w:rsidRPr="003A1DBE">
        <w:rPr>
          <w:rtl/>
        </w:rPr>
        <w:t>שיעור מהפרי ומברכים ברכה אחרונה</w:t>
      </w:r>
      <w:r>
        <w:rPr>
          <w:rFonts w:hint="cs"/>
          <w:rtl/>
        </w:rPr>
        <w:t xml:space="preserve"> </w:t>
      </w:r>
      <w:r w:rsidRPr="003A1DBE">
        <w:rPr>
          <w:rtl/>
        </w:rPr>
        <w:t>רק על הפרי ולא על יין הקידוש</w:t>
      </w:r>
      <w:r>
        <w:rPr>
          <w:rFonts w:hint="cs"/>
          <w:rtl/>
        </w:rPr>
        <w:t>,</w:t>
      </w:r>
      <w:r w:rsidRPr="003A1DBE">
        <w:rPr>
          <w:rtl/>
        </w:rPr>
        <w:t xml:space="preserve"> יש</w:t>
      </w:r>
      <w:r>
        <w:rPr>
          <w:rFonts w:hint="cs"/>
          <w:rtl/>
        </w:rPr>
        <w:t xml:space="preserve"> </w:t>
      </w:r>
      <w:r w:rsidRPr="003A1DBE">
        <w:rPr>
          <w:rtl/>
        </w:rPr>
        <w:t>בכך משום ענין של לומדות מצד</w:t>
      </w:r>
      <w:r>
        <w:rPr>
          <w:rFonts w:hint="cs"/>
          <w:rtl/>
        </w:rPr>
        <w:t xml:space="preserve"> </w:t>
      </w:r>
      <w:r>
        <w:rPr>
          <w:rtl/>
        </w:rPr>
        <w:t>ההפסק בין קידוש לסעודה</w:t>
      </w:r>
      <w:r>
        <w:rPr>
          <w:rFonts w:hint="cs"/>
          <w:rtl/>
        </w:rPr>
        <w:t>,</w:t>
      </w:r>
      <w:r>
        <w:rPr>
          <w:rtl/>
        </w:rPr>
        <w:t xml:space="preserve"> ואם נפט</w:t>
      </w:r>
      <w:r>
        <w:rPr>
          <w:rFonts w:hint="cs"/>
          <w:rtl/>
        </w:rPr>
        <w:t xml:space="preserve">ר </w:t>
      </w:r>
      <w:r w:rsidRPr="003A1DBE">
        <w:rPr>
          <w:rtl/>
        </w:rPr>
        <w:t>מברכה אחרונה בברכת המזון שאחרי</w:t>
      </w:r>
      <w:r>
        <w:rPr>
          <w:rFonts w:hint="cs"/>
          <w:rtl/>
        </w:rPr>
        <w:t xml:space="preserve"> </w:t>
      </w:r>
      <w:r w:rsidRPr="003A1DBE">
        <w:rPr>
          <w:rtl/>
        </w:rPr>
        <w:t>הסעודה</w:t>
      </w:r>
      <w:r>
        <w:rPr>
          <w:rFonts w:hint="cs"/>
          <w:rtl/>
        </w:rPr>
        <w:t>,</w:t>
      </w:r>
      <w:r w:rsidRPr="003A1DBE">
        <w:rPr>
          <w:rtl/>
        </w:rPr>
        <w:t xml:space="preserve"> זאת ועוד גם את התפוח</w:t>
      </w:r>
      <w:r>
        <w:rPr>
          <w:rFonts w:hint="cs"/>
          <w:rtl/>
        </w:rPr>
        <w:t xml:space="preserve"> </w:t>
      </w:r>
      <w:r w:rsidRPr="003A1DBE">
        <w:rPr>
          <w:rtl/>
        </w:rPr>
        <w:t>שנוהגים לאכול בלילה הראשון של</w:t>
      </w:r>
      <w:r>
        <w:rPr>
          <w:rFonts w:hint="cs"/>
          <w:rtl/>
        </w:rPr>
        <w:t xml:space="preserve"> </w:t>
      </w:r>
      <w:r w:rsidRPr="003A1DBE">
        <w:rPr>
          <w:rtl/>
        </w:rPr>
        <w:t>ראש השנה היו אוכלים בליובאוויטש</w:t>
      </w:r>
      <w:r>
        <w:rPr>
          <w:rFonts w:hint="cs"/>
          <w:rtl/>
        </w:rPr>
        <w:t xml:space="preserve"> </w:t>
      </w:r>
      <w:r w:rsidRPr="003A1DBE">
        <w:rPr>
          <w:rtl/>
        </w:rPr>
        <w:t>לפני הסעודה לאחר קידוש והיו</w:t>
      </w:r>
      <w:r>
        <w:rPr>
          <w:rFonts w:hint="cs"/>
          <w:rtl/>
        </w:rPr>
        <w:t xml:space="preserve"> </w:t>
      </w:r>
      <w:r w:rsidRPr="003A1DBE">
        <w:rPr>
          <w:rtl/>
        </w:rPr>
        <w:t>מכוונים לצאת בברכה בורא פרי</w:t>
      </w:r>
      <w:r>
        <w:rPr>
          <w:rFonts w:hint="cs"/>
          <w:rtl/>
        </w:rPr>
        <w:t xml:space="preserve"> </w:t>
      </w:r>
      <w:r w:rsidRPr="003A1DBE">
        <w:rPr>
          <w:rtl/>
        </w:rPr>
        <w:t>העץ גם את הלפתן שבסוף</w:t>
      </w:r>
      <w:r>
        <w:rPr>
          <w:rFonts w:hint="cs"/>
          <w:rtl/>
        </w:rPr>
        <w:t xml:space="preserve"> </w:t>
      </w:r>
      <w:r w:rsidRPr="003A1DBE">
        <w:rPr>
          <w:rtl/>
        </w:rPr>
        <w:t>הסעודה</w:t>
      </w:r>
      <w:r>
        <w:rPr>
          <w:rFonts w:hint="cs"/>
          <w:rtl/>
        </w:rPr>
        <w:t>".</w:t>
      </w:r>
    </w:p>
    <w:p w14:paraId="0E2B6B05" w14:textId="77777777" w:rsidR="000672B7" w:rsidRDefault="000672B7" w:rsidP="00E60D97">
      <w:pPr>
        <w:pStyle w:val="a3"/>
        <w:rPr>
          <w:rtl/>
        </w:rPr>
      </w:pPr>
      <w:r>
        <w:rPr>
          <w:rFonts w:hint="cs"/>
          <w:rtl/>
        </w:rPr>
        <w:t xml:space="preserve">חזינן דמנהג הקדום בחב"ד היה לאכול גם התפוח בדבש לפני ברכת המוציא, ולפי"ז הדרא קושיא לדוכתא, מה נשתנה ליל א' דר"ה מליל הב' דר"ה, דבליל הא' המנהג לפטור הליפתן בברכת התפוח, ובליל הב' המנהג הוא שלא לפטור הליפתן בברכת הפרי חדש? </w:t>
      </w:r>
      <w:r w:rsidRPr="00BA1601">
        <w:rPr>
          <w:rFonts w:hint="cs"/>
          <w:rtl/>
        </w:rPr>
        <w:t xml:space="preserve"> </w:t>
      </w:r>
      <w:r>
        <w:rPr>
          <w:rFonts w:hint="cs"/>
          <w:rtl/>
        </w:rPr>
        <w:t xml:space="preserve">  </w:t>
      </w:r>
    </w:p>
    <w:p w14:paraId="32B55E48" w14:textId="77777777" w:rsidR="000672B7" w:rsidRPr="00E62E81" w:rsidRDefault="000672B7" w:rsidP="00E60D97">
      <w:pPr>
        <w:pStyle w:val="a3"/>
        <w:rPr>
          <w:rtl/>
        </w:rPr>
      </w:pPr>
      <w:r>
        <w:rPr>
          <w:rFonts w:hint="cs"/>
          <w:rtl/>
        </w:rPr>
        <w:t>והנה לפי הט"ז י"ל בפשיטות, כיון שפירות שלפני סעודה פוטרים פירות תוך סעודה לכו"ע לכן בליל הא' פוטר הפרי חדש הליפתן, אבל בליל הב' נכנסנו למחלוקת הראשונים כיון שהפרי חדש דינו כמו יין הבדלה, דכמו ביין הבדלה כיון שאינו אלא למצוה לא שייך לסעודה שלאחרי', ה"נ בפרי חדש שאינו אלא כדי שיוכל לברך שהחיינו שעל היום טוב (ראה שוע"ר סי' תר ס"ו) אינו שייך לסעודה כלל, וכיון דבשו"ע פסק שכשמבדיל יכוין שלא לפטור היין שבסעודה ה"נ בפרי חדש נהגו בליובאוויטש לכיון בברכת הפרי חדש שלא לפטור הליפתן שבסעודה</w:t>
      </w:r>
      <w:r w:rsidRPr="00196077">
        <w:rPr>
          <w:rtl/>
        </w:rPr>
        <w:t>.</w:t>
      </w:r>
    </w:p>
    <w:p w14:paraId="72EEC439" w14:textId="77777777" w:rsidR="000672B7" w:rsidRDefault="000672B7" w:rsidP="00E60D97">
      <w:pPr>
        <w:pStyle w:val="a3"/>
        <w:rPr>
          <w:rtl/>
        </w:rPr>
      </w:pPr>
      <w:r>
        <w:rPr>
          <w:rFonts w:hint="cs"/>
          <w:rtl/>
        </w:rPr>
        <w:t>[ולפי"ז צ"ע שהרי בהשיחה דתש"ה משמע שלא נתכוונו בפירוש שלא להוציא הליפתן בברכה שעל הפרי חדש (כי רק בליל הא' נתכוונו בפירוש להוציא), ואולי כיון שכן המנהג סתמא הו"ל כנתכווין, וצ"ע, וגם אם אדמו"ר מהריי"צ נתכויון בפירוש שהפרי חדש לא יפטור פירות שבסעודה, למה לא נהגו הכי?].</w:t>
      </w:r>
    </w:p>
    <w:p w14:paraId="4CEAB744" w14:textId="77777777" w:rsidR="000672B7" w:rsidRDefault="000672B7" w:rsidP="00E60D97">
      <w:pPr>
        <w:pStyle w:val="a3"/>
        <w:rPr>
          <w:rtl/>
        </w:rPr>
      </w:pPr>
      <w:r>
        <w:rPr>
          <w:rFonts w:hint="cs"/>
          <w:rtl/>
        </w:rPr>
        <w:t>ולפי אדה"ז י"ל כיון שבליל הא' אוכלים התפוח בדבש לסימן טוב שייך התפוח לסעודה כמו יין שבא לגרור תאוותו שבזה פסק בשוע"ר (קו"א ס"ק ו') שפוטר יין שבסעודה, משא"כ בליל הב' שאינו אלא משום שהחיינו דיו"ט (כנ"ל) דבזה פליגי הראשונים ולצאת מידי פלוגתא נוהגים לכוין שלא לפטור קאמפאט בברכה שעל הפרי חדש.</w:t>
      </w:r>
      <w:r w:rsidRPr="00E62E81">
        <w:rPr>
          <w:rtl/>
        </w:rPr>
        <w:t xml:space="preserve"> </w:t>
      </w:r>
    </w:p>
    <w:p w14:paraId="63858F95" w14:textId="77777777" w:rsidR="000672B7" w:rsidRPr="0032051F" w:rsidRDefault="000672B7" w:rsidP="00E60D97">
      <w:pPr>
        <w:pStyle w:val="11"/>
        <w:rPr>
          <w:rtl/>
        </w:rPr>
      </w:pPr>
      <w:r w:rsidRPr="0032051F">
        <w:rPr>
          <w:rFonts w:hint="cs"/>
          <w:rtl/>
        </w:rPr>
        <w:t xml:space="preserve">האם צריך </w:t>
      </w:r>
      <w:r w:rsidRPr="0032051F">
        <w:rPr>
          <w:rtl/>
        </w:rPr>
        <w:t>–</w:t>
      </w:r>
      <w:r w:rsidRPr="0032051F">
        <w:rPr>
          <w:rFonts w:hint="cs"/>
          <w:rtl/>
        </w:rPr>
        <w:t xml:space="preserve"> ממידת חסידות </w:t>
      </w:r>
      <w:r w:rsidRPr="0032051F">
        <w:rPr>
          <w:rtl/>
        </w:rPr>
        <w:t>–</w:t>
      </w:r>
      <w:r w:rsidRPr="0032051F">
        <w:rPr>
          <w:rFonts w:hint="cs"/>
          <w:rtl/>
        </w:rPr>
        <w:t xml:space="preserve"> לדייק לאכול ולשתות כשיעור כדי לברך </w:t>
      </w:r>
      <w:r w:rsidRPr="0032051F">
        <w:rPr>
          <w:rFonts w:hint="cs"/>
          <w:rtl/>
        </w:rPr>
        <w:lastRenderedPageBreak/>
        <w:t>ברכה אחרונה</w:t>
      </w:r>
    </w:p>
    <w:p w14:paraId="15E225D7" w14:textId="77777777" w:rsidR="000672B7" w:rsidRDefault="000672B7" w:rsidP="00E60D97">
      <w:pPr>
        <w:pStyle w:val="a3"/>
        <w:rPr>
          <w:rtl/>
        </w:rPr>
      </w:pPr>
      <w:r>
        <w:rPr>
          <w:rFonts w:hint="cs"/>
          <w:rtl/>
        </w:rPr>
        <w:t>ז. הנה בהמשך שיחת מהריי"צ (ליל ב' דר"ה תש"ה) מסופר "</w:t>
      </w:r>
      <w:r w:rsidRPr="00E62E81">
        <w:rPr>
          <w:rtl/>
        </w:rPr>
        <w:t>נזכרתי כעת על אירוע שאירע</w:t>
      </w:r>
      <w:r>
        <w:rPr>
          <w:rFonts w:hint="cs"/>
          <w:rtl/>
        </w:rPr>
        <w:t xml:space="preserve"> בשנת </w:t>
      </w:r>
      <w:r w:rsidRPr="00E62E81">
        <w:rPr>
          <w:rtl/>
        </w:rPr>
        <w:t>תרנ"ח אז שהה בליובאוויטש</w:t>
      </w:r>
      <w:r>
        <w:rPr>
          <w:rFonts w:hint="cs"/>
          <w:rtl/>
        </w:rPr>
        <w:t xml:space="preserve"> </w:t>
      </w:r>
      <w:r w:rsidRPr="00E62E81">
        <w:rPr>
          <w:rtl/>
        </w:rPr>
        <w:t>ר' ברוך שניאור</w:t>
      </w:r>
      <w:r>
        <w:rPr>
          <w:rFonts w:hint="cs"/>
          <w:rtl/>
        </w:rPr>
        <w:t xml:space="preserve"> (זקנו של כ"ק אדמו"ר זי"ע)...</w:t>
      </w:r>
      <w:r w:rsidRPr="00724A3A">
        <w:rPr>
          <w:rtl/>
        </w:rPr>
        <w:t xml:space="preserve"> באותה שנה תרנ"ח היה</w:t>
      </w:r>
      <w:r>
        <w:rPr>
          <w:rFonts w:hint="cs"/>
          <w:rtl/>
        </w:rPr>
        <w:t xml:space="preserve"> </w:t>
      </w:r>
      <w:r w:rsidRPr="00724A3A">
        <w:rPr>
          <w:rtl/>
        </w:rPr>
        <w:t>הפרי בליל ראש השנה עבור</w:t>
      </w:r>
      <w:r>
        <w:rPr>
          <w:rFonts w:hint="cs"/>
          <w:rtl/>
        </w:rPr>
        <w:t xml:space="preserve"> </w:t>
      </w:r>
      <w:r w:rsidRPr="00724A3A">
        <w:rPr>
          <w:rtl/>
        </w:rPr>
        <w:t>שהחיינו חמוץ</w:t>
      </w:r>
      <w:r>
        <w:rPr>
          <w:rFonts w:hint="cs"/>
          <w:rtl/>
        </w:rPr>
        <w:t>,</w:t>
      </w:r>
      <w:r w:rsidRPr="00724A3A">
        <w:rPr>
          <w:rtl/>
        </w:rPr>
        <w:t xml:space="preserve"> והרב"ש לא יכל</w:t>
      </w:r>
      <w:r>
        <w:rPr>
          <w:rFonts w:hint="cs"/>
          <w:rtl/>
        </w:rPr>
        <w:t xml:space="preserve"> </w:t>
      </w:r>
      <w:r>
        <w:rPr>
          <w:rtl/>
        </w:rPr>
        <w:t>לאכול אותו</w:t>
      </w:r>
      <w:r>
        <w:rPr>
          <w:rFonts w:hint="cs"/>
          <w:rtl/>
        </w:rPr>
        <w:t>,</w:t>
      </w:r>
      <w:r>
        <w:rPr>
          <w:rtl/>
        </w:rPr>
        <w:t xml:space="preserve"> אמר לו הוד כ"ק אאמ</w:t>
      </w:r>
      <w:r>
        <w:rPr>
          <w:rFonts w:hint="cs"/>
          <w:rtl/>
        </w:rPr>
        <w:t xml:space="preserve">ו"ר </w:t>
      </w:r>
      <w:r w:rsidRPr="00724A3A">
        <w:rPr>
          <w:rtl/>
        </w:rPr>
        <w:t>הרה"ק הרי צריכים לאכול שיעור</w:t>
      </w:r>
      <w:r>
        <w:rPr>
          <w:rFonts w:hint="cs"/>
          <w:rtl/>
        </w:rPr>
        <w:t xml:space="preserve"> </w:t>
      </w:r>
      <w:r>
        <w:rPr>
          <w:rtl/>
        </w:rPr>
        <w:t xml:space="preserve">מהפרי והוא השלים זאת בפרי </w:t>
      </w:r>
      <w:r>
        <w:rPr>
          <w:rFonts w:hint="cs"/>
          <w:rtl/>
        </w:rPr>
        <w:t xml:space="preserve">אחר, </w:t>
      </w:r>
      <w:r w:rsidRPr="00724A3A">
        <w:rPr>
          <w:rtl/>
        </w:rPr>
        <w:t>מכ</w:t>
      </w:r>
      <w:r>
        <w:rPr>
          <w:rtl/>
        </w:rPr>
        <w:t>אן ראיה שהיו מדקדקים להשלי</w:t>
      </w:r>
      <w:r>
        <w:rPr>
          <w:rFonts w:hint="cs"/>
          <w:rtl/>
        </w:rPr>
        <w:t xml:space="preserve">ם </w:t>
      </w:r>
      <w:r>
        <w:rPr>
          <w:rtl/>
        </w:rPr>
        <w:t>ש</w:t>
      </w:r>
      <w:r>
        <w:rPr>
          <w:rFonts w:hint="cs"/>
          <w:rtl/>
        </w:rPr>
        <w:t>י</w:t>
      </w:r>
      <w:r w:rsidRPr="00724A3A">
        <w:rPr>
          <w:rtl/>
        </w:rPr>
        <w:t>עור מהפרי כדי שיוכלו לברך ברכה</w:t>
      </w:r>
      <w:r>
        <w:rPr>
          <w:rFonts w:hint="cs"/>
          <w:rtl/>
        </w:rPr>
        <w:t xml:space="preserve"> </w:t>
      </w:r>
      <w:r w:rsidRPr="00724A3A">
        <w:rPr>
          <w:rtl/>
        </w:rPr>
        <w:t>אחרונה</w:t>
      </w:r>
      <w:r>
        <w:rPr>
          <w:rFonts w:hint="cs"/>
          <w:rtl/>
        </w:rPr>
        <w:t>", (וגם בתחלת השיחה דייק שלפי המנהג "</w:t>
      </w:r>
      <w:r w:rsidRPr="003A1DBE">
        <w:rPr>
          <w:rtl/>
        </w:rPr>
        <w:t>היו אוכלים</w:t>
      </w:r>
      <w:r w:rsidRPr="00A30A40">
        <w:rPr>
          <w:rFonts w:hint="cs"/>
          <w:bCs/>
          <w:rtl/>
        </w:rPr>
        <w:t xml:space="preserve"> </w:t>
      </w:r>
      <w:r w:rsidRPr="00A30A40">
        <w:rPr>
          <w:bCs/>
          <w:rtl/>
        </w:rPr>
        <w:t>שיעור</w:t>
      </w:r>
      <w:r w:rsidRPr="003A1DBE">
        <w:rPr>
          <w:rtl/>
        </w:rPr>
        <w:t xml:space="preserve"> מהפרי</w:t>
      </w:r>
      <w:r>
        <w:rPr>
          <w:rFonts w:hint="cs"/>
          <w:rtl/>
        </w:rPr>
        <w:t>" בליל הב').</w:t>
      </w:r>
    </w:p>
    <w:p w14:paraId="1FD2735D" w14:textId="77777777" w:rsidR="000672B7" w:rsidRDefault="000672B7" w:rsidP="00E60D97">
      <w:pPr>
        <w:pStyle w:val="a3"/>
        <w:rPr>
          <w:rtl/>
        </w:rPr>
      </w:pPr>
      <w:r>
        <w:rPr>
          <w:rFonts w:hint="cs"/>
          <w:rtl/>
        </w:rPr>
        <w:t>וצ"ע הרי אין שום חיוב באכילת הפרי חדש ואינו אלא כדי לברך שהחיינו, ועל הראיה לחוד מברך שהחיינו גם בלי האכילה (סדר ברה"נ פי"א הי"ב), א"כ למה הורה מהרש"ב לאכול שיעור שלם מהפרי חדש?</w:t>
      </w:r>
    </w:p>
    <w:p w14:paraId="67A06A7C" w14:textId="77777777" w:rsidR="000672B7" w:rsidRDefault="000672B7" w:rsidP="00E60D97">
      <w:pPr>
        <w:pStyle w:val="a3"/>
        <w:rPr>
          <w:rtl/>
        </w:rPr>
      </w:pPr>
      <w:r>
        <w:rPr>
          <w:rFonts w:hint="cs"/>
          <w:rtl/>
        </w:rPr>
        <w:t>וי"ל:</w:t>
      </w:r>
    </w:p>
    <w:p w14:paraId="1021FDA0" w14:textId="77777777" w:rsidR="000672B7" w:rsidRDefault="000672B7" w:rsidP="00E60D97">
      <w:pPr>
        <w:pStyle w:val="a3"/>
        <w:rPr>
          <w:rtl/>
        </w:rPr>
      </w:pPr>
      <w:r>
        <w:rPr>
          <w:rFonts w:hint="cs"/>
          <w:rtl/>
        </w:rPr>
        <w:t>א) אם יאכל פחות מכשיעור הרי לפי אדה"ז (קו"א ס"ק ו) לכו"ע פוטר מה שבסעודה (והמחלוקת הוא רק באכל כשיעור האם חייב לברך ברכה אחרונה לפני הסעודה), וא"כ אם יאכל מהפרי חדש פחות מכשיעור ויכוין שלא להוציא פירות שבסעודה הו"ל גורם ברכה שאינה צריכה, אבל אם יאכל כזית מהפרי בזה נכנס למחלוקת הראשונים, ואז טוב לכויון שלא לפטור פירות שבסעודה, ואינו גורם ברכה שאינה צריכה, שהרי צריך להוציא את עצמו מפלוגתת הראשונים (שוע"ר סי' רמט קו"א ס"ק ד'), ואין להקשות למה לא הנהיגו לאכול הפרי חדש פחות מכשיעור והרי לאדה"ז לכו"ע פוטר הפירות בסעודה, שהרי (בקו"א שם) חשש גם לדעת הט"ז והאחרונים.</w:t>
      </w:r>
    </w:p>
    <w:p w14:paraId="030BB028" w14:textId="77777777" w:rsidR="000672B7" w:rsidRDefault="000672B7" w:rsidP="00E60D97">
      <w:pPr>
        <w:pStyle w:val="a3"/>
        <w:rPr>
          <w:rtl/>
        </w:rPr>
      </w:pPr>
      <w:r>
        <w:rPr>
          <w:rFonts w:hint="cs"/>
          <w:rtl/>
        </w:rPr>
        <w:t>ב) הטעם למנהג שלא לברך שהחיינו על ראיית הפרי חדש אלא על אכילתו הוא משום שיש שאינם נהנים מראיה רוחנית אלא מאכילה הגשמית (סדר ברה"נ שם) ולכן צריך לאכול כשיעור כדי שייחשב הנאה מספקת לחייבו בברכת שהחיינו.</w:t>
      </w:r>
    </w:p>
    <w:p w14:paraId="72719784" w14:textId="77777777" w:rsidR="000672B7" w:rsidRDefault="000672B7" w:rsidP="00E60D97">
      <w:pPr>
        <w:pStyle w:val="a3"/>
        <w:rPr>
          <w:rtl/>
        </w:rPr>
      </w:pPr>
      <w:r>
        <w:rPr>
          <w:rFonts w:hint="cs"/>
          <w:rtl/>
        </w:rPr>
        <w:t>אבל לא משמע הכי מדברי מהריי"צ "</w:t>
      </w:r>
      <w:r w:rsidRPr="00724A3A">
        <w:rPr>
          <w:rtl/>
        </w:rPr>
        <w:t>מכ</w:t>
      </w:r>
      <w:r>
        <w:rPr>
          <w:rtl/>
        </w:rPr>
        <w:t>אן ראיה שהיו מדקדקים להשלי</w:t>
      </w:r>
      <w:r>
        <w:rPr>
          <w:rFonts w:hint="cs"/>
          <w:rtl/>
        </w:rPr>
        <w:t xml:space="preserve">ם </w:t>
      </w:r>
      <w:r>
        <w:rPr>
          <w:rtl/>
        </w:rPr>
        <w:t>ש</w:t>
      </w:r>
      <w:r>
        <w:rPr>
          <w:rFonts w:hint="cs"/>
          <w:rtl/>
        </w:rPr>
        <w:t>י</w:t>
      </w:r>
      <w:r w:rsidRPr="00724A3A">
        <w:rPr>
          <w:rtl/>
        </w:rPr>
        <w:t xml:space="preserve">עור מהפרי </w:t>
      </w:r>
      <w:r w:rsidRPr="00D33CCF">
        <w:rPr>
          <w:bCs/>
          <w:rtl/>
        </w:rPr>
        <w:t>כדי שיוכלו לברך ברכה</w:t>
      </w:r>
      <w:r w:rsidRPr="00D33CCF">
        <w:rPr>
          <w:rFonts w:hint="cs"/>
          <w:bCs/>
          <w:rtl/>
        </w:rPr>
        <w:t xml:space="preserve"> </w:t>
      </w:r>
      <w:r w:rsidRPr="00D33CCF">
        <w:rPr>
          <w:bCs/>
          <w:rtl/>
        </w:rPr>
        <w:t>אחרונה</w:t>
      </w:r>
      <w:r>
        <w:rPr>
          <w:rFonts w:hint="cs"/>
          <w:rtl/>
        </w:rPr>
        <w:t xml:space="preserve">", משמע שדייקו לאכול שיעור שלם משום ברכה אחרונה ולא משום ברכה ראשונה (וזה קשה גם על פירוש הא'). </w:t>
      </w:r>
    </w:p>
    <w:p w14:paraId="0ACE8A83" w14:textId="77777777" w:rsidR="000672B7" w:rsidRDefault="000672B7" w:rsidP="00E60D97">
      <w:pPr>
        <w:pStyle w:val="a3"/>
        <w:rPr>
          <w:rtl/>
        </w:rPr>
      </w:pPr>
      <w:r>
        <w:rPr>
          <w:rFonts w:hint="cs"/>
          <w:rtl/>
        </w:rPr>
        <w:t xml:space="preserve">ג) נ"ל דלפי הבנת מהריי"צ בהסיפור ס"ל לאביו מהרש"ב שלעולם יש מדת חסידות לשתות ולאכול כשיעור שלם כדי שלא יפסיד ברכה אחרונה. </w:t>
      </w:r>
    </w:p>
    <w:p w14:paraId="30A468D5" w14:textId="77777777" w:rsidR="000672B7" w:rsidRPr="0032051F" w:rsidRDefault="000672B7" w:rsidP="00E60D97">
      <w:pPr>
        <w:pStyle w:val="11"/>
        <w:rPr>
          <w:rtl/>
        </w:rPr>
      </w:pPr>
      <w:r w:rsidRPr="0032051F">
        <w:rPr>
          <w:rFonts w:hint="cs"/>
          <w:rtl/>
        </w:rPr>
        <w:t xml:space="preserve">מנהג חב"ד לאכול תפוח בדבש לפני הסעודה או תוך הסעודה? </w:t>
      </w:r>
    </w:p>
    <w:p w14:paraId="2E56716C" w14:textId="77777777" w:rsidR="000672B7" w:rsidRDefault="000672B7" w:rsidP="00E60D97">
      <w:pPr>
        <w:pStyle w:val="a3"/>
        <w:rPr>
          <w:rtl/>
        </w:rPr>
      </w:pPr>
      <w:r>
        <w:rPr>
          <w:rFonts w:hint="cs"/>
          <w:rtl/>
        </w:rPr>
        <w:t xml:space="preserve">ח. אבל באמת קשה לפרש שיחת מהריי"צ דשנת תש"ב דמיירי מפרי חדש, דא"כ כל השיחה שמיירי בתפוח בדבש משבשתא היא, וזה שהשיחה היה בליל ב' ולא בליל </w:t>
      </w:r>
      <w:r>
        <w:rPr>
          <w:rFonts w:hint="cs"/>
          <w:rtl/>
        </w:rPr>
        <w:lastRenderedPageBreak/>
        <w:t>הא' דר"ה אינו ראי' דמיירי בפרי חדש, שהרי ידוע מנהג רבותינו נשיאנו לא לדבר בליל הא' דר"ה (ראה שם בתש"ה סוף שיחה דהתרת נדרים), ולכן לא יוכל לבאר הנהגתו שבליל הא' דר"ה בתפוח בדבש עד ליל הב' דר"ה.</w:t>
      </w:r>
    </w:p>
    <w:p w14:paraId="4549FEFF" w14:textId="77777777" w:rsidR="000672B7" w:rsidRDefault="000672B7" w:rsidP="00E60D97">
      <w:pPr>
        <w:pStyle w:val="a3"/>
        <w:rPr>
          <w:rtl/>
        </w:rPr>
      </w:pPr>
      <w:r>
        <w:rPr>
          <w:rFonts w:hint="cs"/>
          <w:rtl/>
        </w:rPr>
        <w:t xml:space="preserve">ואחי הר"ר יחיאל מיכל שיחי' תירץ בפשטות, דבתש"ב עדיין נהגו כמנהג הראשון בחב"ד </w:t>
      </w:r>
      <w:r>
        <w:rPr>
          <w:rtl/>
        </w:rPr>
        <w:t>–</w:t>
      </w:r>
      <w:r>
        <w:rPr>
          <w:rFonts w:hint="cs"/>
          <w:rtl/>
        </w:rPr>
        <w:t xml:space="preserve"> לאכול התפוח בדבש לפני הסעודה </w:t>
      </w:r>
      <w:r>
        <w:rPr>
          <w:rtl/>
        </w:rPr>
        <w:t>–</w:t>
      </w:r>
      <w:r>
        <w:rPr>
          <w:rFonts w:hint="cs"/>
          <w:rtl/>
        </w:rPr>
        <w:t xml:space="preserve"> וכיוונו לפטור הקאמפאט כמידי שנה בשנה, והופתעו לראות שהרבי ריי"ץ מברך העץ על הקאמפאט, ולכן בליל הב' ביאר הנהגתו, שבשנה זו החליט לכויון בברכת הפתוח לא לפטור הקאמפאט.</w:t>
      </w:r>
      <w:r w:rsidRPr="00306B0A">
        <w:rPr>
          <w:rFonts w:hint="cs"/>
          <w:rtl/>
        </w:rPr>
        <w:t xml:space="preserve"> </w:t>
      </w:r>
    </w:p>
    <w:p w14:paraId="42C85068" w14:textId="77777777" w:rsidR="000672B7" w:rsidRDefault="000672B7" w:rsidP="00E60D97">
      <w:pPr>
        <w:pStyle w:val="a3"/>
        <w:rPr>
          <w:rtl/>
        </w:rPr>
      </w:pPr>
      <w:r>
        <w:rPr>
          <w:rFonts w:hint="cs"/>
          <w:rtl/>
        </w:rPr>
        <w:t>[והעיר אחי הר"ר יחיאל מיכל שי' דבהוספות לספר המאמרים תש"ט ישנו לקוטי מנהגים ושם (ע' 232) נאמר "</w:t>
      </w:r>
      <w:r w:rsidRPr="00755016">
        <w:rPr>
          <w:rtl/>
        </w:rPr>
        <w:t>אכילת התפוח בליל רא</w:t>
      </w:r>
      <w:r>
        <w:rPr>
          <w:rtl/>
        </w:rPr>
        <w:t>שון והפרי חדש בליל שני קודם נט</w:t>
      </w:r>
      <w:r>
        <w:rPr>
          <w:rFonts w:hint="cs"/>
          <w:rtl/>
        </w:rPr>
        <w:t>"י</w:t>
      </w:r>
      <w:r w:rsidRPr="00755016">
        <w:rPr>
          <w:rtl/>
        </w:rPr>
        <w:t xml:space="preserve"> לסעודה</w:t>
      </w:r>
      <w:r>
        <w:rPr>
          <w:rFonts w:hint="cs"/>
          <w:rtl/>
        </w:rPr>
        <w:t xml:space="preserve">", וגם בספר מאמרים תש"י ישנו </w:t>
      </w:r>
      <w:r>
        <w:rPr>
          <w:rtl/>
        </w:rPr>
        <w:t>ל</w:t>
      </w:r>
      <w:r>
        <w:rPr>
          <w:rFonts w:hint="cs"/>
          <w:rtl/>
        </w:rPr>
        <w:t>קוטי</w:t>
      </w:r>
      <w:r w:rsidRPr="00755016">
        <w:rPr>
          <w:rtl/>
        </w:rPr>
        <w:t xml:space="preserve"> מנהגים</w:t>
      </w:r>
      <w:r>
        <w:rPr>
          <w:rFonts w:hint="cs"/>
          <w:rtl/>
        </w:rPr>
        <w:t xml:space="preserve"> (וכתוב שזה "</w:t>
      </w:r>
      <w:r>
        <w:rPr>
          <w:rtl/>
        </w:rPr>
        <w:t>מ</w:t>
      </w:r>
      <w:r>
        <w:rPr>
          <w:rFonts w:hint="cs"/>
          <w:rtl/>
        </w:rPr>
        <w:t>כ</w:t>
      </w:r>
      <w:r w:rsidRPr="00755016">
        <w:rPr>
          <w:rtl/>
        </w:rPr>
        <w:t xml:space="preserve">"ק </w:t>
      </w:r>
      <w:r>
        <w:rPr>
          <w:rtl/>
        </w:rPr>
        <w:t>אדמו"ר מנחם מענדל שליט"א שניאור</w:t>
      </w:r>
      <w:r>
        <w:rPr>
          <w:rFonts w:hint="cs"/>
          <w:rtl/>
        </w:rPr>
        <w:t>ס</w:t>
      </w:r>
      <w:r w:rsidRPr="00755016">
        <w:rPr>
          <w:rtl/>
        </w:rPr>
        <w:t>אהן</w:t>
      </w:r>
      <w:r>
        <w:rPr>
          <w:rFonts w:hint="cs"/>
          <w:rtl/>
        </w:rPr>
        <w:t>") אבל שם (ע' 25) נאמר "</w:t>
      </w:r>
      <w:r w:rsidRPr="00BA5102">
        <w:rPr>
          <w:rtl/>
        </w:rPr>
        <w:t>אכילת התפוח בליל</w:t>
      </w:r>
      <w:r>
        <w:rPr>
          <w:rFonts w:hint="cs"/>
          <w:rtl/>
        </w:rPr>
        <w:t xml:space="preserve"> ראשון -</w:t>
      </w:r>
      <w:r w:rsidRPr="00BA5102">
        <w:rPr>
          <w:rtl/>
        </w:rPr>
        <w:t xml:space="preserve"> בתחילת </w:t>
      </w:r>
      <w:r>
        <w:rPr>
          <w:rFonts w:hint="cs"/>
          <w:rtl/>
        </w:rPr>
        <w:t xml:space="preserve">הסעודה, ובפרי חדש </w:t>
      </w:r>
      <w:r w:rsidRPr="00BA5102">
        <w:rPr>
          <w:rtl/>
        </w:rPr>
        <w:t>בליל שני</w:t>
      </w:r>
      <w:r>
        <w:rPr>
          <w:rFonts w:hint="cs"/>
          <w:rtl/>
        </w:rPr>
        <w:t xml:space="preserve"> - </w:t>
      </w:r>
      <w:r w:rsidRPr="00BA5102">
        <w:rPr>
          <w:rtl/>
        </w:rPr>
        <w:t>קודם נט"י לסעודה</w:t>
      </w:r>
      <w:r>
        <w:rPr>
          <w:rFonts w:hint="cs"/>
          <w:rtl/>
        </w:rPr>
        <w:t>", משמע שמנהג חב"ד נשתנה בין שנת תש"ט לשנת תש"י, ואולי הלקוטי מנהגים דשנת תש"ט לאו מר בר רב אשי חתם עלי', ואולי יוכל מישהו מקוראי הגליון להאיר עיננו בזה].</w:t>
      </w:r>
    </w:p>
    <w:p w14:paraId="19C18278" w14:textId="77777777" w:rsidR="000672B7" w:rsidRDefault="000672B7" w:rsidP="00E60D97">
      <w:pPr>
        <w:pStyle w:val="a3"/>
        <w:rPr>
          <w:rtl/>
        </w:rPr>
      </w:pPr>
      <w:r>
        <w:rPr>
          <w:rFonts w:hint="cs"/>
          <w:rtl/>
        </w:rPr>
        <w:t>ולמה שינה הנהגתו בשנה זו? אולי יש לדורושו כמין חומר, דלכ' צ"ע למה נהגו בחב"ד לאכול התפוח בדבש לפני הסעודה הרי אין להפסיק בין קידוש לסעודה (ואכן מטעם זה שינו המנהג כמש"כ באג"ק כנ"ל, אבל צ"ע מעיקרא מאי קסבר)? ואולי נסתפקו אם התפוח שייך כ"כ לסעודה עד שאין לברך עליו בורא פרי העץ, ע"ד סברת התוס' לענין מרור (בברכות מב ריש ע"א) "כיון דרחמנא קבעיה חובה דכתיב על מצות ומרורים יאכלוהו הוי כמו דברים הרגילין לבוא מחמת הסעודה דפת פוטרתן", וה"נ כיון דחז"ל אמרו לאכול בליל ר"ה דברים לסימן טוב, והעיקר הוא תפוח בדבש א"כ הו"ל כמחמת סעודה ואין לברך עליו בורא פרי העץ.</w:t>
      </w:r>
    </w:p>
    <w:p w14:paraId="2FB70385" w14:textId="77777777" w:rsidR="000672B7" w:rsidRDefault="000672B7" w:rsidP="00E60D97">
      <w:pPr>
        <w:pStyle w:val="a3"/>
        <w:rPr>
          <w:rtl/>
        </w:rPr>
      </w:pPr>
      <w:r>
        <w:rPr>
          <w:rFonts w:hint="cs"/>
          <w:rtl/>
        </w:rPr>
        <w:t>ואין להקשות, מה איכפת לן לאכול התפוח בלי ברכה ראשונה? ראשית דאולי אינו דומה למרור</w:t>
      </w:r>
      <w:r w:rsidRPr="00A62DB9">
        <w:rPr>
          <w:rFonts w:hint="cs"/>
          <w:rtl/>
        </w:rPr>
        <w:t xml:space="preserve"> </w:t>
      </w:r>
      <w:r>
        <w:rPr>
          <w:rFonts w:hint="cs"/>
          <w:rtl/>
        </w:rPr>
        <w:t>"</w:t>
      </w:r>
      <w:r w:rsidRPr="00A62DB9">
        <w:rPr>
          <w:rFonts w:hint="cs"/>
          <w:bCs/>
          <w:rtl/>
        </w:rPr>
        <w:t>דרחמנא</w:t>
      </w:r>
      <w:r>
        <w:rPr>
          <w:rFonts w:hint="cs"/>
          <w:rtl/>
        </w:rPr>
        <w:t xml:space="preserve"> קבעיה חובה", וגם הרי רוצים שהברכה יחול גם על היהי רצון כמו ברכה הסמוכה לחברתה, (אג"ק ח"ג ע' קמ ואילך), ולכן יש קפידה להתחייב בברכת בורא פרי העץ.</w:t>
      </w:r>
    </w:p>
    <w:p w14:paraId="1B0EDB90" w14:textId="77777777" w:rsidR="000672B7" w:rsidRDefault="000672B7" w:rsidP="00E60D97">
      <w:pPr>
        <w:pStyle w:val="a3"/>
        <w:rPr>
          <w:rtl/>
        </w:rPr>
      </w:pPr>
      <w:r>
        <w:rPr>
          <w:rFonts w:hint="cs"/>
          <w:rtl/>
        </w:rPr>
        <w:t>ומעתה י"ל דבשנת תש"ב החליט מהריי"צ שהתפוח בדבש אינו כפירות שבאו לגרור לסעודה ומוטב לכויון שלא לפטור הליפתן שלא ליכנס למחלוקת הראשנים (כדעת אדה"ז כנ"ל), ושוב החליט דכיון שאינו כפירות שבאו לגרור לסעודה גם אם יאכלנו תוך הסעודה לא יפסיד ברכת בורא פרי העץ, ושינה המנהג לאכול התפוח בדבש תוך הסעודה כדי לא להפסיק בין קידוש לסעודה, (אבל הפרי חדש השאירו כמנהגו הקדום שהרי שייך לשהחיינו שבקידוש ומוטב להקדים אכילת הפרי חדש כל מה דאפשר).</w:t>
      </w:r>
      <w:r w:rsidRPr="0032051F">
        <w:rPr>
          <w:rFonts w:hint="cs"/>
          <w:rtl/>
        </w:rPr>
        <w:t xml:space="preserve"> </w:t>
      </w:r>
    </w:p>
    <w:p w14:paraId="2409D96A" w14:textId="77777777" w:rsidR="000672B7" w:rsidRPr="00EF139F" w:rsidRDefault="000672B7" w:rsidP="00E60D97">
      <w:pPr>
        <w:pStyle w:val="11"/>
        <w:rPr>
          <w:rtl/>
        </w:rPr>
      </w:pPr>
      <w:r w:rsidRPr="00EF139F">
        <w:rPr>
          <w:rFonts w:hint="cs"/>
          <w:rtl/>
        </w:rPr>
        <w:lastRenderedPageBreak/>
        <w:t>מנהג חב"ד הלכה למעשה</w:t>
      </w:r>
    </w:p>
    <w:p w14:paraId="28E67088" w14:textId="77777777" w:rsidR="000672B7" w:rsidRDefault="000672B7" w:rsidP="00E60D97">
      <w:pPr>
        <w:pStyle w:val="a3"/>
        <w:rPr>
          <w:rtl/>
        </w:rPr>
      </w:pPr>
      <w:r>
        <w:rPr>
          <w:rFonts w:hint="cs"/>
          <w:rtl/>
        </w:rPr>
        <w:t>ט. ועצ"ע:</w:t>
      </w:r>
    </w:p>
    <w:p w14:paraId="2B77CDA6" w14:textId="77777777" w:rsidR="000672B7" w:rsidRDefault="000672B7" w:rsidP="00E60D97">
      <w:pPr>
        <w:pStyle w:val="a3"/>
        <w:rPr>
          <w:rtl/>
        </w:rPr>
      </w:pPr>
      <w:r>
        <w:rPr>
          <w:rFonts w:hint="cs"/>
          <w:rtl/>
        </w:rPr>
        <w:t>א) הרי אדה"ז בסדר ברה"נ פסק לגמרי כהרא"ש שהבדלה פוטר יין שבסעודה (וא"צ לברך ב"א על יין הבדלה אם דעתו לשתות יין בסעודה), וגם לענין פירות כתב בסדר ברה"נ (פ"ד ה</w:t>
      </w:r>
      <w:r w:rsidRPr="00A23047">
        <w:rPr>
          <w:rtl/>
        </w:rPr>
        <w:t>י</w:t>
      </w:r>
      <w:r>
        <w:rPr>
          <w:rFonts w:hint="cs"/>
          <w:rtl/>
        </w:rPr>
        <w:t>"</w:t>
      </w:r>
      <w:r w:rsidRPr="00A23047">
        <w:rPr>
          <w:rtl/>
        </w:rPr>
        <w:t>ג</w:t>
      </w:r>
      <w:r>
        <w:rPr>
          <w:rFonts w:hint="cs"/>
          <w:rtl/>
        </w:rPr>
        <w:t>)</w:t>
      </w:r>
      <w:r w:rsidRPr="00A23047">
        <w:rPr>
          <w:rtl/>
        </w:rPr>
        <w:t xml:space="preserve"> </w:t>
      </w:r>
      <w:r>
        <w:rPr>
          <w:rFonts w:hint="cs"/>
          <w:rtl/>
        </w:rPr>
        <w:t>"</w:t>
      </w:r>
      <w:r w:rsidRPr="00A23047">
        <w:rPr>
          <w:rtl/>
        </w:rPr>
        <w:t>וכן מי שאוכל לפני הסעודה פרפראות כמו מיני מתיקה או מיני פירות לפתוח בני</w:t>
      </w:r>
      <w:r>
        <w:rPr>
          <w:rFonts w:hint="cs"/>
          <w:rtl/>
        </w:rPr>
        <w:t xml:space="preserve"> </w:t>
      </w:r>
      <w:r w:rsidRPr="00A23047">
        <w:rPr>
          <w:rtl/>
        </w:rPr>
        <w:t xml:space="preserve">מעיים ולגרר ולהמשיך הלב לאכילה </w:t>
      </w:r>
      <w:r>
        <w:rPr>
          <w:rFonts w:hint="cs"/>
          <w:rtl/>
        </w:rPr>
        <w:t xml:space="preserve">- </w:t>
      </w:r>
      <w:r w:rsidRPr="00C53642">
        <w:rPr>
          <w:bCs/>
          <w:rtl/>
        </w:rPr>
        <w:t>אף על פי שאין לו פרפראות אחר הסעודה</w:t>
      </w:r>
      <w:r w:rsidRPr="00C53642">
        <w:rPr>
          <w:rFonts w:hint="cs"/>
          <w:bCs/>
          <w:rtl/>
        </w:rPr>
        <w:t xml:space="preserve"> </w:t>
      </w:r>
      <w:r w:rsidRPr="00C53642">
        <w:rPr>
          <w:bCs/>
          <w:rtl/>
        </w:rPr>
        <w:t>לפוטרם</w:t>
      </w:r>
      <w:r w:rsidRPr="00C53642">
        <w:rPr>
          <w:rFonts w:hint="cs"/>
          <w:bCs/>
          <w:rtl/>
        </w:rPr>
        <w:t xml:space="preserve"> </w:t>
      </w:r>
      <w:r>
        <w:rPr>
          <w:rFonts w:hint="cs"/>
          <w:rtl/>
        </w:rPr>
        <w:t xml:space="preserve">- </w:t>
      </w:r>
      <w:r w:rsidRPr="00A23047">
        <w:rPr>
          <w:rtl/>
        </w:rPr>
        <w:t>אין צריך</w:t>
      </w:r>
      <w:r>
        <w:rPr>
          <w:rtl/>
        </w:rPr>
        <w:t xml:space="preserve"> לברך אחריהם לפני הסעודה </w:t>
      </w:r>
      <w:r w:rsidRPr="00A23047">
        <w:rPr>
          <w:rtl/>
        </w:rPr>
        <w:t>שנפטרין בברכת המזון כמו יין</w:t>
      </w:r>
      <w:r>
        <w:rPr>
          <w:rFonts w:hint="cs"/>
          <w:rtl/>
        </w:rPr>
        <w:t xml:space="preserve"> (לשתיה) שלפני הסעודה" , ומשמע דפשיטא לי' שאם יש לו פירות תוך סעודה הפירות שלפני הסעודה פוטר הפירות שתוך סעודה, וממילא אינו מברך עליהם ב"א לפני הסעודה כי יפטרו בברכת המזון (וראה שוע"ר סי' תעג סי"ז, קצות השולחן סי' לא ס"ג), והדרא קושי' לדוכתא למה מנהג חב"ד שלא לפטור הליפתן על ידי ברכת הפרי חדש?</w:t>
      </w:r>
    </w:p>
    <w:p w14:paraId="2E1934A5" w14:textId="77777777" w:rsidR="000672B7" w:rsidRDefault="000672B7" w:rsidP="00E60D97">
      <w:pPr>
        <w:pStyle w:val="a3"/>
        <w:rPr>
          <w:rtl/>
        </w:rPr>
      </w:pPr>
      <w:r>
        <w:rPr>
          <w:rFonts w:hint="cs"/>
          <w:rtl/>
        </w:rPr>
        <w:t>ב) הרי גם לתוס' "אחר שקבע עצמו לסעודה על השולחן" פוטר הבדלה את יין שבסעודה (שוע"ר סי' קעד ס"ה), ולכ' בליל ר"ה אחר קידוש כשיושב לאכול הפרי חדש הו"ל "אחר שקבע עצמו לסעודה על השולחן", א"כ גם לתוס' יפטור ברכת הפרי חדש את הליפתן?</w:t>
      </w:r>
    </w:p>
    <w:p w14:paraId="18056188" w14:textId="77777777" w:rsidR="000672B7" w:rsidRDefault="000672B7" w:rsidP="00E60D97">
      <w:pPr>
        <w:pStyle w:val="a3"/>
        <w:rPr>
          <w:rtl/>
        </w:rPr>
      </w:pPr>
      <w:r>
        <w:rPr>
          <w:rFonts w:hint="cs"/>
          <w:rtl/>
        </w:rPr>
        <w:t>ג) מהיכי תיתי לומר שהתפוח דינו כפירות שבאו לגרור ליבו לתאוות האכילה?</w:t>
      </w:r>
    </w:p>
    <w:p w14:paraId="217B4BBD" w14:textId="77777777" w:rsidR="000672B7" w:rsidRDefault="000672B7" w:rsidP="00E60D97">
      <w:pPr>
        <w:pStyle w:val="a3"/>
        <w:rPr>
          <w:rtl/>
        </w:rPr>
      </w:pPr>
      <w:r>
        <w:rPr>
          <w:rFonts w:hint="cs"/>
          <w:rtl/>
        </w:rPr>
        <w:t>ד) למה לא נהגו בליל הב' לכויון בפירוש שברכת העץ על הפרי חדש לא יפטור הליפתן?</w:t>
      </w:r>
      <w:r w:rsidRPr="00EF139F">
        <w:rPr>
          <w:rFonts w:hint="cs"/>
          <w:rtl/>
        </w:rPr>
        <w:t xml:space="preserve"> </w:t>
      </w:r>
    </w:p>
    <w:p w14:paraId="12156762" w14:textId="77777777" w:rsidR="000672B7" w:rsidRDefault="000672B7" w:rsidP="00E60D97">
      <w:pPr>
        <w:pStyle w:val="a3"/>
        <w:rPr>
          <w:rtl/>
        </w:rPr>
      </w:pPr>
      <w:r>
        <w:rPr>
          <w:rFonts w:hint="cs"/>
          <w:rtl/>
        </w:rPr>
        <w:t>וי"ל שאכן בליל הא' דר"ה נהגו כמו שפסק אדה"ז במשנה אחרונה שלו (בסדר ברה"נ) דפירות שלפני סעודה פוטרים פירות שתוך סעודה, וא"צ לברך ב"א על כל מה שאכל לפני סעודה (דלא כתוס').</w:t>
      </w:r>
    </w:p>
    <w:p w14:paraId="5A2BC649" w14:textId="77777777" w:rsidR="000672B7" w:rsidRDefault="000672B7" w:rsidP="00E60D97">
      <w:pPr>
        <w:pStyle w:val="a3"/>
        <w:rPr>
          <w:rtl/>
        </w:rPr>
      </w:pPr>
      <w:r>
        <w:rPr>
          <w:rFonts w:hint="cs"/>
          <w:rtl/>
        </w:rPr>
        <w:t>ומש"כ בהשיחה ש"</w:t>
      </w:r>
      <w:r w:rsidRPr="003A1DBE">
        <w:rPr>
          <w:rtl/>
        </w:rPr>
        <w:t>היו</w:t>
      </w:r>
      <w:r>
        <w:rPr>
          <w:rFonts w:hint="cs"/>
          <w:rtl/>
        </w:rPr>
        <w:t xml:space="preserve"> </w:t>
      </w:r>
      <w:r w:rsidRPr="003A1DBE">
        <w:rPr>
          <w:rtl/>
        </w:rPr>
        <w:t>מכוונים לצאת בברכה בורא פרי</w:t>
      </w:r>
      <w:r>
        <w:rPr>
          <w:rFonts w:hint="cs"/>
          <w:rtl/>
        </w:rPr>
        <w:t xml:space="preserve"> </w:t>
      </w:r>
      <w:r w:rsidRPr="003A1DBE">
        <w:rPr>
          <w:rtl/>
        </w:rPr>
        <w:t>העץ גם את הלפתן שבסוף</w:t>
      </w:r>
      <w:r>
        <w:rPr>
          <w:rFonts w:hint="cs"/>
          <w:rtl/>
        </w:rPr>
        <w:t xml:space="preserve"> </w:t>
      </w:r>
      <w:r w:rsidRPr="003A1DBE">
        <w:rPr>
          <w:rtl/>
        </w:rPr>
        <w:t>הסעודה</w:t>
      </w:r>
      <w:r>
        <w:rPr>
          <w:rFonts w:hint="cs"/>
          <w:rtl/>
        </w:rPr>
        <w:t>", נ"ל דהיינו משום שהליפתן לא היה על השולחן כשבירכו על התפוח, ובסדר ברה"נ (פ"ט</w:t>
      </w:r>
      <w:r w:rsidRPr="00B742A0">
        <w:rPr>
          <w:rtl/>
        </w:rPr>
        <w:t xml:space="preserve"> </w:t>
      </w:r>
      <w:r>
        <w:rPr>
          <w:rFonts w:hint="cs"/>
          <w:rtl/>
        </w:rPr>
        <w:t>ה"</w:t>
      </w:r>
      <w:r w:rsidRPr="00B742A0">
        <w:rPr>
          <w:rtl/>
        </w:rPr>
        <w:t>ה</w:t>
      </w:r>
      <w:r>
        <w:rPr>
          <w:rFonts w:hint="cs"/>
          <w:rtl/>
        </w:rPr>
        <w:t>)</w:t>
      </w:r>
      <w:r w:rsidRPr="00B742A0">
        <w:rPr>
          <w:rtl/>
        </w:rPr>
        <w:t xml:space="preserve"> </w:t>
      </w:r>
      <w:r>
        <w:rPr>
          <w:rFonts w:hint="cs"/>
          <w:rtl/>
        </w:rPr>
        <w:t>פסק "</w:t>
      </w:r>
      <w:r w:rsidRPr="00B742A0">
        <w:rPr>
          <w:rtl/>
        </w:rPr>
        <w:t>מי שבירך על הפירות שלפניו ואחר כך הביאו לו יותר...אם לא היתה דעתו עליו בשעת הברכה</w:t>
      </w:r>
      <w:r>
        <w:rPr>
          <w:rFonts w:hint="cs"/>
          <w:rtl/>
        </w:rPr>
        <w:t>,</w:t>
      </w:r>
      <w:r w:rsidRPr="00B742A0">
        <w:rPr>
          <w:rtl/>
        </w:rPr>
        <w:t xml:space="preserve"> אם השני הוא ממין הראשון ממש אינו</w:t>
      </w:r>
      <w:r>
        <w:rPr>
          <w:rFonts w:hint="cs"/>
          <w:rtl/>
        </w:rPr>
        <w:t xml:space="preserve"> </w:t>
      </w:r>
      <w:r w:rsidRPr="00B742A0">
        <w:rPr>
          <w:rtl/>
        </w:rPr>
        <w:t>צריך לחזור ולברך אפילו כלה המין הראשון</w:t>
      </w:r>
      <w:r>
        <w:rPr>
          <w:rFonts w:hint="cs"/>
          <w:rtl/>
        </w:rPr>
        <w:t>,</w:t>
      </w:r>
      <w:r w:rsidRPr="00B742A0">
        <w:rPr>
          <w:rtl/>
        </w:rPr>
        <w:t xml:space="preserve"> ואם אין מאותו המין אלא ששניהם</w:t>
      </w:r>
      <w:r>
        <w:rPr>
          <w:rFonts w:hint="cs"/>
          <w:rtl/>
        </w:rPr>
        <w:t xml:space="preserve"> </w:t>
      </w:r>
      <w:r>
        <w:rPr>
          <w:rtl/>
        </w:rPr>
        <w:t>מין פירות</w:t>
      </w:r>
      <w:r>
        <w:rPr>
          <w:rFonts w:hint="cs"/>
          <w:rtl/>
        </w:rPr>
        <w:t>...</w:t>
      </w:r>
      <w:r w:rsidRPr="00B742A0">
        <w:rPr>
          <w:rtl/>
        </w:rPr>
        <w:t>אם יש עדיין לפניו ממין הראשון אינו צריך לברך</w:t>
      </w:r>
      <w:r>
        <w:rPr>
          <w:rFonts w:hint="cs"/>
          <w:rtl/>
        </w:rPr>
        <w:t>...</w:t>
      </w:r>
      <w:r w:rsidRPr="007C0759">
        <w:rPr>
          <w:rtl/>
        </w:rPr>
        <w:t>ויש אומרים שאף על פי שהביאו לפניו ממין הראשון ולא אכל הראשון עדיין צריך</w:t>
      </w:r>
      <w:r>
        <w:rPr>
          <w:rFonts w:hint="cs"/>
          <w:rtl/>
        </w:rPr>
        <w:t xml:space="preserve"> </w:t>
      </w:r>
      <w:r w:rsidRPr="007C0759">
        <w:rPr>
          <w:rtl/>
        </w:rPr>
        <w:t>לחזור ולברך אם לא היתה דעתו עליו</w:t>
      </w:r>
      <w:r>
        <w:rPr>
          <w:rFonts w:hint="cs"/>
          <w:rtl/>
        </w:rPr>
        <w:t>,</w:t>
      </w:r>
      <w:r w:rsidRPr="007C0759">
        <w:rPr>
          <w:rtl/>
        </w:rPr>
        <w:t xml:space="preserve"> וספק ברכות להקל</w:t>
      </w:r>
      <w:r>
        <w:rPr>
          <w:rFonts w:hint="cs"/>
          <w:rtl/>
        </w:rPr>
        <w:t>,</w:t>
      </w:r>
      <w:r w:rsidRPr="007C0759">
        <w:rPr>
          <w:rtl/>
        </w:rPr>
        <w:t xml:space="preserve"> ולכתחלה טוב ליזהר</w:t>
      </w:r>
      <w:r>
        <w:rPr>
          <w:rFonts w:hint="cs"/>
          <w:rtl/>
        </w:rPr>
        <w:t xml:space="preserve"> </w:t>
      </w:r>
      <w:r w:rsidRPr="007C0759">
        <w:rPr>
          <w:rtl/>
        </w:rPr>
        <w:t xml:space="preserve">להיות דעתו על כל מה </w:t>
      </w:r>
      <w:r w:rsidRPr="007C0759">
        <w:rPr>
          <w:rtl/>
        </w:rPr>
        <w:lastRenderedPageBreak/>
        <w:t>שיביאו לו</w:t>
      </w:r>
      <w:r>
        <w:rPr>
          <w:rFonts w:hint="cs"/>
          <w:rtl/>
        </w:rPr>
        <w:t>", ולכן היו מכוונים בברכת התפוח גם על הליפתן</w:t>
      </w:r>
      <w:r>
        <w:rPr>
          <w:rStyle w:val="FootnoteReference"/>
          <w:rFonts w:asciiTheme="minorBidi" w:hAnsiTheme="minorBidi" w:cs="Arial"/>
          <w:rtl/>
        </w:rPr>
        <w:footnoteReference w:id="88"/>
      </w:r>
      <w:r>
        <w:rPr>
          <w:rFonts w:hint="cs"/>
          <w:rtl/>
        </w:rPr>
        <w:t xml:space="preserve">. </w:t>
      </w:r>
    </w:p>
    <w:p w14:paraId="5C62B463" w14:textId="77777777" w:rsidR="000672B7" w:rsidRDefault="000672B7" w:rsidP="00E60D97">
      <w:pPr>
        <w:pStyle w:val="a3"/>
        <w:rPr>
          <w:rtl/>
        </w:rPr>
      </w:pPr>
      <w:r>
        <w:rPr>
          <w:rFonts w:hint="cs"/>
          <w:rtl/>
        </w:rPr>
        <w:t>[ואולי לזה נהג הרבי בשנת תשכ"ז ש</w:t>
      </w:r>
      <w:r w:rsidRPr="00B4459E">
        <w:rPr>
          <w:rtl/>
        </w:rPr>
        <w:t>את החתיכה</w:t>
      </w:r>
      <w:r>
        <w:rPr>
          <w:rFonts w:hint="cs"/>
          <w:rtl/>
        </w:rPr>
        <w:t xml:space="preserve"> </w:t>
      </w:r>
      <w:r w:rsidRPr="00B4459E">
        <w:rPr>
          <w:rtl/>
        </w:rPr>
        <w:t xml:space="preserve">שנותרה </w:t>
      </w:r>
      <w:r>
        <w:rPr>
          <w:rFonts w:hint="cs"/>
          <w:rtl/>
        </w:rPr>
        <w:t>מתפוח היה מ</w:t>
      </w:r>
      <w:r>
        <w:rPr>
          <w:rtl/>
        </w:rPr>
        <w:t>ניח בקערה של הליפתן</w:t>
      </w:r>
      <w:r>
        <w:rPr>
          <w:rFonts w:hint="cs"/>
          <w:rtl/>
        </w:rPr>
        <w:t xml:space="preserve"> ו</w:t>
      </w:r>
      <w:r>
        <w:rPr>
          <w:rtl/>
        </w:rPr>
        <w:t>ב</w:t>
      </w:r>
      <w:r>
        <w:rPr>
          <w:rFonts w:hint="cs"/>
          <w:rtl/>
        </w:rPr>
        <w:t>ס</w:t>
      </w:r>
      <w:r>
        <w:rPr>
          <w:rtl/>
        </w:rPr>
        <w:t>וף ה</w:t>
      </w:r>
      <w:r>
        <w:rPr>
          <w:rFonts w:hint="cs"/>
          <w:rtl/>
        </w:rPr>
        <w:t>ס</w:t>
      </w:r>
      <w:r w:rsidRPr="00B4459E">
        <w:rPr>
          <w:rtl/>
        </w:rPr>
        <w:t>עודה אכל בתחילה</w:t>
      </w:r>
      <w:r>
        <w:rPr>
          <w:rtl/>
        </w:rPr>
        <w:t xml:space="preserve"> את התפו</w:t>
      </w:r>
      <w:r>
        <w:rPr>
          <w:rFonts w:hint="cs"/>
          <w:rtl/>
        </w:rPr>
        <w:t>ח</w:t>
      </w:r>
      <w:r>
        <w:rPr>
          <w:rtl/>
        </w:rPr>
        <w:t xml:space="preserve"> וא</w:t>
      </w:r>
      <w:r>
        <w:rPr>
          <w:rFonts w:hint="cs"/>
          <w:rtl/>
        </w:rPr>
        <w:t>ח</w:t>
      </w:r>
      <w:r w:rsidRPr="00B4459E">
        <w:rPr>
          <w:rtl/>
        </w:rPr>
        <w:t>ר כך את הליפתן</w:t>
      </w:r>
      <w:r>
        <w:rPr>
          <w:rFonts w:hint="cs"/>
          <w:rtl/>
        </w:rPr>
        <w:t>, ליתר שאת, כיון שהליפתן אינו אותו המין ממש, דהליפתן אינו רק תפוחים אלא תערובת של כמה מיני פירות, וגם הוא פירות שנתבשלו ואינם אותו המין דפירות חיים, ולכן השאיר לפניו מפרי הראשון דאז ברכת אותו הפרי פוטר שאר הפירות, ואולי אותו שנה לא כיון על הליפתן בשעת שבירך על התפוח.</w:t>
      </w:r>
    </w:p>
    <w:p w14:paraId="51AF19F2" w14:textId="77777777" w:rsidR="000672B7" w:rsidRDefault="000672B7" w:rsidP="00E60D97">
      <w:pPr>
        <w:pStyle w:val="a3"/>
        <w:rPr>
          <w:rtl/>
        </w:rPr>
      </w:pPr>
      <w:r>
        <w:rPr>
          <w:rFonts w:hint="cs"/>
          <w:rtl/>
        </w:rPr>
        <w:t>שאלה: האם ידוע מה היה הנהגת הרבי בזה בכל השנים?].</w:t>
      </w:r>
    </w:p>
    <w:p w14:paraId="45834CE7" w14:textId="77777777" w:rsidR="000672B7" w:rsidRDefault="000672B7" w:rsidP="00E60D97">
      <w:pPr>
        <w:pStyle w:val="a3"/>
        <w:rPr>
          <w:rtl/>
        </w:rPr>
      </w:pPr>
      <w:r>
        <w:rPr>
          <w:rFonts w:hint="cs"/>
          <w:rtl/>
        </w:rPr>
        <w:t>ובשנת תש"ב עשה מהריי"צ יוצא מהכלל, ואולי עשה כמשנה הראשונה של אדה"ז שלפי התוס' צריך לברך ב"א על כל אוכלין לפני הסעודה,</w:t>
      </w:r>
      <w:r w:rsidRPr="007F663A">
        <w:rPr>
          <w:rFonts w:hint="cs"/>
          <w:rtl/>
        </w:rPr>
        <w:t xml:space="preserve"> </w:t>
      </w:r>
      <w:r>
        <w:rPr>
          <w:rFonts w:hint="cs"/>
          <w:rtl/>
        </w:rPr>
        <w:t xml:space="preserve">וכדי לצאת מהמחלוקת כיון לא להוציא הליפתן בברכת התפוח ואז לכו"ע צריך לברך ב"א לפני הסעודה, והגם שאדה"ז פסק שגם להתוס' אם הבדיל אחר שקבע עצמו לסעודה פוטר יין שבסעודה, יש לדחוק שס"ל למהריי"צ שקידוש לא נחשב כקבע עצמו לסעודה, ואולי יש בזה הסבר אחר, עכ"פ כיון שהיה יוצא מהכלל מהנהגתו בשאר השנים אין ללמד מזה למעשה. </w:t>
      </w:r>
    </w:p>
    <w:p w14:paraId="592A1AA6" w14:textId="77777777" w:rsidR="000672B7" w:rsidRDefault="000672B7" w:rsidP="00E60D97">
      <w:pPr>
        <w:pStyle w:val="a3"/>
        <w:rPr>
          <w:rtl/>
        </w:rPr>
      </w:pPr>
      <w:r>
        <w:rPr>
          <w:rFonts w:hint="cs"/>
          <w:rtl/>
        </w:rPr>
        <w:t>ובליל הב' דר"ה ס"ל שהפרי חדש גרע טפי שהרי אינו בא אלא לברכת שהחיינו, והוא משום שאינו בא לאכילה כלל, ששייך לברך שהחיינו רק על ראיית הפרי חדש ולא על אכילתו (כנ"ל), וגם יש הפסק רב בין קודם המזון ללאחר המזון, ובזה לכו"ע אין בדין שיפטור אכילה גרוע את אכילה החשובה, והוא כ"כ גרוע שאפי' כיון בפירוש לצאת לא מהני (כמש"כ לעיל אות ב), ומדוייק בזה הלשון בהשיחה (ר"ה תש"ב ור"ה תש"ה) "</w:t>
      </w:r>
      <w:r w:rsidRPr="007249CD">
        <w:rPr>
          <w:rtl/>
        </w:rPr>
        <w:t>בענין ברכת בורא פרי העץ</w:t>
      </w:r>
      <w:r>
        <w:rPr>
          <w:rFonts w:hint="cs"/>
          <w:rtl/>
        </w:rPr>
        <w:t>...</w:t>
      </w:r>
      <w:r w:rsidRPr="007249CD">
        <w:rPr>
          <w:rtl/>
        </w:rPr>
        <w:t xml:space="preserve">ישנה </w:t>
      </w:r>
      <w:r w:rsidRPr="00F765F8">
        <w:rPr>
          <w:bCs/>
          <w:rtl/>
        </w:rPr>
        <w:t>למדנות</w:t>
      </w:r>
      <w:r>
        <w:rPr>
          <w:rFonts w:hint="cs"/>
          <w:rtl/>
        </w:rPr>
        <w:t xml:space="preserve"> </w:t>
      </w:r>
      <w:r w:rsidRPr="007249CD">
        <w:rPr>
          <w:rtl/>
        </w:rPr>
        <w:t>גדולה</w:t>
      </w:r>
      <w:r>
        <w:rPr>
          <w:rFonts w:hint="cs"/>
          <w:rtl/>
        </w:rPr>
        <w:t>", ולא כמו שהעתיק בספר המנהגים שיש בזה פלוגתתא, כי יש סברה בלמדות לומר דלכו"ע הליפתן אינו נפטר בברכת הפרי חדש.</w:t>
      </w:r>
      <w:r w:rsidRPr="009C2ECB">
        <w:rPr>
          <w:rFonts w:hint="cs"/>
          <w:rtl/>
        </w:rPr>
        <w:t xml:space="preserve"> </w:t>
      </w:r>
    </w:p>
    <w:p w14:paraId="3F4D3F40" w14:textId="77777777" w:rsidR="000672B7" w:rsidRDefault="000672B7" w:rsidP="00E60D97">
      <w:pPr>
        <w:pStyle w:val="a3"/>
        <w:rPr>
          <w:rtl/>
        </w:rPr>
      </w:pPr>
      <w:r>
        <w:rPr>
          <w:rFonts w:hint="cs"/>
          <w:rtl/>
        </w:rPr>
        <w:t>מסקנה לדינא: בליל הא' דר"ה מכוונים בברכת התפוח לפטור גם פירות שבסעודה, וזהו גם להנוהגים לאכול התפוח לפני ברכת המוציא, ובליל הב' אין הברכה שעל הפרי חדש פוטר הפירות שבסעודה (ואין צריך שום כוונה בזה), אלא שהמנהג לאכול כשיעור כדי שיוכל לברך ב"א על הפרי, והעיר בזה הר"ר יואל שי' בריעף שבזמננו ישנם כאלו שבליל ב' דר"ה אוכלים כו"כ מיני פירות משובחים (לא כמו בליובאוויטש שבקושי השיגו איזה פרי חמוץ לשהחיינו), ונעשה כמעט כמו מסיבת ט"ו בשבט, א"כ אינו אכילה גרועה ופוטר פירות שבסעודה, ודפח"ח.</w:t>
      </w:r>
    </w:p>
    <w:p w14:paraId="11805823" w14:textId="77777777" w:rsidR="000672B7" w:rsidRDefault="000672B7" w:rsidP="00E60D97">
      <w:pPr>
        <w:pStyle w:val="a3"/>
        <w:rPr>
          <w:rtl/>
        </w:rPr>
      </w:pPr>
      <w:r>
        <w:rPr>
          <w:rFonts w:hint="cs"/>
          <w:rtl/>
        </w:rPr>
        <w:lastRenderedPageBreak/>
        <w:t>ובכל ימות השנה, האוכל פירות או פרפראות לפני סעודה (כמו שרגילין בחתונות או בסעודות גדולות), אם מתכוין לאכלם כדי לגרור תאוות האכילה או שיודע שיאכל פירות בסעודה כמו ליפתן וכיו"ב, ה"ה פוטר הפירות או הפרפראות שבסעודה וממילא נפטרים בברכת המזון, אבל אם אינו אוכלם לגורר הלב ואינו יודע שיאכל פירות בסעודה צריך לברך ב"א לפני שמתחיל הסעודה, ויוצא מהכלל הזה הוא באכילה גרוע (כמו פרי שהחיינו בליל הב' דר"ה) שאינו פוטר פירות שבסעודה (ואפי' מתכוין בפירוש לפטר פירות שבסעודה).</w:t>
      </w:r>
    </w:p>
    <w:p w14:paraId="03C2010C" w14:textId="342983B0" w:rsidR="000672B7" w:rsidRDefault="000672B7" w:rsidP="00E60D97">
      <w:pPr>
        <w:pStyle w:val="a3"/>
        <w:rPr>
          <w:rtl/>
        </w:rPr>
      </w:pPr>
      <w:r>
        <w:rPr>
          <w:rFonts w:hint="cs"/>
          <w:rtl/>
        </w:rPr>
        <w:t xml:space="preserve">וה"נ ביין שלפני הסעודה, אלא שביין משמע דבסתמא אמרינן שהוא לגרור הלב לאכילה, ויוצא מהכלל הזה הוא הבדלה שאינו לגרור הלב לאכילה, ומ"מ מי ששותה יין בסתם סעודה גם הבדלה פוטר יין שבסעודה. </w:t>
      </w:r>
    </w:p>
    <w:p w14:paraId="37ADC517" w14:textId="77777777" w:rsidR="00341C90" w:rsidRPr="009C2ECB" w:rsidRDefault="00341C90" w:rsidP="00E60D97">
      <w:pPr>
        <w:pStyle w:val="a3"/>
        <w:rPr>
          <w:rtl/>
        </w:rPr>
      </w:pPr>
    </w:p>
    <w:p w14:paraId="126CDADA" w14:textId="7514A5CC" w:rsidR="00341C90" w:rsidRPr="0032051F" w:rsidRDefault="000672B7" w:rsidP="00E60D97">
      <w:pPr>
        <w:pStyle w:val="11"/>
        <w:rPr>
          <w:rtl/>
        </w:rPr>
      </w:pPr>
      <w:r w:rsidRPr="0032051F">
        <w:rPr>
          <w:rFonts w:hint="cs"/>
          <w:rtl/>
        </w:rPr>
        <w:t xml:space="preserve">תפוח ורימון ע"ד דרוש </w:t>
      </w:r>
    </w:p>
    <w:p w14:paraId="046EC301" w14:textId="77777777" w:rsidR="000672B7" w:rsidRDefault="000672B7" w:rsidP="00E60D97">
      <w:pPr>
        <w:pStyle w:val="a3"/>
        <w:rPr>
          <w:rtl/>
        </w:rPr>
      </w:pPr>
      <w:r>
        <w:rPr>
          <w:rFonts w:hint="cs"/>
          <w:rtl/>
        </w:rPr>
        <w:t>י. כתב בספר אוצר מנהגי חב"ד (ע' עט) "</w:t>
      </w:r>
      <w:r>
        <w:rPr>
          <w:rtl/>
        </w:rPr>
        <w:t xml:space="preserve">בלילה הראשון דראש השנה מברך </w:t>
      </w:r>
      <w:r>
        <w:rPr>
          <w:rFonts w:hint="cs"/>
          <w:rtl/>
        </w:rPr>
        <w:t>ת</w:t>
      </w:r>
      <w:r w:rsidRPr="007014FF">
        <w:rPr>
          <w:rtl/>
        </w:rPr>
        <w:t>חילה על התפוח אף אם מונחים</w:t>
      </w:r>
      <w:r>
        <w:rPr>
          <w:rFonts w:hint="cs"/>
          <w:rtl/>
        </w:rPr>
        <w:t xml:space="preserve"> </w:t>
      </w:r>
      <w:r>
        <w:rPr>
          <w:rtl/>
        </w:rPr>
        <w:t>לפניו פירות אחרים משבעה המינים</w:t>
      </w:r>
      <w:r>
        <w:rPr>
          <w:rFonts w:hint="cs"/>
          <w:rtl/>
        </w:rPr>
        <w:t>, (הו</w:t>
      </w:r>
      <w:r>
        <w:rPr>
          <w:rtl/>
        </w:rPr>
        <w:t xml:space="preserve">ראת </w:t>
      </w:r>
      <w:r>
        <w:rPr>
          <w:rFonts w:hint="cs"/>
          <w:rtl/>
        </w:rPr>
        <w:t>כ"ק</w:t>
      </w:r>
      <w:r>
        <w:rPr>
          <w:rtl/>
        </w:rPr>
        <w:t xml:space="preserve"> א</w:t>
      </w:r>
      <w:r>
        <w:rPr>
          <w:rFonts w:hint="cs"/>
          <w:rtl/>
        </w:rPr>
        <w:t>ד</w:t>
      </w:r>
      <w:r>
        <w:rPr>
          <w:rtl/>
        </w:rPr>
        <w:t>מ</w:t>
      </w:r>
      <w:r>
        <w:rPr>
          <w:rFonts w:hint="cs"/>
          <w:rtl/>
        </w:rPr>
        <w:t>ו"</w:t>
      </w:r>
      <w:r w:rsidRPr="007014FF">
        <w:rPr>
          <w:rtl/>
        </w:rPr>
        <w:t>ר זי</w:t>
      </w:r>
      <w:r>
        <w:rPr>
          <w:rFonts w:hint="cs"/>
          <w:rtl/>
        </w:rPr>
        <w:t>"</w:t>
      </w:r>
      <w:r>
        <w:rPr>
          <w:rtl/>
        </w:rPr>
        <w:t>ע</w:t>
      </w:r>
      <w:r>
        <w:rPr>
          <w:rFonts w:hint="cs"/>
          <w:rtl/>
        </w:rPr>
        <w:t>)...</w:t>
      </w:r>
      <w:r>
        <w:rPr>
          <w:rtl/>
        </w:rPr>
        <w:t>ו</w:t>
      </w:r>
      <w:r>
        <w:rPr>
          <w:rFonts w:hint="cs"/>
          <w:rtl/>
        </w:rPr>
        <w:t>מעשה רב</w:t>
      </w:r>
      <w:r>
        <w:rPr>
          <w:rtl/>
        </w:rPr>
        <w:t xml:space="preserve"> ד</w:t>
      </w:r>
      <w:r>
        <w:rPr>
          <w:rFonts w:hint="cs"/>
          <w:rtl/>
        </w:rPr>
        <w:t>כ</w:t>
      </w:r>
      <w:r w:rsidRPr="007014FF">
        <w:rPr>
          <w:rtl/>
        </w:rPr>
        <w:t>"ק אדמו"ר זי"ע שבלילה הראשון דראש השנה דשנת</w:t>
      </w:r>
      <w:r>
        <w:rPr>
          <w:rFonts w:hint="cs"/>
          <w:rtl/>
        </w:rPr>
        <w:t xml:space="preserve"> </w:t>
      </w:r>
      <w:r w:rsidRPr="007014FF">
        <w:rPr>
          <w:rtl/>
        </w:rPr>
        <w:t>תש"</w:t>
      </w:r>
      <w:r>
        <w:rPr>
          <w:rtl/>
        </w:rPr>
        <w:t>ל ביקש שיגישו רימונים לשולחן המ</w:t>
      </w:r>
      <w:r>
        <w:rPr>
          <w:rFonts w:hint="cs"/>
          <w:rtl/>
        </w:rPr>
        <w:t>ת</w:t>
      </w:r>
      <w:r>
        <w:rPr>
          <w:rtl/>
        </w:rPr>
        <w:t xml:space="preserve">ין עד שהביאום </w:t>
      </w:r>
      <w:r>
        <w:rPr>
          <w:rFonts w:hint="cs"/>
          <w:rtl/>
        </w:rPr>
        <w:t>ו</w:t>
      </w:r>
      <w:r w:rsidRPr="007014FF">
        <w:rPr>
          <w:rtl/>
        </w:rPr>
        <w:t>רק אז בירך</w:t>
      </w:r>
      <w:r>
        <w:rPr>
          <w:rFonts w:hint="cs"/>
          <w:rtl/>
        </w:rPr>
        <w:t xml:space="preserve"> </w:t>
      </w:r>
      <w:r w:rsidRPr="007014FF">
        <w:rPr>
          <w:rtl/>
        </w:rPr>
        <w:t xml:space="preserve">על התפוח ואכלו </w:t>
      </w:r>
      <w:r>
        <w:rPr>
          <w:rFonts w:hint="cs"/>
          <w:rtl/>
        </w:rPr>
        <w:t>(</w:t>
      </w:r>
      <w:r>
        <w:rPr>
          <w:rtl/>
        </w:rPr>
        <w:t>מלך במ</w:t>
      </w:r>
      <w:r>
        <w:rPr>
          <w:rFonts w:hint="cs"/>
          <w:rtl/>
        </w:rPr>
        <w:t>ס</w:t>
      </w:r>
      <w:r w:rsidRPr="007014FF">
        <w:rPr>
          <w:rtl/>
        </w:rPr>
        <w:t>יבו ב עמ' יג</w:t>
      </w:r>
      <w:r>
        <w:rPr>
          <w:rFonts w:hint="cs"/>
          <w:rtl/>
        </w:rPr>
        <w:t>)".</w:t>
      </w:r>
    </w:p>
    <w:p w14:paraId="283BA467" w14:textId="77777777" w:rsidR="000672B7" w:rsidRDefault="000672B7" w:rsidP="00E60D97">
      <w:pPr>
        <w:pStyle w:val="a3"/>
        <w:rPr>
          <w:rtl/>
        </w:rPr>
      </w:pPr>
      <w:r>
        <w:rPr>
          <w:rFonts w:hint="cs"/>
          <w:rtl/>
        </w:rPr>
        <w:t>ונ"ל ע"ד הדרוש, דיעויין בשיחה הידוע על טנק מבצעים (לקו"ש חט"ז ע' 336 ואילך) שיש שני סוגי יהודים, יהודי תפוח ויהודי רמון, יהודי תפוח הוא כמו שיהודי עומד ברום המעלות, ויהודי רמון הוא כשנמצא בשפל המצב דמ"מ אפי' ריקנין שבך מלאים מצות (ברכות נז א), ולכן כל השנה הכהן גדול נכנס לבית המקדש עם מעיל שיש בו רימונים שמשמיע קול, והוא הקול רעש גדול דבעלי תשובה, אבל ביום כיפורים כל יהודי נעשה קרוב ומתגלה בו התקשרותו העצמית עם השי"ת, ולכן כשנכנס לפני ולפנים אינו לובש המעיל אלא נכנס בקול דממה דקה.</w:t>
      </w:r>
    </w:p>
    <w:p w14:paraId="131ECF40" w14:textId="053CD055" w:rsidR="000672B7" w:rsidRDefault="000672B7" w:rsidP="00E60D97">
      <w:pPr>
        <w:pStyle w:val="a3"/>
        <w:rPr>
          <w:rtl/>
        </w:rPr>
      </w:pPr>
      <w:r>
        <w:rPr>
          <w:rFonts w:hint="cs"/>
          <w:rtl/>
        </w:rPr>
        <w:t>וה"נ בליל ר"ה שצריך להדגיש הזכות דכלל ישראל, ובפרט הדברים שאוכלים לסימן טוב, שמקדימין התפוח שמרמז שכל יהודי הוא בבחינת תפוח, ובברכה זו פוטרים גם הרימון, ואפי' הקאמפאט נפטר בברכה זו</w:t>
      </w:r>
      <w:r>
        <w:rPr>
          <w:rStyle w:val="FootnoteReference"/>
          <w:rFonts w:asciiTheme="minorBidi" w:hAnsiTheme="minorBidi" w:cs="Arial"/>
          <w:rtl/>
        </w:rPr>
        <w:footnoteReference w:id="89"/>
      </w:r>
      <w:r>
        <w:rPr>
          <w:rFonts w:hint="cs"/>
          <w:rtl/>
        </w:rPr>
        <w:t>.</w:t>
      </w:r>
    </w:p>
    <w:p w14:paraId="09110C32" w14:textId="5FB21A33" w:rsidR="0072178A" w:rsidRDefault="0072178A" w:rsidP="00492226">
      <w:pPr>
        <w:pStyle w:val="M"/>
        <w:rPr>
          <w:rtl/>
        </w:rPr>
      </w:pPr>
      <w:r>
        <w:rPr>
          <w:noProof/>
        </w:rPr>
        <w:drawing>
          <wp:inline distT="0" distB="0" distL="0" distR="0" wp14:anchorId="1BCB5E0D" wp14:editId="63E3D57D">
            <wp:extent cx="875763" cy="23404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EA3F2C3" w14:textId="345A044A" w:rsidR="0046124A" w:rsidRPr="0046124A" w:rsidRDefault="0046124A" w:rsidP="0046124A">
      <w:pPr>
        <w:pStyle w:val="a0"/>
        <w:rPr>
          <w:rtl/>
        </w:rPr>
      </w:pPr>
      <w:bookmarkStart w:id="158" w:name="_Toc81540425"/>
      <w:r w:rsidRPr="007D1B24">
        <w:rPr>
          <w:rFonts w:hint="cs"/>
          <w:rtl/>
        </w:rPr>
        <w:lastRenderedPageBreak/>
        <w:t>איסור שבות לענין שופר וגזירה דרבה</w:t>
      </w:r>
      <w:bookmarkEnd w:id="158"/>
    </w:p>
    <w:p w14:paraId="1DABB7AD" w14:textId="4BA88B24" w:rsidR="0046124A" w:rsidRDefault="0046124A" w:rsidP="0046124A">
      <w:pPr>
        <w:pStyle w:val="a"/>
        <w:rPr>
          <w:rtl/>
        </w:rPr>
      </w:pPr>
      <w:bookmarkStart w:id="159" w:name="_Toc81540426"/>
      <w:r>
        <w:rPr>
          <w:rFonts w:hint="cs"/>
          <w:rtl/>
        </w:rPr>
        <w:t xml:space="preserve">הרב אליהו נתן הכהן </w:t>
      </w:r>
      <w:r w:rsidRPr="00C60FEE">
        <w:rPr>
          <w:rFonts w:hint="cs"/>
          <w:rtl/>
        </w:rPr>
        <w:t>סילבערבערג</w:t>
      </w:r>
      <w:bookmarkEnd w:id="159"/>
    </w:p>
    <w:p w14:paraId="52C6BAF3" w14:textId="32B99CD8" w:rsidR="0046124A" w:rsidRDefault="0046124A" w:rsidP="0046124A">
      <w:pPr>
        <w:pStyle w:val="a1"/>
        <w:rPr>
          <w:rtl/>
        </w:rPr>
      </w:pPr>
      <w:r>
        <w:rPr>
          <w:rFonts w:hint="cs"/>
          <w:rtl/>
        </w:rPr>
        <w:t>ראש מתיבתא ליובאוויטש דשיקאגא</w:t>
      </w:r>
    </w:p>
    <w:p w14:paraId="3A580AA6" w14:textId="77777777" w:rsidR="0046124A" w:rsidRPr="0046124A" w:rsidRDefault="0046124A" w:rsidP="0046124A">
      <w:pPr>
        <w:pStyle w:val="a3"/>
        <w:rPr>
          <w:rtl/>
        </w:rPr>
      </w:pPr>
      <w:r>
        <w:rPr>
          <w:rFonts w:hint="cs"/>
          <w:rtl/>
        </w:rPr>
        <w:t>א. כתב ה</w:t>
      </w:r>
      <w:r w:rsidRPr="007D1B24">
        <w:rPr>
          <w:rtl/>
        </w:rPr>
        <w:t xml:space="preserve">רמב"ם </w:t>
      </w:r>
      <w:r>
        <w:rPr>
          <w:rFonts w:hint="cs"/>
          <w:rtl/>
        </w:rPr>
        <w:t>(</w:t>
      </w:r>
      <w:r>
        <w:rPr>
          <w:rtl/>
        </w:rPr>
        <w:t>הלכות שופר פ</w:t>
      </w:r>
      <w:r>
        <w:rPr>
          <w:rFonts w:hint="cs"/>
          <w:rtl/>
        </w:rPr>
        <w:t>"</w:t>
      </w:r>
      <w:r w:rsidRPr="007D1B24">
        <w:rPr>
          <w:rtl/>
        </w:rPr>
        <w:t>א ה</w:t>
      </w:r>
      <w:r w:rsidRPr="0046124A">
        <w:rPr>
          <w:rtl/>
        </w:rPr>
        <w:t>"ד): "שופר של ראש השנה אין מחללין עליו את יום טוב ואפילו בדבר שהוא משום שבות. כיצד היה השופר בראש האילן או מעבר הנהר ואין לו שופר אלא הוא, אינו עולה באילן ולא שט על פני המים כדי להביאו, ואין צריך לומר שאין חותכין אותו ואין עושין בו מלאכה, מפני שתקיעת שופר מצות עשה ויו"ט עשה ולא תעשה ואין עשה דוחה לא תעשה ועשה".</w:t>
      </w:r>
    </w:p>
    <w:p w14:paraId="5E9D58FF" w14:textId="77777777" w:rsidR="0046124A" w:rsidRPr="0046124A" w:rsidRDefault="0046124A" w:rsidP="0046124A">
      <w:pPr>
        <w:pStyle w:val="a3"/>
        <w:rPr>
          <w:rtl/>
        </w:rPr>
      </w:pPr>
      <w:r w:rsidRPr="0046124A">
        <w:rPr>
          <w:rtl/>
        </w:rPr>
        <w:t>ואף דלכאורה סברא זו – שאין עשה דוחה ל"ת ועשה – מבאר רק מדוע לא עוברים איסור דאורייתא עבור תק"ש אבל מדוע אין עוברים על שבות בשביל המצוה? כבר ביאר הכס"מ "וחכמים עשו חזוק לדבריהם הכא כשל תורה, דכיון דלא דחי מלאכה דאורייתא אף שבות דדבריהם לא ידחה".</w:t>
      </w:r>
    </w:p>
    <w:p w14:paraId="556C0E8B" w14:textId="77777777" w:rsidR="0046124A" w:rsidRPr="0046124A" w:rsidRDefault="0046124A" w:rsidP="0046124A">
      <w:pPr>
        <w:pStyle w:val="a3"/>
        <w:rPr>
          <w:rtl/>
        </w:rPr>
      </w:pPr>
      <w:r w:rsidRPr="0046124A">
        <w:rPr>
          <w:rtl/>
        </w:rPr>
        <w:t xml:space="preserve">אמנם להלן בפ"ב (ה"ו) כתב הרמב"ם דברים שנראים כסותרים לכלל זה: "יום טוב של ראש השנה שחל להיות בשבת אין תוקעין בשופר בכל מקום, </w:t>
      </w:r>
      <w:r w:rsidRPr="0046124A">
        <w:rPr>
          <w:bCs/>
          <w:rtl/>
        </w:rPr>
        <w:t>אע"פ שהתקיעה משום שבות ומן הדין היה שתוקעין יבא עשה של תורה וידחה שבות של דבריהם ולמה אין תוקעין,</w:t>
      </w:r>
      <w:r w:rsidRPr="0046124A">
        <w:rPr>
          <w:rtl/>
        </w:rPr>
        <w:t xml:space="preserve"> גזירה שמא יטלנו בידו ויוליכנו למי שיתקע לו ויעבירנו ארבע אמות ברשות הרבים, או מוציאו מרשות לרשות ויבא לידי איסור סקילה, שהכל חייבים בתקיעה ואין הכל בקיאין לתקוע".</w:t>
      </w:r>
    </w:p>
    <w:p w14:paraId="2D76D785" w14:textId="77777777" w:rsidR="0046124A" w:rsidRPr="0046124A" w:rsidRDefault="0046124A" w:rsidP="0046124A">
      <w:pPr>
        <w:pStyle w:val="a3"/>
        <w:rPr>
          <w:rtl/>
        </w:rPr>
      </w:pPr>
      <w:r w:rsidRPr="0046124A">
        <w:rPr>
          <w:rtl/>
        </w:rPr>
        <w:t>והרי בהלכה זו השנייה נקט בפשיטות דמן הדין היה שהעשה של תורה ידחה את השבות של דבריהם!?</w:t>
      </w:r>
    </w:p>
    <w:p w14:paraId="4336C7CF" w14:textId="77777777" w:rsidR="0046124A" w:rsidRPr="0046124A" w:rsidRDefault="0046124A" w:rsidP="0046124A">
      <w:pPr>
        <w:pStyle w:val="a3"/>
        <w:rPr>
          <w:rtl/>
        </w:rPr>
      </w:pPr>
      <w:r w:rsidRPr="0046124A">
        <w:rPr>
          <w:rtl/>
        </w:rPr>
        <w:t>ב. וכבר הקשה כן הלח"מ על אותה הלכה, וכתב: "וכ"ת שאני אותו שבות דהיא גזרה שמא יתלוש וכו', הא ליתא דהך שבות דתקיעה נמי היא גזרה שמא יתקן כלי שיר. וי"ל דשאני הך שבות דתקיעה שהוא קל שהא התורה התירה לגבי יו"ט דהא התקיעה ביו"ט שבות הוא והתורה התירה אותו דאל"כ לא משכח תקיעת שופר, וא"כ ראוי היה ג"כ להתירו בשבת. ועי"ל דשאני התם שאין ראוי שידחה מפני שהוא דבר שאפשר לעשותו מבערב שיכול להכין השופר מאתמול אבל הכא דא"א לעשות התקיעה מאתמול דהיום היא נעשית עכ"פ. א"נ הכא שאני דהתקיעה שהיא המצוה דוחה השבות א"כ נמצא שבשעת עשיית המצוה נדחה השבות, אבל התם קודם עשיית המצוה נדחה השבות".</w:t>
      </w:r>
    </w:p>
    <w:p w14:paraId="279C1669" w14:textId="77777777" w:rsidR="0046124A" w:rsidRPr="0046124A" w:rsidRDefault="0046124A" w:rsidP="0046124A">
      <w:pPr>
        <w:pStyle w:val="a3"/>
        <w:rPr>
          <w:rtl/>
        </w:rPr>
      </w:pPr>
      <w:r w:rsidRPr="0046124A">
        <w:rPr>
          <w:rtl/>
        </w:rPr>
        <w:t xml:space="preserve">והיינו שהלח"מ הציע תירוץ אחד ודחה אותו, ואח"כ הביא עוד ג' תירוצים; תחלה הציע דאולי תק"ש בשבת הוה שבות קלוש יותר, ושלכן רק שבות כזה הי' נדחה מחמת מצוה משא"כ שבות 'חזקה' יותר. אמנם דחה את זה משום דגם שבות זה הוה משום </w:t>
      </w:r>
      <w:r w:rsidRPr="0046124A">
        <w:rPr>
          <w:rtl/>
        </w:rPr>
        <w:lastRenderedPageBreak/>
        <w:t>גזירה שלא יבא לאיסור דאורייתא – שמא יתקן כלי שיר – וא"כ הוה כמו אותן שבותים דלעיל דאינם נדחים מפני מצות שופר.</w:t>
      </w:r>
    </w:p>
    <w:p w14:paraId="2A147531" w14:textId="77777777" w:rsidR="0046124A" w:rsidRPr="0046124A" w:rsidRDefault="0046124A" w:rsidP="0046124A">
      <w:pPr>
        <w:pStyle w:val="a3"/>
        <w:rPr>
          <w:rtl/>
        </w:rPr>
      </w:pPr>
      <w:r w:rsidRPr="0046124A">
        <w:rPr>
          <w:rtl/>
        </w:rPr>
        <w:t xml:space="preserve">ואח"כ תירץ: א) שבות דתק"ש בשבת קל יותר משום שהותרה בכל יו"ט של ר"ה, ושוב הוה נדחה עבור שבת ג"כ. ב) אותן שבותים דלעיל שלא נידחים בפני המצוה הוה משום שהי' אפשר לעשותן בערב יו"ט (משא"כ השבות דתקיעה בשבת כמובן). ג) אותן שבותים הוה לפני קיום המצוה עצמה ושלכן אינן נדחין, משא"כ שבות דתקיעה דהוה בשעת קיום המצוה. </w:t>
      </w:r>
    </w:p>
    <w:p w14:paraId="6DE0915F" w14:textId="77777777" w:rsidR="0046124A" w:rsidRPr="0046124A" w:rsidRDefault="0046124A" w:rsidP="0046124A">
      <w:pPr>
        <w:pStyle w:val="a3"/>
        <w:rPr>
          <w:rtl/>
        </w:rPr>
      </w:pPr>
      <w:r w:rsidRPr="0046124A">
        <w:rPr>
          <w:rtl/>
        </w:rPr>
        <w:t>אמנם לכאורה קשה להעמיס בדברי הרמב"ם תירוצים אלו; א) כתב בסתם (בהלכה שנייה) "</w:t>
      </w:r>
      <w:r w:rsidRPr="0046124A">
        <w:rPr>
          <w:bCs/>
          <w:rtl/>
        </w:rPr>
        <w:t>יבא עשה של תורה וידחה שבות של דבריהם ולמה אין תוקעין</w:t>
      </w:r>
      <w:r w:rsidRPr="0046124A">
        <w:rPr>
          <w:rtl/>
        </w:rPr>
        <w:t xml:space="preserve">", בלי להזכיר דיש כאן סיבה מיוחדת, דשבות זה נדחה כבר בכל יו"ט של ר"ה!? ב) כתב בסתם (בהלכה ראשונה) "שופר של ראש השנה אין מחללין עליו את יום טוב </w:t>
      </w:r>
      <w:r w:rsidRPr="0046124A">
        <w:rPr>
          <w:bCs/>
          <w:rtl/>
        </w:rPr>
        <w:t>ואפילו בדבר שהוא משום שבות</w:t>
      </w:r>
      <w:r w:rsidRPr="0046124A">
        <w:rPr>
          <w:rtl/>
        </w:rPr>
        <w:t xml:space="preserve">", בלי להזכיר דזהו בתנאי שהי' אפשר לעשותו בעיו"ט!? ג) וגם לא רמז לתנאי זה דאינו דוחה שבות רק היכא דהוה </w:t>
      </w:r>
      <w:r w:rsidRPr="0046124A">
        <w:rPr>
          <w:bCs/>
          <w:rtl/>
        </w:rPr>
        <w:t xml:space="preserve">לפני </w:t>
      </w:r>
      <w:r w:rsidRPr="0046124A">
        <w:rPr>
          <w:rtl/>
        </w:rPr>
        <w:t xml:space="preserve">קיום המצוה!?  </w:t>
      </w:r>
    </w:p>
    <w:p w14:paraId="5B35C8AB" w14:textId="77777777" w:rsidR="0046124A" w:rsidRPr="0046124A" w:rsidRDefault="0046124A" w:rsidP="0046124A">
      <w:pPr>
        <w:pStyle w:val="a3"/>
        <w:rPr>
          <w:rtl/>
        </w:rPr>
      </w:pPr>
      <w:r w:rsidRPr="0046124A">
        <w:rPr>
          <w:rtl/>
        </w:rPr>
        <w:t>ג. אמנם מדברי אדה"ז בשלחנו מבואר היטיב דתשובה הנכונה לזה היא תשובה הראשונה של הלח"מ (דההבדל בין ב' ההלכות הוה בסוגי השבות), אשר הוא דחאה (משום דשניהן שוין) כנ"ל;</w:t>
      </w:r>
    </w:p>
    <w:p w14:paraId="39603C56" w14:textId="77777777" w:rsidR="0046124A" w:rsidRPr="0046124A" w:rsidRDefault="0046124A" w:rsidP="0046124A">
      <w:pPr>
        <w:pStyle w:val="a3"/>
        <w:rPr>
          <w:rtl/>
        </w:rPr>
      </w:pPr>
      <w:r w:rsidRPr="0046124A">
        <w:rPr>
          <w:rtl/>
        </w:rPr>
        <w:t xml:space="preserve">דז"ל (הלכות ראש השנה סתקפ"ח ס"ד) "יו"ט של ראש השנה שחל להיות בשבת אין תוקעין בשופר. אע"פ שהתקיעה בשופר אינה מלאכה ואינה אסורה בשבת ויו"ט אלא מד"ס </w:t>
      </w:r>
      <w:r w:rsidRPr="0046124A">
        <w:rPr>
          <w:bCs/>
          <w:rtl/>
        </w:rPr>
        <w:t>משום עובדין דחול</w:t>
      </w:r>
      <w:r w:rsidRPr="0046124A">
        <w:rPr>
          <w:rtl/>
        </w:rPr>
        <w:t xml:space="preserve">, ולמה אין דוחין </w:t>
      </w:r>
      <w:r w:rsidRPr="0046124A">
        <w:rPr>
          <w:bCs/>
          <w:rtl/>
        </w:rPr>
        <w:t>איסור קל כזה</w:t>
      </w:r>
      <w:r w:rsidRPr="0046124A">
        <w:rPr>
          <w:rtl/>
        </w:rPr>
        <w:t xml:space="preserve"> מפני מצות עשה של תורה, כמו שדוחין אותו בכל יום טוב של ראש השנה הואיל ואין בו שבות גמור, לפי שהכל חייבין בתק"ש ואין הכל בקיאין בתק"ש גזירה שמא יטלנו בידו וילך אצל הבקי ללמוד ויעבירנו ד' אמות ברשות הרבים".</w:t>
      </w:r>
    </w:p>
    <w:p w14:paraId="3BF77E84" w14:textId="77777777" w:rsidR="0046124A" w:rsidRPr="0046124A" w:rsidRDefault="0046124A" w:rsidP="0046124A">
      <w:pPr>
        <w:pStyle w:val="a3"/>
        <w:rPr>
          <w:rtl/>
        </w:rPr>
      </w:pPr>
      <w:r w:rsidRPr="0046124A">
        <w:rPr>
          <w:rtl/>
        </w:rPr>
        <w:t xml:space="preserve">והיינו דאדה"ז מדגיש ואומר דהשבות בתק"ש לא הוה אלא "משום עובדין בחול", ואשר לכן מביא הקושיא ד"למה אין דוחין </w:t>
      </w:r>
      <w:r w:rsidRPr="0046124A">
        <w:rPr>
          <w:bCs/>
          <w:rtl/>
        </w:rPr>
        <w:t>איסור קל כזה</w:t>
      </w:r>
      <w:r w:rsidRPr="0046124A">
        <w:rPr>
          <w:rtl/>
        </w:rPr>
        <w:t xml:space="preserve"> מפני מצות עשה של תורה"! ואשר לפ"ז מיושב בפשיטות הסתירה בין דברי הרמב"ם – וכמו שהלח"מ אכן הציע בראשונה – משום דבאמת יש חילוק גדול בין שבות כזו שהוא משום חשש שיביא לידי איסור דאורייתא, לשבות כזו שאינו אלא משום עובדין דחול!</w:t>
      </w:r>
    </w:p>
    <w:p w14:paraId="20BD6E8A" w14:textId="77777777" w:rsidR="0046124A" w:rsidRPr="0046124A" w:rsidRDefault="0046124A" w:rsidP="0046124A">
      <w:pPr>
        <w:pStyle w:val="a3"/>
        <w:rPr>
          <w:rtl/>
        </w:rPr>
      </w:pPr>
      <w:r w:rsidRPr="0046124A">
        <w:rPr>
          <w:rtl/>
        </w:rPr>
        <w:t>(ויעויין בהגהות (הישנות) שעל גליון השו"ע שם, שמביא מקורות לדבר זה שהשבות דתק"ש הוה מחמת היותו עובדין דחול (ע"ד השבות דרדיית הפת) עיי"ש. וב'רשימות' (חוברת ס) בא"ד מבאר הרבי סברת אדה"ז שאין כאן גזירה משום שמא יתקן כלי שיר: "ולא גזרו שמא יתקן כלי שיר (</w:t>
      </w:r>
      <w:r w:rsidRPr="0046124A">
        <w:rPr>
          <w:bCs/>
          <w:rtl/>
        </w:rPr>
        <w:t xml:space="preserve">כסברת הלח"מ </w:t>
      </w:r>
      <w:r w:rsidRPr="0046124A">
        <w:rPr>
          <w:rtl/>
        </w:rPr>
        <w:t>י"ד הלכות שופר) י"ל משום דלא הוה קול של שיר". ומציין לגמרא בעירובין ולרמב"ם בהל' שבת דהגזירה נאמרה רק בקול של שיר וכו').</w:t>
      </w:r>
    </w:p>
    <w:p w14:paraId="1E465CC8" w14:textId="77777777" w:rsidR="0046124A" w:rsidRPr="0046124A" w:rsidRDefault="0046124A" w:rsidP="0046124A">
      <w:pPr>
        <w:pStyle w:val="a3"/>
        <w:rPr>
          <w:rtl/>
        </w:rPr>
      </w:pPr>
      <w:r w:rsidRPr="0046124A">
        <w:rPr>
          <w:rtl/>
        </w:rPr>
        <w:lastRenderedPageBreak/>
        <w:t>ד. ויש להוסיף דע"פ ביאור זה של אדה"ז מתורץ בפשיטות גם תמיה השנייה של הלח"מ בהלכה זו; "וא"ת מה תירץ רבינו גזרה שמא יעבירנו, הא התקיעה נמי גזרה שמא יתקן כלי שיר והיה ראוי לדחות השבות, ומה לי הך גזרה או הך גזרה". והיינו דמדברי הרמב"ם מבואר דמחמת השבות דתק"ש בלבד לא היו נמנעים מתק"ש בשבת, ורק מחמת הגזירה דשמא יעבירנו, וע"ז מקשה דמדוע עדיפא שבות וגזירה זו משבות השנייה!?</w:t>
      </w:r>
    </w:p>
    <w:p w14:paraId="0C62246C" w14:textId="77777777" w:rsidR="0046124A" w:rsidRPr="0046124A" w:rsidRDefault="0046124A" w:rsidP="0046124A">
      <w:pPr>
        <w:pStyle w:val="a3"/>
        <w:rPr>
          <w:rtl/>
        </w:rPr>
      </w:pPr>
      <w:r w:rsidRPr="0046124A">
        <w:rPr>
          <w:rtl/>
        </w:rPr>
        <w:t>ומתרץ: "וי"ל דמ"מ הך גזרה דיעבירנו קרובה ביותר והוא בשופר עצמו". והיינו דמחלק בין שתי הגזירות; דאע"פ דתרוייהו הוה משום שלא יעבור על איסור דאורייתא, מ"מ שמא יעבירנו הוה חשש קרוב יותר וכו'.</w:t>
      </w:r>
    </w:p>
    <w:p w14:paraId="2C1C0CD1" w14:textId="77777777" w:rsidR="0046124A" w:rsidRPr="0046124A" w:rsidRDefault="0046124A" w:rsidP="0046124A">
      <w:pPr>
        <w:pStyle w:val="a3"/>
        <w:rPr>
          <w:rtl/>
        </w:rPr>
      </w:pPr>
      <w:r w:rsidRPr="0046124A">
        <w:rPr>
          <w:rtl/>
        </w:rPr>
        <w:t xml:space="preserve">אמנם לדרכו של אדה"ז מבואר דקושיא מעיקרא ליתא; דאדרבה זהו כל עיקר העדיפות של גזירה דרבה; דהוא גזירה משום חשש איסור דאורייתא, לעומת השבות דתק"ש דאינה אלא משום עובדין דחול כמשנ"ת. </w:t>
      </w:r>
    </w:p>
    <w:p w14:paraId="4B246FA3" w14:textId="77777777" w:rsidR="0046124A" w:rsidRPr="0046124A" w:rsidRDefault="0046124A" w:rsidP="0046124A">
      <w:pPr>
        <w:pStyle w:val="a3"/>
        <w:rPr>
          <w:rtl/>
        </w:rPr>
      </w:pPr>
      <w:r w:rsidRPr="0046124A">
        <w:rPr>
          <w:rtl/>
        </w:rPr>
        <w:t>ה. ועוד יש להוסיף דדברי הרמב"ם בהלכה זו בענין גזירה דרבה מתבארים ע"פ דברי אדה"ז בשלחנו, גם מצד אחר;</w:t>
      </w:r>
    </w:p>
    <w:p w14:paraId="4FDBA584" w14:textId="77777777" w:rsidR="0046124A" w:rsidRPr="0046124A" w:rsidRDefault="0046124A" w:rsidP="0046124A">
      <w:pPr>
        <w:pStyle w:val="a3"/>
        <w:rPr>
          <w:bCs/>
          <w:rtl/>
        </w:rPr>
      </w:pPr>
      <w:r w:rsidRPr="0046124A">
        <w:rPr>
          <w:rtl/>
        </w:rPr>
        <w:t xml:space="preserve">ידוע מה שהרבי מדייק מדברי אדה"ז הנ"ל – וקורא לזה 'חידוש מפתיע' – דהא דלא תוקעין בר"ה שחל להיות בשבת </w:t>
      </w:r>
      <w:r w:rsidRPr="0046124A">
        <w:rPr>
          <w:bCs/>
          <w:rtl/>
        </w:rPr>
        <w:t>אינו</w:t>
      </w:r>
      <w:r w:rsidRPr="0046124A">
        <w:rPr>
          <w:rtl/>
        </w:rPr>
        <w:t xml:space="preserve"> משום גזירה דרבה, היינו גזירה שמא יעבירנו וכו', אלא מחמת זה דתק"ש הוה שבות של עובדין דחול! וגזירה דרבה לא באה אלא בכדי שלא תדחה השבות של עובדין דחול ממקומו! (ראה באג"ק ח"ב מכתב רצ"ה להגרש"י זוין ע"ה, ואח"כ ביאר דבריו יותר (לסלק תמיהת הרב זוין) במכתב ש"ח. עיי"ש). ומוסיף הרבי "</w:t>
      </w:r>
      <w:r w:rsidRPr="0046124A">
        <w:rPr>
          <w:bCs/>
          <w:rtl/>
        </w:rPr>
        <w:t>ועי"ז יש ליישב אריכות הל' ברמב"ם הל' שופר פ"ב ה"ו".</w:t>
      </w:r>
    </w:p>
    <w:p w14:paraId="3869A8F9" w14:textId="77777777" w:rsidR="0046124A" w:rsidRPr="0046124A" w:rsidRDefault="0046124A" w:rsidP="0046124A">
      <w:pPr>
        <w:pStyle w:val="a3"/>
        <w:rPr>
          <w:rtl/>
        </w:rPr>
      </w:pPr>
      <w:r w:rsidRPr="0046124A">
        <w:rPr>
          <w:rtl/>
        </w:rPr>
        <w:t>ולכאורה כוונת הדברים הוא דבהלכה זו של הרמב"ם ישנה אריכות גדולה ותמוה; דלמאי נפק"מ כל ענין זה ש</w:t>
      </w:r>
      <w:r w:rsidRPr="0046124A">
        <w:rPr>
          <w:bCs/>
          <w:rtl/>
        </w:rPr>
        <w:t>לכאורה</w:t>
      </w:r>
      <w:r w:rsidRPr="0046124A">
        <w:rPr>
          <w:rtl/>
        </w:rPr>
        <w:t xml:space="preserve"> היו צריכים לדחות השבות דתק"ש (מחמת המ"ע וכו'), </w:t>
      </w:r>
      <w:r w:rsidRPr="0046124A">
        <w:rPr>
          <w:bCs/>
          <w:rtl/>
        </w:rPr>
        <w:t>ומ"מ</w:t>
      </w:r>
      <w:r w:rsidRPr="0046124A">
        <w:rPr>
          <w:rtl/>
        </w:rPr>
        <w:t xml:space="preserve"> אסרו התקיעה מחמת גזירה דרבה, הרי בפשטות הי' לו לכתוב דמחמת גזירה דרבה אסרו התקיעה, ותו לא!? אמנם ע"פ חידושו של אדה"ז אפ"ל דזה באמת היא כוונת הרמב"ם: דבאמת היו צריכים לדחות השבות שבתק"ש (עובדין דחול), אמנם מחמת גזירה דרבה </w:t>
      </w:r>
      <w:r w:rsidRPr="0046124A">
        <w:rPr>
          <w:bCs/>
          <w:rtl/>
        </w:rPr>
        <w:t xml:space="preserve">לא דחו שבות זה, </w:t>
      </w:r>
      <w:r w:rsidRPr="0046124A">
        <w:rPr>
          <w:rtl/>
        </w:rPr>
        <w:t>ואכן זה נשאר טעם איסור תקיעות בשבת!</w:t>
      </w:r>
    </w:p>
    <w:p w14:paraId="48842123" w14:textId="77777777" w:rsidR="0046124A" w:rsidRPr="0046124A" w:rsidRDefault="0046124A" w:rsidP="0046124A">
      <w:pPr>
        <w:pStyle w:val="a3"/>
        <w:rPr>
          <w:rtl/>
        </w:rPr>
      </w:pPr>
      <w:r w:rsidRPr="0046124A">
        <w:rPr>
          <w:rtl/>
        </w:rPr>
        <w:t xml:space="preserve">ו. ובביאור דבר זה דצריכים לב' הטעמים ביחד בכדי לאסור תק"ש בשבת – גם השבות דעובדין דחול, וגם גזירה דרבה אשר פועלת דלא דוחים השבות דעובדין דחול כמשנ"ת – וכ"א לבדו לא מהני לאסור התקיעות, מבאר הרבי ב'רשימות' (הנ"ל): </w:t>
      </w:r>
    </w:p>
    <w:p w14:paraId="0FF81CE6" w14:textId="77777777" w:rsidR="0046124A" w:rsidRPr="0046124A" w:rsidRDefault="0046124A" w:rsidP="0046124A">
      <w:pPr>
        <w:pStyle w:val="a3"/>
        <w:rPr>
          <w:rtl/>
        </w:rPr>
      </w:pPr>
      <w:r w:rsidRPr="0046124A">
        <w:rPr>
          <w:rtl/>
        </w:rPr>
        <w:t xml:space="preserve">טעמא דעובדין דחול לא מספיק משום דאינו שבות גמור, וא"כ הי' נדחה מפני מצוה, וכמו שמצינו בשבות דרדיית הפת שהוא גם משום עובדין דחול, והתירו לרדות מפני מצוה דשלש סעודות (ואכן משום זה נדחה שבות דתקיעות בכל יו"ט של ר"ה)! </w:t>
      </w:r>
      <w:r w:rsidRPr="0046124A">
        <w:rPr>
          <w:rtl/>
        </w:rPr>
        <w:lastRenderedPageBreak/>
        <w:t>ואילו גזירה דרבה לבדה אינה מספקת לדחות מחמתה המצות עשה דתק"ש, כמו שמצינו גבי לולב דבזמן הבית הי' ניטל ביום הראשון בכל מקום גם כשחל בשבת, מחמת היותה מ"ע מדאורייתא, ולא נדחה מפני גזירה דרבה! וע"כ בעינן לצירוף שניהם דוקא.</w:t>
      </w:r>
    </w:p>
    <w:p w14:paraId="3C796D96" w14:textId="77777777" w:rsidR="0046124A" w:rsidRPr="0046124A" w:rsidRDefault="0046124A" w:rsidP="0046124A">
      <w:pPr>
        <w:pStyle w:val="a3"/>
        <w:rPr>
          <w:rtl/>
        </w:rPr>
      </w:pPr>
      <w:r w:rsidRPr="0046124A">
        <w:rPr>
          <w:rtl/>
        </w:rPr>
        <w:t>ז. אמנם לכאורה עדיין אין הענין מבואר כל צרכו: א) אם כ"א מהסיבות לבד אין בכחה לדחות המ"ע מדאורייתא (והיינו דעובדין דחול אינה דוחה מ"ע, וגם גזירה דרבה אין בכחה לדחות המצוה), אז באיזו כח דוחין המצוה בזה שבאין ביחד, אחרי שאין בכ"א מהן 'כח' מספיק עבור דחיית מ"ע מדאורייתא!? ב) אם מאיזו סיבה כשמצטרפים ביחד כן יש כאן כח לדחות המ"ע, אז מדוע הוה זה באופן שהגזירה דרבה פועלת שהשבות דעובדין דחול לא תדחה ממקומה, ולא להיפך דהשבות דעובדין דחול תחזק הגזירה דרבה!?</w:t>
      </w:r>
    </w:p>
    <w:p w14:paraId="196DD8A7" w14:textId="77777777" w:rsidR="0046124A" w:rsidRPr="0046124A" w:rsidRDefault="0046124A" w:rsidP="0046124A">
      <w:pPr>
        <w:pStyle w:val="a3"/>
        <w:rPr>
          <w:rtl/>
        </w:rPr>
      </w:pPr>
      <w:r w:rsidRPr="0046124A">
        <w:rPr>
          <w:rtl/>
        </w:rPr>
        <w:t xml:space="preserve">ועוד והוא העיקר: ג) </w:t>
      </w:r>
      <w:r w:rsidRPr="0046124A">
        <w:rPr>
          <w:bCs/>
          <w:rtl/>
        </w:rPr>
        <w:t>מדוע</w:t>
      </w:r>
      <w:r w:rsidRPr="0046124A">
        <w:rPr>
          <w:rtl/>
        </w:rPr>
        <w:t xml:space="preserve"> באמת אין גזירה דרבה מספיקה עבור דחיית המצוה (והיינו אה"נ דהרבי </w:t>
      </w:r>
      <w:r w:rsidRPr="0046124A">
        <w:rPr>
          <w:bCs/>
          <w:rtl/>
        </w:rPr>
        <w:t>הוכיח</w:t>
      </w:r>
      <w:r w:rsidRPr="0046124A">
        <w:rPr>
          <w:rtl/>
        </w:rPr>
        <w:t xml:space="preserve"> שאינו דוחה מהא דלולב כנ"ל, אבל זה גופא צ"ב, מדוע אינו דוחה)? והרי ראינו לעיל שבכל שבות שהוא משום גזירה שלא יבא לאיסור דאורייתא כן העמידו חכמים דבריהם וביטלו מ"ע של שופר, אז מדוע לא מהני לזה גם גזירה דרבה (לחוד) מחמת היותה גזירה שלא יבא האדם לידי איסור דאורייתא!?</w:t>
      </w:r>
    </w:p>
    <w:p w14:paraId="261D4B3F" w14:textId="77777777" w:rsidR="0046124A" w:rsidRPr="0046124A" w:rsidRDefault="0046124A" w:rsidP="0046124A">
      <w:pPr>
        <w:pStyle w:val="a3"/>
        <w:rPr>
          <w:rtl/>
        </w:rPr>
      </w:pPr>
      <w:r w:rsidRPr="0046124A">
        <w:rPr>
          <w:rtl/>
        </w:rPr>
        <w:t xml:space="preserve">ח. והנראה לבאר כ"ז ע"פ סברא פשוטה: הא דהעמידו חכמים דבריהם במקום מצוה דאורייתא, הוה כמו שמדוייק במילים אלו עצמם, היכא דיש </w:t>
      </w:r>
      <w:r w:rsidRPr="0046124A">
        <w:rPr>
          <w:bCs/>
          <w:rtl/>
        </w:rPr>
        <w:t>כבר</w:t>
      </w:r>
      <w:r w:rsidRPr="0046124A">
        <w:rPr>
          <w:rtl/>
        </w:rPr>
        <w:t xml:space="preserve"> איסור דרבנן קיימת, ועכשיו זה מנגד לקיום מצות עשה, אז חכמים 'מ</w:t>
      </w:r>
      <w:r w:rsidRPr="0046124A">
        <w:rPr>
          <w:bCs/>
          <w:rtl/>
        </w:rPr>
        <w:t>עמידים</w:t>
      </w:r>
      <w:r w:rsidRPr="0046124A">
        <w:rPr>
          <w:rtl/>
        </w:rPr>
        <w:t>' דבריהם ולא מבטלים אותם מחמת המצוה מדאורייתא.</w:t>
      </w:r>
    </w:p>
    <w:p w14:paraId="4CDC7BCA" w14:textId="77777777" w:rsidR="0046124A" w:rsidRPr="0046124A" w:rsidRDefault="0046124A" w:rsidP="0046124A">
      <w:pPr>
        <w:pStyle w:val="a3"/>
        <w:rPr>
          <w:rtl/>
        </w:rPr>
      </w:pPr>
      <w:r w:rsidRPr="0046124A">
        <w:rPr>
          <w:rtl/>
        </w:rPr>
        <w:t>אמנם שונה מזה גזירה דרבה, דאין כאן גזירה קיימת ועומדת שבמקרה מסויים מנגד לקיומה של מצוה, אלא אדרבה כל עיקר הגזירה היא שלא לקיים המצוה של תק"ש בשבת! ואכן י"ל דמעולם לא נאמר כלל זה שרבנן יגזרו גזירה שתוכנה לבטל מצות עשה, דכנ"ל הכלל הוא להעמיד דבריהם הקיימים כבר, אבל לא לבא ולעשות גזירה בכדי לבטל מצוה דאורייתא!</w:t>
      </w:r>
    </w:p>
    <w:p w14:paraId="4185CE4C" w14:textId="77777777" w:rsidR="0046124A" w:rsidRPr="0046124A" w:rsidRDefault="0046124A" w:rsidP="0046124A">
      <w:pPr>
        <w:pStyle w:val="a3"/>
        <w:rPr>
          <w:rtl/>
        </w:rPr>
      </w:pPr>
      <w:r w:rsidRPr="0046124A">
        <w:rPr>
          <w:rtl/>
        </w:rPr>
        <w:t>(ואין כוונתי ליכנס כאן לכלל הידוע של הט"ז שחכמים אין בכחם להעמיד דבריהם נגד דבר שמפורש בתורה להיתר או למצוה, אשר יש שחולקים על שיטה זו כידוע ואכ"מ; דכל פלוגתא זו הוה בנוגע ל'העמדת' דבריהם, והיינו באיסור שקיימת כבר מדבריהם ורק שעכשיו זה מנגד לדבר שמפורש בתורה להיתר וכו', משא"כ כאן מדברים על עשיית גזירה דכל תוכנה היא לבטל מצוה מדאורייתא).</w:t>
      </w:r>
    </w:p>
    <w:p w14:paraId="45481240" w14:textId="77777777" w:rsidR="0046124A" w:rsidRPr="0046124A" w:rsidRDefault="0046124A" w:rsidP="0046124A">
      <w:pPr>
        <w:pStyle w:val="a3"/>
        <w:rPr>
          <w:rtl/>
        </w:rPr>
      </w:pPr>
      <w:r w:rsidRPr="0046124A">
        <w:rPr>
          <w:rtl/>
        </w:rPr>
        <w:t xml:space="preserve">ואשר לפ"ז מובן ומבואר היטיב דגזירה דרבה באמת מעולם לא הי' נאמר לחדש איסור על עשיית מצוה מדאורייתא (משא"כ מצוה מדרבנן כמובן). ומבואר היטיב דכל פעולת הגזירה היא לחזק איסור כזה דרבנן שקיימת כבר, שמצד עצמה הייתה נדחית </w:t>
      </w:r>
      <w:r w:rsidRPr="0046124A">
        <w:rPr>
          <w:rtl/>
        </w:rPr>
        <w:lastRenderedPageBreak/>
        <w:t>מחמת מצוה דאורייתא (והיינו השבות דעובדין דחול אשר מצ"ע היתה נדחית כנ"ל), וע"ז באה גזירה דרבה לומר, דמאחר שיש כאן טעם לשבות גמור (אחרי שיש כאן חשש שמא יבא לידי איסור דאורייתא), לכן 'מעמידים' ומקיימים דבריהם, היינו האיסור שמדבריהם שקיימת כבר – שבות של עובדין דחול – ולא מבטלים אותה גם מפני המצוה מדאורייתא.</w:t>
      </w:r>
    </w:p>
    <w:p w14:paraId="78F0F684" w14:textId="77777777" w:rsidR="0046124A" w:rsidRPr="0046124A" w:rsidRDefault="0046124A" w:rsidP="0046124A">
      <w:pPr>
        <w:pStyle w:val="a3"/>
        <w:rPr>
          <w:rtl/>
        </w:rPr>
      </w:pPr>
      <w:r w:rsidRPr="0046124A">
        <w:rPr>
          <w:rtl/>
        </w:rPr>
        <w:t>באותיות פשוטות: שבות דעובדין דחול היא איסור דרבנן שקיימת כבר, אמנם היות ואינה שבות גמור (משום שאינה מחשש איסור דאורייתא) לכן לא היו מעמידים דבריהם באיסור זה במקום מצוה; גזירה דרבה לעומתו הוה באמת שבות גמור, אחרי שהיא מחשש איסור דאורייתא, וא"כ יש בה הכח שיעמידו דבריהם במקום דאורייתא, אמנם א"א להעמיד דבריהם מחמת גזירה זו, אחרי שאין כאן שום איסור קיימת (לפני המצוה) שבאים להעמיד!</w:t>
      </w:r>
    </w:p>
    <w:p w14:paraId="4F2E1AEA" w14:textId="77777777" w:rsidR="0046124A" w:rsidRPr="0046124A" w:rsidRDefault="0046124A" w:rsidP="0046124A">
      <w:pPr>
        <w:pStyle w:val="a3"/>
        <w:rPr>
          <w:rtl/>
        </w:rPr>
      </w:pPr>
      <w:r w:rsidRPr="0046124A">
        <w:rPr>
          <w:rtl/>
        </w:rPr>
        <w:t>ולכן הרי שבות גמור זו של גזירה דרבה, הוה הסיבה (והכח) להעמיד האיסור קלוש של עובדין דחול, שלא יתבטל מחמת המצוה כמשנ"ת.</w:t>
      </w:r>
    </w:p>
    <w:p w14:paraId="6425BAD2" w14:textId="4F7E776C" w:rsidR="0046124A" w:rsidRDefault="00304B8E" w:rsidP="00304B8E">
      <w:pPr>
        <w:pStyle w:val="M"/>
        <w:bidi w:val="0"/>
        <w:rPr>
          <w:rtl/>
        </w:rPr>
      </w:pPr>
      <w:r>
        <w:rPr>
          <w:noProof/>
        </w:rPr>
        <w:drawing>
          <wp:inline distT="0" distB="0" distL="0" distR="0" wp14:anchorId="1F069AB0" wp14:editId="5B691AB1">
            <wp:extent cx="875763" cy="23404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500DD2D" w14:textId="77777777" w:rsidR="00341C90" w:rsidRDefault="00341C90" w:rsidP="00657259">
      <w:pPr>
        <w:pStyle w:val="a0"/>
        <w:rPr>
          <w:rtl/>
        </w:rPr>
        <w:sectPr w:rsidR="00341C90" w:rsidSect="00541E5D">
          <w:footnotePr>
            <w:numRestart w:val="eachSect"/>
          </w:footnotePr>
          <w:type w:val="continuous"/>
          <w:pgSz w:w="7920" w:h="12240"/>
          <w:pgMar w:top="-810" w:right="864" w:bottom="720" w:left="864" w:header="270" w:footer="0" w:gutter="0"/>
          <w:cols w:space="720"/>
          <w:docGrid w:linePitch="360"/>
        </w:sectPr>
      </w:pPr>
    </w:p>
    <w:p w14:paraId="7A8DAF5D" w14:textId="77777777" w:rsidR="0046124A" w:rsidRDefault="0046124A" w:rsidP="0046124A">
      <w:pPr>
        <w:pStyle w:val="a0"/>
        <w:rPr>
          <w:shd w:val="clear" w:color="auto" w:fill="FFFFFF"/>
          <w:rtl/>
        </w:rPr>
      </w:pPr>
      <w:bookmarkStart w:id="160" w:name="_Toc81540427"/>
      <w:r>
        <w:rPr>
          <w:shd w:val="clear" w:color="auto" w:fill="FFFFFF"/>
          <w:rtl/>
        </w:rPr>
        <w:t>דעת רבינו הזקן ע"ד להאכיל נכרי הבא מאליו ביו"ט</w:t>
      </w:r>
      <w:bookmarkEnd w:id="160"/>
    </w:p>
    <w:p w14:paraId="288D3C45" w14:textId="77777777" w:rsidR="0046124A" w:rsidRDefault="0046124A" w:rsidP="0046124A">
      <w:pPr>
        <w:pStyle w:val="a"/>
        <w:rPr>
          <w:shd w:val="clear" w:color="auto" w:fill="FFFFFF"/>
          <w:rtl/>
        </w:rPr>
      </w:pPr>
      <w:bookmarkStart w:id="161" w:name="_Toc81540428"/>
      <w:r>
        <w:rPr>
          <w:shd w:val="clear" w:color="auto" w:fill="FFFFFF"/>
          <w:rtl/>
        </w:rPr>
        <w:t>אלימל</w:t>
      </w:r>
      <w:r>
        <w:rPr>
          <w:rFonts w:hint="cs"/>
          <w:shd w:val="clear" w:color="auto" w:fill="FFFFFF"/>
          <w:rtl/>
        </w:rPr>
        <w:t>ך</w:t>
      </w:r>
      <w:r>
        <w:rPr>
          <w:shd w:val="clear" w:color="auto" w:fill="FFFFFF"/>
          <w:rtl/>
        </w:rPr>
        <w:t xml:space="preserve"> יוסף הכהן סילבערבערג</w:t>
      </w:r>
      <w:bookmarkEnd w:id="161"/>
      <w:r>
        <w:rPr>
          <w:shd w:val="clear" w:color="auto" w:fill="FFFFFF"/>
          <w:rtl/>
        </w:rPr>
        <w:t xml:space="preserve"> </w:t>
      </w:r>
    </w:p>
    <w:p w14:paraId="45E62120" w14:textId="77777777" w:rsidR="0046124A" w:rsidRDefault="0046124A" w:rsidP="0046124A">
      <w:pPr>
        <w:pStyle w:val="a1"/>
        <w:bidi/>
        <w:jc w:val="right"/>
        <w:rPr>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14:paraId="60DAABF9" w14:textId="77777777" w:rsidR="0046124A" w:rsidRPr="008B5936" w:rsidRDefault="0046124A" w:rsidP="0046124A">
      <w:pPr>
        <w:pStyle w:val="a3"/>
      </w:pPr>
      <w:r w:rsidRPr="008B5936">
        <w:rPr>
          <w:rtl/>
        </w:rPr>
        <w:t>שו"ע או"ח ס</w:t>
      </w:r>
      <w:r>
        <w:rPr>
          <w:rFonts w:hint="cs"/>
          <w:rtl/>
        </w:rPr>
        <w:t>י</w:t>
      </w:r>
      <w:r>
        <w:rPr>
          <w:rtl/>
        </w:rPr>
        <w:t>' תקי"ב</w:t>
      </w:r>
      <w:r w:rsidRPr="008B5936">
        <w:rPr>
          <w:rtl/>
        </w:rPr>
        <w:t xml:space="preserve"> "אין מבשלין לצורך עכו"ם ביום טוב לפיכך אסור להזמינו שמא</w:t>
      </w:r>
      <w:r>
        <w:rPr>
          <w:rtl/>
        </w:rPr>
        <w:t xml:space="preserve"> ירבה בשבילו ודוקא להזמינו</w:t>
      </w:r>
      <w:r w:rsidRPr="008B5936">
        <w:rPr>
          <w:rtl/>
        </w:rPr>
        <w:t>, הגה לבי</w:t>
      </w:r>
      <w:r>
        <w:rPr>
          <w:rtl/>
        </w:rPr>
        <w:t>תו אבל לשלוח לביתו ע"י כותי שרי"</w:t>
      </w:r>
      <w:r w:rsidRPr="008B5936">
        <w:rPr>
          <w:rtl/>
        </w:rPr>
        <w:t>.</w:t>
      </w:r>
      <w:r>
        <w:rPr>
          <w:rtl/>
        </w:rPr>
        <w:t xml:space="preserve"> </w:t>
      </w:r>
      <w:r w:rsidRPr="008B5936">
        <w:rPr>
          <w:rtl/>
        </w:rPr>
        <w:t>וממשיך המחבר לומר "אבל עבדו ושפחתו וכן שליח שנשתלח לו</w:t>
      </w:r>
      <w:r>
        <w:rPr>
          <w:rtl/>
        </w:rPr>
        <w:t xml:space="preserve"> </w:t>
      </w:r>
      <w:r w:rsidRPr="008B5936">
        <w:rPr>
          <w:rtl/>
        </w:rPr>
        <w:t>וכן כותי שבא</w:t>
      </w:r>
      <w:r>
        <w:rPr>
          <w:rtl/>
        </w:rPr>
        <w:t xml:space="preserve"> </w:t>
      </w:r>
      <w:r w:rsidRPr="008B5936">
        <w:rPr>
          <w:rtl/>
        </w:rPr>
        <w:t>מאליו מותר להאכילו</w:t>
      </w:r>
      <w:r>
        <w:rPr>
          <w:rtl/>
        </w:rPr>
        <w:t xml:space="preserve"> </w:t>
      </w:r>
      <w:r w:rsidRPr="008B5936">
        <w:rPr>
          <w:rtl/>
        </w:rPr>
        <w:t>עמו</w:t>
      </w:r>
      <w:r>
        <w:rPr>
          <w:rtl/>
        </w:rPr>
        <w:t xml:space="preserve"> </w:t>
      </w:r>
      <w:r w:rsidRPr="008B5936">
        <w:rPr>
          <w:rtl/>
        </w:rPr>
        <w:t>ולא חיישינן שמא ירבה בשבילו הגה ומותר להרבות בשביל עבדו ושפחתו</w:t>
      </w:r>
      <w:r>
        <w:rPr>
          <w:rtl/>
        </w:rPr>
        <w:t xml:space="preserve"> </w:t>
      </w:r>
      <w:r w:rsidRPr="008B5936">
        <w:rPr>
          <w:rtl/>
        </w:rPr>
        <w:t>באותה קדירה שמבשל</w:t>
      </w:r>
      <w:r>
        <w:rPr>
          <w:rtl/>
        </w:rPr>
        <w:t xml:space="preserve"> </w:t>
      </w:r>
      <w:r w:rsidRPr="008B5936">
        <w:rPr>
          <w:rtl/>
        </w:rPr>
        <w:t>בו</w:t>
      </w:r>
      <w:r>
        <w:rPr>
          <w:rtl/>
        </w:rPr>
        <w:t xml:space="preserve"> </w:t>
      </w:r>
      <w:r w:rsidRPr="008B5936">
        <w:rPr>
          <w:rtl/>
        </w:rPr>
        <w:t>לעצמו אבל לשאר כותים בכל ענין אסור</w:t>
      </w:r>
      <w:r>
        <w:rPr>
          <w:rFonts w:hint="cs"/>
          <w:rtl/>
        </w:rPr>
        <w:t>".</w:t>
      </w:r>
    </w:p>
    <w:p w14:paraId="40046385" w14:textId="77777777" w:rsidR="0046124A" w:rsidRPr="008B5936" w:rsidRDefault="0046124A" w:rsidP="0046124A">
      <w:pPr>
        <w:pStyle w:val="a3"/>
      </w:pPr>
      <w:r w:rsidRPr="008B5936">
        <w:rPr>
          <w:rtl/>
        </w:rPr>
        <w:t>עיין במ"ב</w:t>
      </w:r>
      <w:r>
        <w:rPr>
          <w:rtl/>
        </w:rPr>
        <w:t xml:space="preserve"> </w:t>
      </w:r>
      <w:r w:rsidRPr="008B5936">
        <w:rPr>
          <w:rtl/>
        </w:rPr>
        <w:t>ס"ק י'</w:t>
      </w:r>
      <w:r w:rsidRPr="008B5936">
        <w:rPr>
          <w:rFonts w:ascii="Cambria" w:hAnsi="Cambria" w:cs="Cambria" w:hint="cs"/>
          <w:rtl/>
        </w:rPr>
        <w:t> </w:t>
      </w:r>
      <w:r w:rsidRPr="008B5936">
        <w:rPr>
          <w:rFonts w:hint="cs"/>
          <w:rtl/>
        </w:rPr>
        <w:t>ד</w:t>
      </w:r>
      <w:r w:rsidRPr="008B5936">
        <w:rPr>
          <w:rtl/>
        </w:rPr>
        <w:t>"</w:t>
      </w:r>
      <w:r w:rsidRPr="008B5936">
        <w:rPr>
          <w:rFonts w:hint="cs"/>
          <w:rtl/>
        </w:rPr>
        <w:t>ה</w:t>
      </w:r>
      <w:r>
        <w:rPr>
          <w:rtl/>
        </w:rPr>
        <w:t xml:space="preserve"> </w:t>
      </w:r>
      <w:r w:rsidRPr="008B5936">
        <w:rPr>
          <w:rtl/>
        </w:rPr>
        <w:t>שבא מאליו</w:t>
      </w:r>
      <w:r>
        <w:rPr>
          <w:rtl/>
        </w:rPr>
        <w:t xml:space="preserve"> </w:t>
      </w:r>
      <w:r w:rsidRPr="008B5936">
        <w:rPr>
          <w:rtl/>
        </w:rPr>
        <w:t>שהוא כותב "אף אם הוא אדם חשוב</w:t>
      </w:r>
      <w:r>
        <w:rPr>
          <w:rtl/>
        </w:rPr>
        <w:t xml:space="preserve"> </w:t>
      </w:r>
      <w:r w:rsidRPr="008B5936">
        <w:rPr>
          <w:rtl/>
        </w:rPr>
        <w:t>כיון שלא הזמינו</w:t>
      </w:r>
      <w:r>
        <w:rPr>
          <w:rtl/>
        </w:rPr>
        <w:t xml:space="preserve"> ודוקא שבא אחר שכבר הכין סעודתו</w:t>
      </w:r>
      <w:r w:rsidRPr="008B5936">
        <w:rPr>
          <w:rtl/>
        </w:rPr>
        <w:t>" ע"כ. המקור להדין שאסור לבשל עבור נכרי</w:t>
      </w:r>
      <w:r>
        <w:rPr>
          <w:rtl/>
        </w:rPr>
        <w:t xml:space="preserve"> הוא במסכת ביצה דף כא </w:t>
      </w:r>
      <w:r>
        <w:rPr>
          <w:rFonts w:hint="cs"/>
          <w:rtl/>
        </w:rPr>
        <w:t>ע"</w:t>
      </w:r>
      <w:r w:rsidRPr="008B5936">
        <w:rPr>
          <w:rtl/>
        </w:rPr>
        <w:t>א וע</w:t>
      </w:r>
      <w:r>
        <w:rPr>
          <w:rFonts w:hint="cs"/>
          <w:rtl/>
        </w:rPr>
        <w:t>"ב</w:t>
      </w:r>
      <w:r w:rsidRPr="008B5936">
        <w:rPr>
          <w:rtl/>
        </w:rPr>
        <w:t>.</w:t>
      </w:r>
      <w:r>
        <w:rPr>
          <w:rtl/>
        </w:rPr>
        <w:t xml:space="preserve"> </w:t>
      </w:r>
      <w:r w:rsidRPr="008B5936">
        <w:rPr>
          <w:rtl/>
        </w:rPr>
        <w:t>והמקור</w:t>
      </w:r>
      <w:r>
        <w:rPr>
          <w:rtl/>
        </w:rPr>
        <w:t xml:space="preserve"> </w:t>
      </w:r>
      <w:r w:rsidRPr="008B5936">
        <w:rPr>
          <w:rtl/>
        </w:rPr>
        <w:t>למה</w:t>
      </w:r>
      <w:r>
        <w:rPr>
          <w:rtl/>
        </w:rPr>
        <w:t xml:space="preserve"> </w:t>
      </w:r>
      <w:r w:rsidRPr="008B5936">
        <w:rPr>
          <w:rtl/>
        </w:rPr>
        <w:t>שהמשנה ברורה</w:t>
      </w:r>
      <w:r w:rsidRPr="008B5936">
        <w:rPr>
          <w:rFonts w:ascii="Cambria" w:hAnsi="Cambria" w:cs="Cambria" w:hint="cs"/>
          <w:rtl/>
        </w:rPr>
        <w:t> </w:t>
      </w:r>
      <w:r w:rsidRPr="008B5936">
        <w:rPr>
          <w:rFonts w:hint="cs"/>
          <w:rtl/>
        </w:rPr>
        <w:t>כותב</w:t>
      </w:r>
      <w:r w:rsidRPr="008B5936">
        <w:rPr>
          <w:rtl/>
        </w:rPr>
        <w:t xml:space="preserve"> </w:t>
      </w:r>
      <w:r w:rsidRPr="008B5936">
        <w:rPr>
          <w:rFonts w:hint="cs"/>
          <w:rtl/>
        </w:rPr>
        <w:t>שאינו</w:t>
      </w:r>
      <w:r w:rsidRPr="008B5936">
        <w:rPr>
          <w:rtl/>
        </w:rPr>
        <w:t xml:space="preserve"> </w:t>
      </w:r>
      <w:r w:rsidRPr="008B5936">
        <w:rPr>
          <w:rFonts w:hint="cs"/>
          <w:rtl/>
        </w:rPr>
        <w:t>מותר</w:t>
      </w:r>
      <w:r w:rsidRPr="008B5936">
        <w:rPr>
          <w:rtl/>
        </w:rPr>
        <w:t xml:space="preserve"> </w:t>
      </w:r>
      <w:r w:rsidRPr="008B5936">
        <w:rPr>
          <w:rFonts w:hint="cs"/>
          <w:rtl/>
        </w:rPr>
        <w:t>להאכיל</w:t>
      </w:r>
      <w:r w:rsidRPr="008B5936">
        <w:rPr>
          <w:rtl/>
        </w:rPr>
        <w:t xml:space="preserve"> </w:t>
      </w:r>
      <w:r w:rsidRPr="008B5936">
        <w:rPr>
          <w:rFonts w:hint="cs"/>
          <w:rtl/>
        </w:rPr>
        <w:t>עכו</w:t>
      </w:r>
      <w:r w:rsidRPr="008B5936">
        <w:rPr>
          <w:rtl/>
        </w:rPr>
        <w:t>"</w:t>
      </w:r>
      <w:r w:rsidRPr="008B5936">
        <w:rPr>
          <w:rFonts w:hint="cs"/>
          <w:rtl/>
        </w:rPr>
        <w:t>ם</w:t>
      </w:r>
      <w:r>
        <w:rPr>
          <w:rtl/>
        </w:rPr>
        <w:t xml:space="preserve"> </w:t>
      </w:r>
      <w:r w:rsidRPr="008B5936">
        <w:rPr>
          <w:rtl/>
        </w:rPr>
        <w:t>כי אם במקום שבא העכו</w:t>
      </w:r>
      <w:r>
        <w:rPr>
          <w:rtl/>
        </w:rPr>
        <w:t>"ם אחרי שהיהודי כבר הכין סעודתו</w:t>
      </w:r>
      <w:r w:rsidRPr="008B5936">
        <w:rPr>
          <w:rtl/>
        </w:rPr>
        <w:t>, כתוב בשער הציון</w:t>
      </w:r>
      <w:r>
        <w:rPr>
          <w:rtl/>
        </w:rPr>
        <w:t xml:space="preserve"> </w:t>
      </w:r>
      <w:r w:rsidRPr="008B5936">
        <w:rPr>
          <w:rtl/>
        </w:rPr>
        <w:t>שהמקור לזה הוא הרמב"ם הלכות</w:t>
      </w:r>
      <w:r>
        <w:rPr>
          <w:rtl/>
        </w:rPr>
        <w:t xml:space="preserve"> </w:t>
      </w:r>
      <w:r w:rsidRPr="008B5936">
        <w:rPr>
          <w:rtl/>
        </w:rPr>
        <w:t>י"ט</w:t>
      </w:r>
      <w:r>
        <w:rPr>
          <w:rtl/>
        </w:rPr>
        <w:t xml:space="preserve"> </w:t>
      </w:r>
      <w:r w:rsidRPr="008B5936">
        <w:rPr>
          <w:rtl/>
        </w:rPr>
        <w:t>פרק א</w:t>
      </w:r>
      <w:r>
        <w:rPr>
          <w:rtl/>
        </w:rPr>
        <w:t xml:space="preserve"> </w:t>
      </w:r>
      <w:r w:rsidRPr="008B5936">
        <w:rPr>
          <w:rtl/>
        </w:rPr>
        <w:t>הלכה י"ג</w:t>
      </w:r>
      <w:r>
        <w:rPr>
          <w:rtl/>
        </w:rPr>
        <w:t xml:space="preserve"> </w:t>
      </w:r>
      <w:r w:rsidRPr="008B5936">
        <w:rPr>
          <w:rtl/>
        </w:rPr>
        <w:t>"אין מבשלים</w:t>
      </w:r>
      <w:r>
        <w:rPr>
          <w:rtl/>
        </w:rPr>
        <w:t xml:space="preserve"> </w:t>
      </w:r>
      <w:r w:rsidRPr="008B5936">
        <w:rPr>
          <w:rtl/>
        </w:rPr>
        <w:t>כדי שיאכלו כותים או כלבים</w:t>
      </w:r>
      <w:r>
        <w:rPr>
          <w:rtl/>
        </w:rPr>
        <w:t xml:space="preserve"> שנאמר הוא לבדו יעשה לכם</w:t>
      </w:r>
      <w:r w:rsidRPr="008B5936">
        <w:rPr>
          <w:rtl/>
        </w:rPr>
        <w:t>, לכם ולא לכותים לכם ולא לכלבים</w:t>
      </w:r>
      <w:r>
        <w:rPr>
          <w:rtl/>
        </w:rPr>
        <w:t xml:space="preserve"> </w:t>
      </w:r>
      <w:r w:rsidRPr="008B5936">
        <w:rPr>
          <w:rtl/>
        </w:rPr>
        <w:t>לפיכך מזמנים כותי לשבת</w:t>
      </w:r>
      <w:r>
        <w:rPr>
          <w:rtl/>
        </w:rPr>
        <w:t xml:space="preserve"> </w:t>
      </w:r>
      <w:r w:rsidRPr="008B5936">
        <w:rPr>
          <w:rtl/>
        </w:rPr>
        <w:t>ואין מזמנים אותו ביו"ט שמא ירבה בשבילו</w:t>
      </w:r>
      <w:r>
        <w:rPr>
          <w:rtl/>
        </w:rPr>
        <w:t xml:space="preserve"> </w:t>
      </w:r>
      <w:r w:rsidRPr="008B5936">
        <w:rPr>
          <w:rtl/>
        </w:rPr>
        <w:t>אבל אם בא הכותי מאליו</w:t>
      </w:r>
      <w:r>
        <w:rPr>
          <w:rtl/>
        </w:rPr>
        <w:t xml:space="preserve"> </w:t>
      </w:r>
      <w:r w:rsidRPr="008B5936">
        <w:rPr>
          <w:rtl/>
        </w:rPr>
        <w:t>אוכל עמהם</w:t>
      </w:r>
      <w:r>
        <w:rPr>
          <w:rtl/>
        </w:rPr>
        <w:t xml:space="preserve"> מה שהן אוכלין שכבר הכינוה</w:t>
      </w:r>
      <w:r w:rsidRPr="008B5936">
        <w:rPr>
          <w:rtl/>
        </w:rPr>
        <w:t>" ע"כ .</w:t>
      </w:r>
      <w:r>
        <w:rPr>
          <w:rtl/>
        </w:rPr>
        <w:t xml:space="preserve"> </w:t>
      </w:r>
      <w:r w:rsidRPr="008B5936">
        <w:rPr>
          <w:rtl/>
        </w:rPr>
        <w:lastRenderedPageBreak/>
        <w:t>דעת המ"ב שמסיום דברי הרמב"ם</w:t>
      </w:r>
      <w:r>
        <w:rPr>
          <w:rtl/>
        </w:rPr>
        <w:t xml:space="preserve"> </w:t>
      </w:r>
      <w:r w:rsidRPr="008B5936">
        <w:rPr>
          <w:rtl/>
        </w:rPr>
        <w:t>שכותב</w:t>
      </w:r>
      <w:r>
        <w:rPr>
          <w:rtl/>
        </w:rPr>
        <w:t xml:space="preserve"> </w:t>
      </w:r>
      <w:r w:rsidRPr="008B5936">
        <w:rPr>
          <w:rtl/>
        </w:rPr>
        <w:t>"אבל אם בא הכותי מאליו אוכל עמהם</w:t>
      </w:r>
      <w:r>
        <w:rPr>
          <w:rtl/>
        </w:rPr>
        <w:t xml:space="preserve"> </w:t>
      </w:r>
      <w:r w:rsidRPr="008B5936">
        <w:rPr>
          <w:rtl/>
        </w:rPr>
        <w:t>מה שהן</w:t>
      </w:r>
      <w:r>
        <w:rPr>
          <w:rtl/>
        </w:rPr>
        <w:t xml:space="preserve"> </w:t>
      </w:r>
      <w:r w:rsidRPr="008B5936">
        <w:rPr>
          <w:rtl/>
        </w:rPr>
        <w:t>אוכלין שכבר הכינוה"</w:t>
      </w:r>
      <w:r>
        <w:rPr>
          <w:rtl/>
        </w:rPr>
        <w:t xml:space="preserve"> </w:t>
      </w:r>
      <w:r w:rsidRPr="008B5936">
        <w:rPr>
          <w:rtl/>
        </w:rPr>
        <w:t>משמע שאם לא הכינוה לפני ביאת הנכרי אז אסור לומר לנכרי שהוא יכול להשתתף בהסעודה</w:t>
      </w:r>
      <w:r w:rsidRPr="008B5936">
        <w:t>.</w:t>
      </w:r>
    </w:p>
    <w:p w14:paraId="036ACD05" w14:textId="77777777" w:rsidR="0046124A" w:rsidRPr="008B5936" w:rsidRDefault="0046124A" w:rsidP="0046124A">
      <w:pPr>
        <w:pStyle w:val="a3"/>
      </w:pPr>
      <w:r w:rsidRPr="008B5936">
        <w:rPr>
          <w:rtl/>
        </w:rPr>
        <w:t>וצ"ע מדוע אין שום רמז לזה בדברי רבינו</w:t>
      </w:r>
      <w:r>
        <w:rPr>
          <w:rtl/>
        </w:rPr>
        <w:t xml:space="preserve"> </w:t>
      </w:r>
      <w:r w:rsidRPr="008B5936">
        <w:rPr>
          <w:rtl/>
        </w:rPr>
        <w:t>ובדברי השו"ע</w:t>
      </w:r>
      <w:r>
        <w:rPr>
          <w:rtl/>
        </w:rPr>
        <w:t xml:space="preserve"> </w:t>
      </w:r>
      <w:r w:rsidRPr="008B5936">
        <w:rPr>
          <w:rtl/>
        </w:rPr>
        <w:t>ובפרט שרבינו נקט כהרמב"ם שאסור להזמין עכו"ם אפילו אם כבר נגמר כל ההכנות, עיין בשע"ר סעיף ב'</w:t>
      </w:r>
      <w:r>
        <w:rPr>
          <w:rtl/>
        </w:rPr>
        <w:t xml:space="preserve"> </w:t>
      </w:r>
      <w:r w:rsidRPr="008B5936">
        <w:rPr>
          <w:rtl/>
        </w:rPr>
        <w:t>"במה דברים אמורים כשהישראל נותן לו לאכל בלא הזמנה והפצרה אבל אסור להפציר בו שיאכל אצלו</w:t>
      </w:r>
      <w:r>
        <w:rPr>
          <w:rtl/>
        </w:rPr>
        <w:t xml:space="preserve"> </w:t>
      </w:r>
      <w:r w:rsidRPr="008B5936">
        <w:rPr>
          <w:rtl/>
        </w:rPr>
        <w:t>אפילו כבר בישל ותיקן כל צרכי סעודתו דכיון שהוא מפציר בו ורוצה לכבדו</w:t>
      </w:r>
      <w:r>
        <w:rPr>
          <w:rtl/>
        </w:rPr>
        <w:t xml:space="preserve"> </w:t>
      </w:r>
      <w:r w:rsidRPr="008B5936">
        <w:rPr>
          <w:rtl/>
        </w:rPr>
        <w:t>יש</w:t>
      </w:r>
      <w:r>
        <w:rPr>
          <w:rtl/>
        </w:rPr>
        <w:t xml:space="preserve"> לחוש שמא יבשל עוד קדירה בשבילו</w:t>
      </w:r>
      <w:r w:rsidRPr="008B5936">
        <w:rPr>
          <w:rtl/>
        </w:rPr>
        <w:t>". עיין שם בקו"א ס"א שהוא כותב שכן משמע בהרמב"ם</w:t>
      </w:r>
      <w:r>
        <w:rPr>
          <w:rtl/>
        </w:rPr>
        <w:t xml:space="preserve"> </w:t>
      </w:r>
      <w:r w:rsidRPr="008B5936">
        <w:rPr>
          <w:rtl/>
        </w:rPr>
        <w:t>וכן כתב הט"ז. וכיון שרבינו נקט כדעת הרמב"ם</w:t>
      </w:r>
      <w:r>
        <w:rPr>
          <w:rtl/>
        </w:rPr>
        <w:t xml:space="preserve"> </w:t>
      </w:r>
      <w:r w:rsidRPr="008B5936">
        <w:rPr>
          <w:rtl/>
        </w:rPr>
        <w:t>בהדין שאסור להזמין עכו"ם אפילו כבר השלים כל ההכנות מדוע אין רבינו מביא</w:t>
      </w:r>
      <w:r>
        <w:rPr>
          <w:rtl/>
        </w:rPr>
        <w:t xml:space="preserve"> </w:t>
      </w:r>
      <w:r w:rsidRPr="008B5936">
        <w:rPr>
          <w:rtl/>
        </w:rPr>
        <w:t>מה הרמב"ם סובר שאינו מותר להאכיל עכו"ם אפילו אינו מזמינו אם כל האוכל אינו מתוקן כבר</w:t>
      </w:r>
      <w:r w:rsidRPr="008B5936">
        <w:t>.</w:t>
      </w:r>
    </w:p>
    <w:p w14:paraId="3347FB47" w14:textId="77777777" w:rsidR="0046124A" w:rsidRPr="008B5936" w:rsidRDefault="0046124A" w:rsidP="0046124A">
      <w:pPr>
        <w:pStyle w:val="a3"/>
      </w:pPr>
      <w:r w:rsidRPr="008B5936">
        <w:rPr>
          <w:rtl/>
        </w:rPr>
        <w:t>ונראה לומר שדעת רבינו שמהדין של עבד ושפחה שמותר להאכילם ואפילו להרבות בשבילם אם הבעל הבית עושה זאת</w:t>
      </w:r>
      <w:r>
        <w:rPr>
          <w:rtl/>
        </w:rPr>
        <w:t xml:space="preserve"> </w:t>
      </w:r>
      <w:r w:rsidRPr="008B5936">
        <w:rPr>
          <w:rtl/>
        </w:rPr>
        <w:t>בבת אחת באותה קדירה שמבשל</w:t>
      </w:r>
      <w:r>
        <w:rPr>
          <w:rtl/>
        </w:rPr>
        <w:t xml:space="preserve"> לצורך עצמו</w:t>
      </w:r>
      <w:r w:rsidRPr="008B5936">
        <w:rPr>
          <w:rtl/>
        </w:rPr>
        <w:t>, מזה מוכח שאינו צריך לגמר תיקון המאכלים קודם שהוא מאכיל לנכרי הבא מאליו. דהנה האדון יודע</w:t>
      </w:r>
      <w:r>
        <w:rPr>
          <w:rtl/>
        </w:rPr>
        <w:t xml:space="preserve"> </w:t>
      </w:r>
      <w:r w:rsidRPr="008B5936">
        <w:rPr>
          <w:rtl/>
        </w:rPr>
        <w:t>מתחילה קודם שהוא מבשל ביו"ט</w:t>
      </w:r>
      <w:r w:rsidRPr="008B5936">
        <w:t>,</w:t>
      </w:r>
      <w:r>
        <w:rPr>
          <w:rFonts w:hint="cs"/>
          <w:rtl/>
        </w:rPr>
        <w:t xml:space="preserve"> </w:t>
      </w:r>
      <w:r w:rsidRPr="008B5936">
        <w:rPr>
          <w:rtl/>
        </w:rPr>
        <w:t>שהעבד יאכל אצלו ביו"ט</w:t>
      </w:r>
      <w:r>
        <w:rPr>
          <w:rtl/>
        </w:rPr>
        <w:t xml:space="preserve"> </w:t>
      </w:r>
      <w:r w:rsidRPr="008B5936">
        <w:rPr>
          <w:rtl/>
        </w:rPr>
        <w:t>ומ"מ לא חיישינן שהאדון ירבה בשבילו.</w:t>
      </w:r>
      <w:r>
        <w:rPr>
          <w:rtl/>
        </w:rPr>
        <w:t xml:space="preserve"> </w:t>
      </w:r>
      <w:r w:rsidRPr="008B5936">
        <w:rPr>
          <w:rtl/>
        </w:rPr>
        <w:t>וטעם ההיתר הוא משום שכיון שאינו מזמינו</w:t>
      </w:r>
      <w:r>
        <w:rPr>
          <w:rtl/>
        </w:rPr>
        <w:t xml:space="preserve"> </w:t>
      </w:r>
      <w:r w:rsidRPr="008B5936">
        <w:rPr>
          <w:rtl/>
        </w:rPr>
        <w:t>ולא מוכח שהוא רוצה לכבדו לא חיישינן שיבשל קדירה נוספת עבור העכו"ם</w:t>
      </w:r>
      <w:r w:rsidRPr="008B5936">
        <w:t>.</w:t>
      </w:r>
    </w:p>
    <w:p w14:paraId="6B7FB10D" w14:textId="77777777" w:rsidR="0046124A" w:rsidRPr="008B5936" w:rsidRDefault="0046124A" w:rsidP="0046124A">
      <w:pPr>
        <w:pStyle w:val="a3"/>
      </w:pPr>
      <w:r w:rsidRPr="008B5936">
        <w:rPr>
          <w:rtl/>
        </w:rPr>
        <w:t>ואף שיש לחלק ולומר שדוקא בעבד ושפחה</w:t>
      </w:r>
      <w:r>
        <w:rPr>
          <w:rtl/>
        </w:rPr>
        <w:t xml:space="preserve"> </w:t>
      </w:r>
      <w:r w:rsidRPr="008B5936">
        <w:rPr>
          <w:rtl/>
        </w:rPr>
        <w:t>יש להקל ולומר שמותר להאכילם אבל בבא העכו"ם מאליו</w:t>
      </w:r>
      <w:r>
        <w:rPr>
          <w:rtl/>
        </w:rPr>
        <w:t xml:space="preserve"> </w:t>
      </w:r>
      <w:r w:rsidRPr="008B5936">
        <w:rPr>
          <w:rtl/>
        </w:rPr>
        <w:t>לא מקילין כשבא הנכר</w:t>
      </w:r>
      <w:r>
        <w:rPr>
          <w:rtl/>
        </w:rPr>
        <w:t>י לפני הכנת הסעודה</w:t>
      </w:r>
      <w:r w:rsidRPr="008B5936">
        <w:rPr>
          <w:rtl/>
        </w:rPr>
        <w:t>, וכמו שמצינו שהרמ"א מקיל להוסיף אוכל עבור העבד בקדירה שמבשל בו לעצמו</w:t>
      </w:r>
      <w:r>
        <w:rPr>
          <w:rtl/>
        </w:rPr>
        <w:t xml:space="preserve"> </w:t>
      </w:r>
      <w:r w:rsidRPr="008B5936">
        <w:rPr>
          <w:rtl/>
        </w:rPr>
        <w:t>והרמ"א אינו מיקל לעכו"ם הבא מאליו</w:t>
      </w:r>
      <w:r>
        <w:rPr>
          <w:rtl/>
        </w:rPr>
        <w:t xml:space="preserve"> </w:t>
      </w:r>
      <w:r w:rsidRPr="008B5936">
        <w:rPr>
          <w:rtl/>
        </w:rPr>
        <w:t>להוסיף עבורו, וכדאיתא בשוע"ר ובהמשנה ברורה</w:t>
      </w:r>
      <w:r w:rsidRPr="008B5936">
        <w:t>.</w:t>
      </w:r>
    </w:p>
    <w:p w14:paraId="1CB82CE5" w14:textId="77777777" w:rsidR="0046124A" w:rsidRPr="008B5936" w:rsidRDefault="0046124A" w:rsidP="0046124A">
      <w:pPr>
        <w:pStyle w:val="a3"/>
      </w:pPr>
      <w:r w:rsidRPr="008B5936">
        <w:rPr>
          <w:rtl/>
        </w:rPr>
        <w:t>אבל נראה שרבינו הזקן סובר</w:t>
      </w:r>
      <w:r w:rsidRPr="008B5936">
        <w:rPr>
          <w:rFonts w:ascii="Cambria" w:hAnsi="Cambria" w:cs="Cambria" w:hint="cs"/>
          <w:rtl/>
        </w:rPr>
        <w:t> </w:t>
      </w:r>
      <w:r w:rsidRPr="008B5936">
        <w:rPr>
          <w:rFonts w:hint="cs"/>
          <w:rtl/>
        </w:rPr>
        <w:t>שכיון</w:t>
      </w:r>
      <w:r w:rsidRPr="008B5936">
        <w:rPr>
          <w:rtl/>
        </w:rPr>
        <w:t xml:space="preserve"> </w:t>
      </w:r>
      <w:r w:rsidRPr="008B5936">
        <w:rPr>
          <w:rFonts w:hint="cs"/>
          <w:rtl/>
        </w:rPr>
        <w:t>שהמחבר</w:t>
      </w:r>
      <w:r w:rsidRPr="008B5936">
        <w:rPr>
          <w:rtl/>
        </w:rPr>
        <w:t xml:space="preserve"> </w:t>
      </w:r>
      <w:r w:rsidRPr="008B5936">
        <w:rPr>
          <w:rFonts w:hint="cs"/>
          <w:rtl/>
        </w:rPr>
        <w:t>מביא</w:t>
      </w:r>
      <w:r w:rsidRPr="008B5936">
        <w:rPr>
          <w:rtl/>
        </w:rPr>
        <w:t xml:space="preserve"> </w:t>
      </w:r>
      <w:r w:rsidRPr="008B5936">
        <w:rPr>
          <w:rFonts w:hint="cs"/>
          <w:rtl/>
        </w:rPr>
        <w:t>הדין</w:t>
      </w:r>
      <w:r w:rsidRPr="008B5936">
        <w:rPr>
          <w:rtl/>
        </w:rPr>
        <w:t xml:space="preserve"> </w:t>
      </w:r>
      <w:r w:rsidRPr="008B5936">
        <w:rPr>
          <w:rFonts w:hint="cs"/>
          <w:rtl/>
        </w:rPr>
        <w:t>של</w:t>
      </w:r>
      <w:r w:rsidRPr="008B5936">
        <w:rPr>
          <w:rtl/>
        </w:rPr>
        <w:t xml:space="preserve"> </w:t>
      </w:r>
      <w:r w:rsidRPr="008B5936">
        <w:rPr>
          <w:rFonts w:hint="cs"/>
          <w:rtl/>
        </w:rPr>
        <w:t>עבד</w:t>
      </w:r>
      <w:r w:rsidRPr="008B5936">
        <w:rPr>
          <w:rtl/>
        </w:rPr>
        <w:t xml:space="preserve"> </w:t>
      </w:r>
      <w:r w:rsidRPr="008B5936">
        <w:rPr>
          <w:rFonts w:hint="cs"/>
          <w:rtl/>
        </w:rPr>
        <w:t>עם</w:t>
      </w:r>
      <w:r w:rsidRPr="008B5936">
        <w:rPr>
          <w:rtl/>
        </w:rPr>
        <w:t xml:space="preserve"> </w:t>
      </w:r>
      <w:r w:rsidRPr="008B5936">
        <w:rPr>
          <w:rFonts w:hint="cs"/>
          <w:rtl/>
        </w:rPr>
        <w:t>הדין</w:t>
      </w:r>
      <w:r w:rsidRPr="008B5936">
        <w:rPr>
          <w:rtl/>
        </w:rPr>
        <w:t xml:space="preserve"> </w:t>
      </w:r>
      <w:r w:rsidRPr="008B5936">
        <w:rPr>
          <w:rFonts w:hint="cs"/>
          <w:rtl/>
        </w:rPr>
        <w:t>של</w:t>
      </w:r>
      <w:r w:rsidRPr="008B5936">
        <w:rPr>
          <w:rtl/>
        </w:rPr>
        <w:t xml:space="preserve"> </w:t>
      </w:r>
      <w:r w:rsidRPr="008B5936">
        <w:rPr>
          <w:rFonts w:hint="cs"/>
          <w:rtl/>
        </w:rPr>
        <w:t>נכרי</w:t>
      </w:r>
      <w:r w:rsidRPr="008B5936">
        <w:rPr>
          <w:rtl/>
        </w:rPr>
        <w:t xml:space="preserve"> </w:t>
      </w:r>
      <w:r w:rsidRPr="008B5936">
        <w:rPr>
          <w:rFonts w:hint="cs"/>
          <w:rtl/>
        </w:rPr>
        <w:t>הבא</w:t>
      </w:r>
      <w:r w:rsidRPr="008B5936">
        <w:rPr>
          <w:rtl/>
        </w:rPr>
        <w:t xml:space="preserve"> </w:t>
      </w:r>
      <w:r w:rsidRPr="008B5936">
        <w:rPr>
          <w:rFonts w:hint="cs"/>
          <w:rtl/>
        </w:rPr>
        <w:t>מאליו</w:t>
      </w:r>
      <w:r w:rsidRPr="008B5936">
        <w:rPr>
          <w:rtl/>
        </w:rPr>
        <w:t xml:space="preserve"> </w:t>
      </w:r>
      <w:r w:rsidRPr="008B5936">
        <w:rPr>
          <w:rFonts w:hint="cs"/>
          <w:rtl/>
        </w:rPr>
        <w:t>בחד</w:t>
      </w:r>
      <w:r w:rsidRPr="008B5936">
        <w:rPr>
          <w:rtl/>
        </w:rPr>
        <w:t xml:space="preserve"> </w:t>
      </w:r>
      <w:r w:rsidRPr="008B5936">
        <w:rPr>
          <w:rFonts w:hint="cs"/>
          <w:rtl/>
        </w:rPr>
        <w:t>מחתא</w:t>
      </w:r>
      <w:r>
        <w:rPr>
          <w:rtl/>
        </w:rPr>
        <w:t xml:space="preserve"> </w:t>
      </w:r>
      <w:r w:rsidRPr="008B5936">
        <w:rPr>
          <w:rtl/>
        </w:rPr>
        <w:t>ש"מ שהוא סובר שגם בנכרי הבא מאליו מותר להאכילו אפילו בא</w:t>
      </w:r>
      <w:r>
        <w:rPr>
          <w:rtl/>
        </w:rPr>
        <w:t xml:space="preserve"> </w:t>
      </w:r>
      <w:r w:rsidRPr="008B5936">
        <w:rPr>
          <w:rtl/>
        </w:rPr>
        <w:t>לפני</w:t>
      </w:r>
      <w:r>
        <w:rPr>
          <w:rtl/>
        </w:rPr>
        <w:t xml:space="preserve"> הכנת הסעודה</w:t>
      </w:r>
      <w:r w:rsidRPr="008B5936">
        <w:rPr>
          <w:rtl/>
        </w:rPr>
        <w:t>.</w:t>
      </w:r>
      <w:r>
        <w:rPr>
          <w:rtl/>
        </w:rPr>
        <w:t xml:space="preserve"> </w:t>
      </w:r>
      <w:r w:rsidRPr="008B5936">
        <w:rPr>
          <w:rtl/>
        </w:rPr>
        <w:t>רבינו הזקן סובר שהרמ"א</w:t>
      </w:r>
      <w:r>
        <w:rPr>
          <w:rtl/>
        </w:rPr>
        <w:t xml:space="preserve"> </w:t>
      </w:r>
      <w:r w:rsidRPr="008B5936">
        <w:rPr>
          <w:rtl/>
        </w:rPr>
        <w:t>אינו בא אלא לומר שעבד הוא יותר קיל מנכרי הבא מאליו</w:t>
      </w:r>
      <w:r>
        <w:rPr>
          <w:rtl/>
        </w:rPr>
        <w:t xml:space="preserve"> </w:t>
      </w:r>
      <w:r w:rsidRPr="008B5936">
        <w:rPr>
          <w:rtl/>
        </w:rPr>
        <w:t>ומותר אפילו</w:t>
      </w:r>
      <w:r>
        <w:rPr>
          <w:rtl/>
        </w:rPr>
        <w:t xml:space="preserve"> </w:t>
      </w:r>
      <w:r w:rsidRPr="008B5936">
        <w:rPr>
          <w:rtl/>
        </w:rPr>
        <w:t>להוסיף עבורו</w:t>
      </w:r>
      <w:r>
        <w:rPr>
          <w:rtl/>
        </w:rPr>
        <w:t xml:space="preserve"> </w:t>
      </w:r>
      <w:r w:rsidRPr="008B5936">
        <w:rPr>
          <w:rtl/>
        </w:rPr>
        <w:t>בהקדירה שמבשל הבעל הבית לעצמו</w:t>
      </w:r>
      <w:r w:rsidRPr="008B5936">
        <w:t>.</w:t>
      </w:r>
    </w:p>
    <w:p w14:paraId="609F19B1" w14:textId="77777777" w:rsidR="0046124A" w:rsidRPr="008B5936" w:rsidRDefault="0046124A" w:rsidP="0046124A">
      <w:pPr>
        <w:pStyle w:val="a3"/>
      </w:pPr>
      <w:r w:rsidRPr="008B5936">
        <w:rPr>
          <w:rtl/>
        </w:rPr>
        <w:t>עיין הרא"ש</w:t>
      </w:r>
      <w:r>
        <w:rPr>
          <w:rtl/>
        </w:rPr>
        <w:t xml:space="preserve"> </w:t>
      </w:r>
      <w:r w:rsidRPr="008B5936">
        <w:rPr>
          <w:rtl/>
        </w:rPr>
        <w:t>על אתר</w:t>
      </w:r>
      <w:r>
        <w:rPr>
          <w:rtl/>
        </w:rPr>
        <w:t xml:space="preserve"> </w:t>
      </w:r>
      <w:r w:rsidRPr="008B5936">
        <w:rPr>
          <w:rtl/>
        </w:rPr>
        <w:t>"אם נשלח שליח איני יהודי</w:t>
      </w:r>
      <w:r>
        <w:rPr>
          <w:rtl/>
        </w:rPr>
        <w:t xml:space="preserve"> </w:t>
      </w:r>
      <w:r w:rsidRPr="008B5936">
        <w:rPr>
          <w:rtl/>
        </w:rPr>
        <w:t>מותר להאכילו ביו"ט</w:t>
      </w:r>
      <w:r>
        <w:rPr>
          <w:rtl/>
        </w:rPr>
        <w:t xml:space="preserve"> </w:t>
      </w:r>
      <w:r w:rsidRPr="008B5936">
        <w:rPr>
          <w:rtl/>
        </w:rPr>
        <w:t>כוי</w:t>
      </w:r>
      <w:r>
        <w:rPr>
          <w:rtl/>
        </w:rPr>
        <w:t xml:space="preserve"> </w:t>
      </w:r>
      <w:r w:rsidRPr="008B5936">
        <w:rPr>
          <w:rtl/>
        </w:rPr>
        <w:t>וכן נוהגין באשכנז שיש להם עבדים ושפחות אינם יהודים</w:t>
      </w:r>
      <w:r>
        <w:rPr>
          <w:rtl/>
        </w:rPr>
        <w:t xml:space="preserve"> </w:t>
      </w:r>
      <w:r w:rsidRPr="008B5936">
        <w:rPr>
          <w:rtl/>
        </w:rPr>
        <w:t>דלא אסר ריב"ל אלא לזמן האיני</w:t>
      </w:r>
      <w:r>
        <w:rPr>
          <w:rtl/>
        </w:rPr>
        <w:t xml:space="preserve"> </w:t>
      </w:r>
      <w:r w:rsidRPr="008B5936">
        <w:rPr>
          <w:rtl/>
        </w:rPr>
        <w:t>יהודי שהוא חפץ ביקרו</w:t>
      </w:r>
      <w:r>
        <w:rPr>
          <w:rtl/>
        </w:rPr>
        <w:t xml:space="preserve"> </w:t>
      </w:r>
      <w:r w:rsidRPr="008B5936">
        <w:rPr>
          <w:rtl/>
        </w:rPr>
        <w:t>ומרבה לו מנות</w:t>
      </w:r>
      <w:r>
        <w:rPr>
          <w:rtl/>
        </w:rPr>
        <w:t xml:space="preserve"> </w:t>
      </w:r>
      <w:r w:rsidRPr="008B5936">
        <w:rPr>
          <w:rtl/>
        </w:rPr>
        <w:t>וחיישינן שירבה קדירה בשבילו</w:t>
      </w:r>
      <w:r>
        <w:rPr>
          <w:rtl/>
        </w:rPr>
        <w:t xml:space="preserve"> </w:t>
      </w:r>
      <w:r w:rsidRPr="008B5936">
        <w:rPr>
          <w:rtl/>
        </w:rPr>
        <w:t>וכו' והא ליכא למיחש בעבד ושפחה בבית ישראל כו' ולא מצינו מי שנזהר בזה "עיין שם כל דבריו</w:t>
      </w:r>
      <w:r>
        <w:rPr>
          <w:rtl/>
        </w:rPr>
        <w:t xml:space="preserve"> </w:t>
      </w:r>
      <w:r w:rsidRPr="008B5936">
        <w:rPr>
          <w:rtl/>
        </w:rPr>
        <w:t>וכן</w:t>
      </w:r>
      <w:r>
        <w:rPr>
          <w:rtl/>
        </w:rPr>
        <w:t xml:space="preserve"> </w:t>
      </w:r>
      <w:r w:rsidRPr="008B5936">
        <w:rPr>
          <w:rtl/>
        </w:rPr>
        <w:t>כתב הר"ן וכן</w:t>
      </w:r>
      <w:r>
        <w:rPr>
          <w:rtl/>
        </w:rPr>
        <w:t xml:space="preserve"> </w:t>
      </w:r>
      <w:r w:rsidRPr="008B5936">
        <w:rPr>
          <w:rtl/>
        </w:rPr>
        <w:t>נקט הטור עיין כל זה בהטור ובית יוסף</w:t>
      </w:r>
      <w:r w:rsidRPr="008B5936">
        <w:t>.</w:t>
      </w:r>
    </w:p>
    <w:p w14:paraId="52A98699" w14:textId="77777777" w:rsidR="0046124A" w:rsidRPr="008B5936" w:rsidRDefault="0046124A" w:rsidP="0046124A">
      <w:pPr>
        <w:pStyle w:val="a3"/>
      </w:pPr>
      <w:r w:rsidRPr="008B5936">
        <w:rPr>
          <w:rtl/>
        </w:rPr>
        <w:t xml:space="preserve">וכן עיין בשוע"ר סעיף ג שהוא כותב "אבל מותר להוסיף בשר בשביל עבדו </w:t>
      </w:r>
      <w:r w:rsidRPr="008B5936">
        <w:rPr>
          <w:rtl/>
        </w:rPr>
        <w:lastRenderedPageBreak/>
        <w:t>ושפחתו או בשביל כלבו בקדירה שמבשל בו לצורך יו"ט דכיון שאינו נותן לאכל בשביל כבודם אלא מחמת שמזונותיו עליו אין לחוש שמא יבשל עוד קדירה אחרת בשבילם כיון שאינו רוצה ליתן להם בשר יותר ממה שמוסיף בשבילם</w:t>
      </w:r>
      <w:r w:rsidRPr="008B5936">
        <w:t>.</w:t>
      </w:r>
    </w:p>
    <w:p w14:paraId="4C9D799E" w14:textId="77777777" w:rsidR="0046124A" w:rsidRPr="008B5936" w:rsidRDefault="0046124A" w:rsidP="0046124A">
      <w:pPr>
        <w:pStyle w:val="a3"/>
      </w:pPr>
      <w:r w:rsidRPr="008B5936">
        <w:rPr>
          <w:rtl/>
        </w:rPr>
        <w:t>והנראה לומר שהרמב"ם אינו מסכים להא דהתיר הרא"ש והר"ן</w:t>
      </w:r>
      <w:r>
        <w:rPr>
          <w:rtl/>
        </w:rPr>
        <w:t xml:space="preserve"> </w:t>
      </w:r>
      <w:r w:rsidRPr="008B5936">
        <w:rPr>
          <w:rtl/>
        </w:rPr>
        <w:t>והשו"ע לבשל עבור עבדו ושפחתו. מדברי הרמב"ם משמע שהוא אינו מתיר לנכרי כי אם במקום</w:t>
      </w:r>
      <w:r>
        <w:rPr>
          <w:rtl/>
        </w:rPr>
        <w:t xml:space="preserve"> </w:t>
      </w:r>
      <w:r w:rsidRPr="008B5936">
        <w:rPr>
          <w:rtl/>
        </w:rPr>
        <w:t>שהנכרי בא מאליו לבית היהודי</w:t>
      </w:r>
      <w:r>
        <w:rPr>
          <w:rtl/>
        </w:rPr>
        <w:t xml:space="preserve"> </w:t>
      </w:r>
      <w:r w:rsidRPr="008B5936">
        <w:rPr>
          <w:rtl/>
        </w:rPr>
        <w:t>וכבר נגמרו כל תיקוני האוכל</w:t>
      </w:r>
      <w:r w:rsidRPr="008B5936">
        <w:t>.</w:t>
      </w:r>
    </w:p>
    <w:p w14:paraId="504F7AAA" w14:textId="77777777" w:rsidR="0046124A" w:rsidRPr="008B5936" w:rsidRDefault="0046124A" w:rsidP="0046124A">
      <w:pPr>
        <w:pStyle w:val="a3"/>
      </w:pPr>
      <w:r w:rsidRPr="008B5936">
        <w:rPr>
          <w:rtl/>
        </w:rPr>
        <w:t>העולה מזה שדעת המשנה ברורה שהשו"ע שמתרת ליתן אוכל לנכרי שבא מאליו ביו"ט מיירי רק במקום שהבעל הבית כבר גמר כל ההכנות להסעו</w:t>
      </w:r>
      <w:r>
        <w:rPr>
          <w:rtl/>
        </w:rPr>
        <w:t>דה ודברי המ"ב מיוסדים על הרמב"ם</w:t>
      </w:r>
      <w:r w:rsidRPr="008B5936">
        <w:rPr>
          <w:rtl/>
        </w:rPr>
        <w:t>.</w:t>
      </w:r>
      <w:r>
        <w:rPr>
          <w:rFonts w:hint="cs"/>
          <w:rtl/>
        </w:rPr>
        <w:t xml:space="preserve"> </w:t>
      </w:r>
      <w:r w:rsidRPr="008B5936">
        <w:rPr>
          <w:rtl/>
        </w:rPr>
        <w:t>אבל דעת רבינו</w:t>
      </w:r>
      <w:r>
        <w:rPr>
          <w:rtl/>
        </w:rPr>
        <w:t xml:space="preserve"> </w:t>
      </w:r>
      <w:r w:rsidRPr="008B5936">
        <w:rPr>
          <w:rtl/>
        </w:rPr>
        <w:t>שהשו"ע לא קיבל דעת הרמב"ם</w:t>
      </w:r>
      <w:r>
        <w:rPr>
          <w:rtl/>
        </w:rPr>
        <w:t xml:space="preserve"> </w:t>
      </w:r>
      <w:r w:rsidRPr="008B5936">
        <w:rPr>
          <w:rtl/>
        </w:rPr>
        <w:t>בזה וע"כ</w:t>
      </w:r>
      <w:r>
        <w:rPr>
          <w:rtl/>
        </w:rPr>
        <w:t xml:space="preserve"> </w:t>
      </w:r>
      <w:r w:rsidRPr="008B5936">
        <w:rPr>
          <w:rtl/>
        </w:rPr>
        <w:t>מותר להאכיל העכו"ם הבא מאליו אפילו אם הבעל הבית לא גמר ההכנות להסעודה</w:t>
      </w:r>
      <w:r w:rsidRPr="008B5936">
        <w:t>.</w:t>
      </w:r>
    </w:p>
    <w:p w14:paraId="1421A48D" w14:textId="77777777" w:rsidR="0046124A" w:rsidRPr="00D16A3E" w:rsidRDefault="0046124A" w:rsidP="0046124A">
      <w:pPr>
        <w:pStyle w:val="a3"/>
        <w:rPr>
          <w:rtl/>
        </w:rPr>
      </w:pPr>
      <w:r w:rsidRPr="008B5936">
        <w:rPr>
          <w:rtl/>
        </w:rPr>
        <w:t>למרות שרבינו הזקן שולל דעת הרמב"ם ונקט כהשו"ע שמותר להאכיל עבדים ושפחות מ"מ</w:t>
      </w:r>
      <w:r>
        <w:rPr>
          <w:rtl/>
        </w:rPr>
        <w:t xml:space="preserve"> </w:t>
      </w:r>
      <w:r w:rsidRPr="008B5936">
        <w:rPr>
          <w:rtl/>
        </w:rPr>
        <w:t>הוא פסק כהרמב"ם שאסור להזמין נכרי ביו"ט אפילו</w:t>
      </w:r>
      <w:r>
        <w:rPr>
          <w:rtl/>
        </w:rPr>
        <w:t xml:space="preserve"> </w:t>
      </w:r>
      <w:r w:rsidRPr="008B5936">
        <w:rPr>
          <w:rtl/>
        </w:rPr>
        <w:t>אם נגמרו כל ההכנות. רבינו סובר בזה כהרמב"ם שבזה יש חשש שיוסף</w:t>
      </w:r>
      <w:r>
        <w:rPr>
          <w:rtl/>
        </w:rPr>
        <w:t xml:space="preserve"> </w:t>
      </w:r>
      <w:r w:rsidRPr="008B5936">
        <w:rPr>
          <w:rtl/>
        </w:rPr>
        <w:t>להרבות עוד מאכל בשבילו</w:t>
      </w:r>
      <w:r w:rsidRPr="008B5936">
        <w:t>.</w:t>
      </w:r>
    </w:p>
    <w:p w14:paraId="268DB06E" w14:textId="14A7E177" w:rsidR="0046124A" w:rsidRDefault="0046124A" w:rsidP="00304B8E">
      <w:pPr>
        <w:pStyle w:val="M"/>
        <w:rPr>
          <w:rtl/>
        </w:rPr>
      </w:pPr>
      <w:r>
        <w:rPr>
          <w:noProof/>
        </w:rPr>
        <w:drawing>
          <wp:inline distT="0" distB="0" distL="0" distR="0" wp14:anchorId="7F86BC4E" wp14:editId="6EF2FAD0">
            <wp:extent cx="875763" cy="23404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E7BA35C" w14:textId="4F93F7D8" w:rsidR="00657259" w:rsidRDefault="00657259" w:rsidP="00657259">
      <w:pPr>
        <w:pStyle w:val="a0"/>
        <w:rPr>
          <w:rtl/>
        </w:rPr>
      </w:pPr>
      <w:bookmarkStart w:id="162" w:name="_Toc81540429"/>
      <w:r>
        <w:rPr>
          <w:rFonts w:hint="cs"/>
          <w:rtl/>
        </w:rPr>
        <w:t>ערבה שכמשה בזמנינו</w:t>
      </w:r>
      <w:bookmarkEnd w:id="162"/>
    </w:p>
    <w:p w14:paraId="68370DE2" w14:textId="4ED8F169" w:rsidR="00657259" w:rsidRDefault="00E31722" w:rsidP="0046124A">
      <w:pPr>
        <w:pStyle w:val="a"/>
        <w:rPr>
          <w:rtl/>
        </w:rPr>
      </w:pPr>
      <w:bookmarkStart w:id="163" w:name="_Toc81540430"/>
      <w:r>
        <w:rPr>
          <w:rFonts w:hint="cs"/>
          <w:rtl/>
        </w:rPr>
        <w:t xml:space="preserve">הרב </w:t>
      </w:r>
      <w:r w:rsidR="00657259">
        <w:rPr>
          <w:rFonts w:hint="cs"/>
          <w:rtl/>
        </w:rPr>
        <w:t>שלום צירקינד</w:t>
      </w:r>
      <w:bookmarkEnd w:id="163"/>
    </w:p>
    <w:p w14:paraId="73B2278D" w14:textId="14A44755" w:rsidR="00E31722" w:rsidRPr="00E31722" w:rsidRDefault="00E31722" w:rsidP="00E31722">
      <w:pPr>
        <w:pStyle w:val="a1"/>
        <w:rPr>
          <w:rtl/>
          <w:lang w:val="en-GB"/>
        </w:rPr>
      </w:pPr>
      <w:r w:rsidRPr="00E85961">
        <w:rPr>
          <w:rtl/>
        </w:rPr>
        <w:t>תו</w:t>
      </w:r>
      <w:r>
        <w:rPr>
          <w:rFonts w:hint="cs"/>
          <w:rtl/>
        </w:rPr>
        <w:t>שב השכונה</w:t>
      </w:r>
    </w:p>
    <w:p w14:paraId="231C94E9" w14:textId="77777777" w:rsidR="00657259" w:rsidRDefault="00657259" w:rsidP="00E60D97">
      <w:pPr>
        <w:pStyle w:val="a3"/>
        <w:rPr>
          <w:rtl/>
        </w:rPr>
      </w:pPr>
      <w:r>
        <w:rPr>
          <w:rFonts w:hint="cs"/>
          <w:rtl/>
        </w:rPr>
        <w:t>בשו"ע סי' תרמ"ז ס"ו, כתב אדמוה"ז: "</w:t>
      </w:r>
      <w:r w:rsidRPr="005860C3">
        <w:rPr>
          <w:rtl/>
        </w:rPr>
        <w:t>יבשו רוב עליה פ</w:t>
      </w:r>
      <w:r>
        <w:rPr>
          <w:rFonts w:hint="cs"/>
          <w:rtl/>
        </w:rPr>
        <w:t>ס</w:t>
      </w:r>
      <w:r w:rsidRPr="005860C3">
        <w:rPr>
          <w:rtl/>
        </w:rPr>
        <w:t>ולה שאין זה הדור</w:t>
      </w:r>
      <w:r>
        <w:rPr>
          <w:rFonts w:hint="cs"/>
          <w:rtl/>
        </w:rPr>
        <w:t>,</w:t>
      </w:r>
      <w:r w:rsidRPr="005860C3">
        <w:rPr>
          <w:rtl/>
        </w:rPr>
        <w:t xml:space="preserve"> וכמה שיעור היבשות משהלבינו פניה</w:t>
      </w:r>
      <w:r>
        <w:rPr>
          <w:rFonts w:hint="cs"/>
          <w:rtl/>
        </w:rPr>
        <w:t>ם,</w:t>
      </w:r>
      <w:r w:rsidRPr="005860C3">
        <w:rPr>
          <w:rtl/>
        </w:rPr>
        <w:t xml:space="preserve"> אבל אם לא הגיעו העלין לשיעור היבשות אע"פ שכבר כמשה הרי זו כשרה</w:t>
      </w:r>
      <w:r>
        <w:rPr>
          <w:rFonts w:hint="cs"/>
          <w:rtl/>
        </w:rPr>
        <w:t>".</w:t>
      </w:r>
    </w:p>
    <w:p w14:paraId="1A896126" w14:textId="77777777" w:rsidR="00657259" w:rsidRDefault="00657259" w:rsidP="00E60D97">
      <w:pPr>
        <w:pStyle w:val="a3"/>
        <w:rPr>
          <w:rtl/>
        </w:rPr>
      </w:pPr>
      <w:r>
        <w:rPr>
          <w:rFonts w:hint="cs"/>
          <w:rtl/>
        </w:rPr>
        <w:t xml:space="preserve">והנה בערבות המצויים הגדלים פה בארצות הברית, הנה בדרך כלל לאחר כמה ימים מתחילת השימוש בהם, מתהפכים מראה העלים מירוק לשחור. ורק לאחר זמן </w:t>
      </w:r>
      <w:r w:rsidRPr="005860C3">
        <w:rPr>
          <w:rFonts w:hint="cs"/>
          <w:bCs/>
          <w:rtl/>
        </w:rPr>
        <w:t>מרובה</w:t>
      </w:r>
      <w:r>
        <w:rPr>
          <w:rFonts w:hint="cs"/>
          <w:rtl/>
        </w:rPr>
        <w:t>, כשכבר נתעפשים העלים וכו', מתהפכים פניהם ללבן.</w:t>
      </w:r>
    </w:p>
    <w:p w14:paraId="2360B29E" w14:textId="77777777" w:rsidR="00657259" w:rsidRDefault="00657259" w:rsidP="00E60D97">
      <w:pPr>
        <w:pStyle w:val="a3"/>
        <w:rPr>
          <w:rtl/>
        </w:rPr>
      </w:pPr>
      <w:r>
        <w:rPr>
          <w:rFonts w:hint="cs"/>
          <w:rtl/>
        </w:rPr>
        <w:t>ועפ"ז נהגו הרבה אנשים, שאם עלי הערבה הושחרו, אע"פ שכבר כלה כל מראה ירקות שלהן, מ"מ מחשיבים את זה כ"כמשה" וכשרה.</w:t>
      </w:r>
    </w:p>
    <w:p w14:paraId="4FB119A2" w14:textId="77777777" w:rsidR="00657259" w:rsidRDefault="00657259" w:rsidP="00E60D97">
      <w:pPr>
        <w:pStyle w:val="a3"/>
        <w:rPr>
          <w:rtl/>
        </w:rPr>
      </w:pPr>
      <w:r>
        <w:rPr>
          <w:rFonts w:hint="cs"/>
          <w:rtl/>
        </w:rPr>
        <w:t>ויש להעיר: א) בפשטות, הך גדר ד"משלהבינו פניהם", אין הדיוק על מראה לבן דוקא, אלא על זה שכלה כל מראה הירקות (וכן משמע במקור הדבר בראשונים, ראה לדוגמא תמים דעים לראב"ד סי' רל"ב "משתכלה כל מראה ירקות שלהן וילבינו פניהן"). ולכן כל שכלה מראה הירקות, אע"פ שלא נהפך ללבן, אין זו כשרה.</w:t>
      </w:r>
    </w:p>
    <w:p w14:paraId="58314B92" w14:textId="77777777" w:rsidR="00657259" w:rsidRDefault="00657259" w:rsidP="00E60D97">
      <w:pPr>
        <w:pStyle w:val="a3"/>
        <w:rPr>
          <w:rtl/>
        </w:rPr>
      </w:pPr>
      <w:r>
        <w:rPr>
          <w:rFonts w:hint="cs"/>
          <w:rtl/>
        </w:rPr>
        <w:t xml:space="preserve">ב) ואם יאמר האמור, שסוף סוף הלא הלשון הוא "משהלבינו פניהם", וא"כ כל </w:t>
      </w:r>
      <w:r>
        <w:rPr>
          <w:rFonts w:hint="cs"/>
          <w:rtl/>
        </w:rPr>
        <w:lastRenderedPageBreak/>
        <w:t>עוד שלא הלבינו פניהם (אפילו אם כלה מראה הירקות), עדיין כשרה היא, הנה לכאורה הביאור בזה הוא כלדהלן:</w:t>
      </w:r>
    </w:p>
    <w:p w14:paraId="762CF335" w14:textId="77777777" w:rsidR="00657259" w:rsidRDefault="00657259" w:rsidP="00E60D97">
      <w:pPr>
        <w:pStyle w:val="a3"/>
        <w:rPr>
          <w:rtl/>
        </w:rPr>
      </w:pPr>
      <w:r>
        <w:rPr>
          <w:rFonts w:hint="cs"/>
          <w:rtl/>
        </w:rPr>
        <w:t xml:space="preserve">יש סוגי ערבות (כמדומני שכן הוא באלו הגדלים ב"מוצא" וכיו"ב) שאכן אפשר לראות עליהם בחוש, שלאחר שכלה כל מראה ירקות שלהם, הם מתהפכים ללבן </w:t>
      </w:r>
      <w:r>
        <w:rPr>
          <w:rtl/>
        </w:rPr>
        <w:t>–</w:t>
      </w:r>
      <w:r>
        <w:rPr>
          <w:rFonts w:hint="cs"/>
          <w:rtl/>
        </w:rPr>
        <w:t xml:space="preserve"> ולא לשחור. ולכאו' מסתבר לומר שהראשונים שהשתמשו בהלשון "משהלבינו פניהם"</w:t>
      </w:r>
      <w:r>
        <w:rPr>
          <w:rFonts w:hint="cs"/>
        </w:rPr>
        <w:t xml:space="preserve"> </w:t>
      </w:r>
      <w:r>
        <w:rPr>
          <w:rFonts w:hint="cs"/>
          <w:rtl/>
        </w:rPr>
        <w:t>דיברו על סוג ערבות האלו. שבערבות האלו, הלשון "הלבינו פניהם" הוא הוא הגדר שכלה כל מראה הירקות. וא"כ לכאו' ליכא שום סברא לחדש ולומר שבסוגי ערבות המצויים בינינו שמשכלה כל מראה ירקות שלהם נהפכים לשחור ולא ללבן, שעדיין יהיו כשרים, משום הלשון "משהלבינו פניהם"</w:t>
      </w:r>
      <w:r>
        <w:rPr>
          <w:rFonts w:hint="cs"/>
        </w:rPr>
        <w:t xml:space="preserve"> </w:t>
      </w:r>
      <w:r>
        <w:rPr>
          <w:rFonts w:hint="cs"/>
          <w:rtl/>
        </w:rPr>
        <w:t>שמצינו בראשונים, (שלכאו' מדבר על סוג ערבות אחרות). ו</w:t>
      </w:r>
      <w:r w:rsidRPr="0078260F">
        <w:rPr>
          <w:rFonts w:hint="cs"/>
          <w:bCs/>
          <w:rtl/>
        </w:rPr>
        <w:t>פשוט</w:t>
      </w:r>
      <w:r>
        <w:rPr>
          <w:rFonts w:hint="cs"/>
          <w:rtl/>
        </w:rPr>
        <w:t>.</w:t>
      </w:r>
    </w:p>
    <w:p w14:paraId="357B29EC" w14:textId="77777777" w:rsidR="00657259" w:rsidRDefault="00657259" w:rsidP="00E60D97">
      <w:pPr>
        <w:pStyle w:val="a3"/>
      </w:pPr>
      <w:r>
        <w:rPr>
          <w:rFonts w:hint="cs"/>
          <w:rtl/>
        </w:rPr>
        <w:t>וכמובן שכל זה הוא לא לפסוק הלכה למעשה, אלא להעיר ולהציע לפני הרבנים הגאונים והת"ח המופלגים שיחיו, שמסתמא יעיינו בדין זה ויוציאוהו לאשורו ולאמיתתו.</w:t>
      </w:r>
    </w:p>
    <w:p w14:paraId="26A0B63A" w14:textId="51E1B0E1" w:rsidR="00657259" w:rsidRPr="00657259" w:rsidRDefault="0072178A" w:rsidP="00492226">
      <w:pPr>
        <w:pStyle w:val="M"/>
        <w:rPr>
          <w:rtl/>
          <w:lang w:val="en-US"/>
        </w:rPr>
      </w:pPr>
      <w:r>
        <w:rPr>
          <w:noProof/>
        </w:rPr>
        <w:drawing>
          <wp:inline distT="0" distB="0" distL="0" distR="0" wp14:anchorId="5A4B912A" wp14:editId="200CCF2D">
            <wp:extent cx="875763" cy="23404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AD8D8C6" w14:textId="31ED19CA" w:rsidR="000672B7" w:rsidRDefault="000672B7" w:rsidP="00E31722">
      <w:pPr>
        <w:pStyle w:val="a0"/>
        <w:rPr>
          <w:rFonts w:eastAsia="Calibri"/>
          <w:rtl/>
        </w:rPr>
      </w:pPr>
      <w:bookmarkStart w:id="164" w:name="_Toc417613797"/>
      <w:bookmarkStart w:id="165" w:name="_Toc424876492"/>
      <w:bookmarkStart w:id="166" w:name="_Toc81540431"/>
      <w:r>
        <w:rPr>
          <w:rFonts w:eastAsia="Calibri"/>
          <w:rtl/>
        </w:rPr>
        <w:t>תיקון עירובי עיירות בהלכה ובמשנת הרבי (גליון)</w:t>
      </w:r>
      <w:bookmarkEnd w:id="166"/>
      <w:r>
        <w:rPr>
          <w:rFonts w:eastAsia="Calibri"/>
          <w:rtl/>
        </w:rPr>
        <w:t xml:space="preserve"> </w:t>
      </w:r>
    </w:p>
    <w:p w14:paraId="7C010E66" w14:textId="4D5CB94B" w:rsidR="000672B7" w:rsidRDefault="00E31722" w:rsidP="0046124A">
      <w:pPr>
        <w:pStyle w:val="a"/>
        <w:rPr>
          <w:rFonts w:ascii="FbFrankReal" w:eastAsia="Times New Roman" w:hAnsi="FbFrankReal" w:cs="Dor"/>
          <w:rtl/>
        </w:rPr>
      </w:pPr>
      <w:bookmarkStart w:id="167" w:name="_Toc458140187"/>
      <w:bookmarkStart w:id="168" w:name="_Toc81540432"/>
      <w:r>
        <w:rPr>
          <w:rFonts w:hint="cs"/>
          <w:rtl/>
        </w:rPr>
        <w:t>הרב</w:t>
      </w:r>
      <w:r w:rsidR="000672B7">
        <w:rPr>
          <w:rFonts w:hint="cs"/>
          <w:rtl/>
        </w:rPr>
        <w:t xml:space="preserve"> מנחם </w:t>
      </w:r>
      <w:r w:rsidR="000672B7" w:rsidRPr="000672B7">
        <w:rPr>
          <w:rFonts w:hint="cs"/>
          <w:rtl/>
        </w:rPr>
        <w:t>מענדל</w:t>
      </w:r>
      <w:r w:rsidR="000672B7">
        <w:rPr>
          <w:rFonts w:hint="cs"/>
          <w:rtl/>
        </w:rPr>
        <w:t xml:space="preserve"> רייצס</w:t>
      </w:r>
      <w:bookmarkEnd w:id="164"/>
      <w:bookmarkEnd w:id="165"/>
      <w:bookmarkEnd w:id="167"/>
      <w:bookmarkEnd w:id="168"/>
    </w:p>
    <w:p w14:paraId="4F926387" w14:textId="77777777" w:rsidR="000672B7" w:rsidRDefault="000672B7" w:rsidP="000672B7">
      <w:pPr>
        <w:pStyle w:val="a1"/>
        <w:bidi/>
        <w:jc w:val="right"/>
        <w:rPr>
          <w:rFonts w:hint="cs"/>
          <w:rtl/>
        </w:rPr>
      </w:pPr>
      <w:r>
        <w:rPr>
          <w:rFonts w:hint="cs"/>
          <w:rtl/>
        </w:rPr>
        <w:t>קרית גת</w:t>
      </w:r>
    </w:p>
    <w:p w14:paraId="15D88373" w14:textId="77777777" w:rsidR="000672B7" w:rsidRDefault="000672B7" w:rsidP="00E60D97">
      <w:pPr>
        <w:pStyle w:val="a3"/>
        <w:rPr>
          <w:rFonts w:hint="cs"/>
          <w:rtl/>
        </w:rPr>
      </w:pPr>
      <w:r>
        <w:rPr>
          <w:rtl/>
        </w:rPr>
        <w:t xml:space="preserve">בקובץ 'הערות וביאורים' שיצא לאור לקראת ג' תמוז השתא – גליון א'קצט – כתב הרב לוי קפלן שי' באריכות מופלגה (מעמ' 126 עד עמ' 157!) בבירור הענין של תיקוני עירובין בזמננו ובמקומותינו, הלכה למעשה. </w:t>
      </w:r>
    </w:p>
    <w:p w14:paraId="2E37959D" w14:textId="77777777" w:rsidR="000672B7" w:rsidRDefault="000672B7" w:rsidP="00E60D97">
      <w:pPr>
        <w:pStyle w:val="a3"/>
        <w:rPr>
          <w:rtl/>
        </w:rPr>
      </w:pPr>
      <w:r>
        <w:rPr>
          <w:rtl/>
        </w:rPr>
        <w:t>ויש להעיר על דבריו שם, כדרכה של תורה:</w:t>
      </w:r>
    </w:p>
    <w:p w14:paraId="257382C6" w14:textId="77777777" w:rsidR="000672B7" w:rsidRDefault="000672B7" w:rsidP="00E60D97">
      <w:pPr>
        <w:pStyle w:val="a3"/>
      </w:pPr>
      <w:r>
        <w:rPr>
          <w:rtl/>
        </w:rPr>
        <w:t xml:space="preserve">הנה מלבד ריבוי המראי מקומות שהביא מראשונים ואחרונים וכו' (ויישר חיליה על שטרח בליקוט וביאור), הנה בא לברר את דעת כ"ק אדמו"ר בענין זה. </w:t>
      </w:r>
    </w:p>
    <w:p w14:paraId="5B6CBE7E" w14:textId="77777777" w:rsidR="000672B7" w:rsidRDefault="000672B7" w:rsidP="00E60D97">
      <w:pPr>
        <w:pStyle w:val="a3"/>
        <w:rPr>
          <w:rtl/>
        </w:rPr>
      </w:pPr>
      <w:r>
        <w:rPr>
          <w:rtl/>
        </w:rPr>
        <w:t xml:space="preserve">ונראה שנתכוון לאפוקי מהדיעה הרווחת בפי כל שכ"ק אדמו"ר </w:t>
      </w:r>
      <w:r>
        <w:rPr>
          <w:bCs/>
          <w:rtl/>
        </w:rPr>
        <w:t>הסתייג מאוד</w:t>
      </w:r>
      <w:r>
        <w:rPr>
          <w:rtl/>
        </w:rPr>
        <w:t xml:space="preserve"> מענין עשיית עירובין - אלא בא להראות שיש במענות כ"ק אדמו"ר צדדים לכאן ולכאן, ואדרבה, מסיק שם </w:t>
      </w:r>
      <w:r>
        <w:rPr>
          <w:bCs/>
          <w:rtl/>
        </w:rPr>
        <w:t>שבדרך כלל</w:t>
      </w:r>
      <w:r>
        <w:rPr>
          <w:rtl/>
        </w:rPr>
        <w:t xml:space="preserve"> דעת כ"ק אדמו"ר היא ש"גם בימינו מצוה היא לחזור אחר עירובי חצרות ובכללם תיקון עירובין בעיירות – בין באה"ק </w:t>
      </w:r>
      <w:r>
        <w:rPr>
          <w:bCs/>
          <w:rtl/>
        </w:rPr>
        <w:t>ובין בחו"ל</w:t>
      </w:r>
      <w:r>
        <w:rPr>
          <w:rtl/>
        </w:rPr>
        <w:t xml:space="preserve">". </w:t>
      </w:r>
    </w:p>
    <w:p w14:paraId="75D4DC6F" w14:textId="77777777" w:rsidR="000672B7" w:rsidRDefault="000672B7" w:rsidP="00E60D97">
      <w:pPr>
        <w:pStyle w:val="a3"/>
        <w:rPr>
          <w:rtl/>
        </w:rPr>
      </w:pPr>
      <w:r>
        <w:rPr>
          <w:rtl/>
        </w:rPr>
        <w:t xml:space="preserve">אמנם בעיון הראוי נראה לענ"ד שנטייה זו </w:t>
      </w:r>
      <w:r>
        <w:rPr>
          <w:bCs/>
          <w:rtl/>
        </w:rPr>
        <w:t>לקולא</w:t>
      </w:r>
      <w:r>
        <w:rPr>
          <w:rtl/>
        </w:rPr>
        <w:t xml:space="preserve"> - יסודותיה רעועים, וכדלקמן:</w:t>
      </w:r>
    </w:p>
    <w:p w14:paraId="0219876A" w14:textId="635A127C" w:rsidR="000672B7" w:rsidRDefault="000672B7" w:rsidP="00E60D97">
      <w:pPr>
        <w:pStyle w:val="a3"/>
        <w:rPr>
          <w:rtl/>
        </w:rPr>
      </w:pPr>
      <w:r w:rsidRPr="000672B7">
        <w:rPr>
          <w:rFonts w:hint="cs"/>
          <w:rtl/>
        </w:rPr>
        <w:t>1.</w:t>
      </w:r>
      <w:r>
        <w:rPr>
          <w:rtl/>
        </w:rPr>
        <w:t xml:space="preserve"> בספר 'שליחות כהלכתה' ע' 92 וע' 95 הובאו דברים מפורשים שאמר כ"ק </w:t>
      </w:r>
      <w:r>
        <w:rPr>
          <w:rtl/>
        </w:rPr>
        <w:lastRenderedPageBreak/>
        <w:t xml:space="preserve">אדמו"ר ב'יחידות' לאנשים שונים שלא יתעסקו בעשיית עירוב מכמה טעמים. – </w:t>
      </w:r>
    </w:p>
    <w:p w14:paraId="286C8F01" w14:textId="77777777" w:rsidR="000672B7" w:rsidRDefault="000672B7" w:rsidP="00E60D97">
      <w:pPr>
        <w:pStyle w:val="a3"/>
      </w:pPr>
      <w:r>
        <w:rPr>
          <w:rtl/>
        </w:rPr>
        <w:t xml:space="preserve">אמנם הרב הנ"ל מתחמק מזה (בע' 147 בהערה 69) וכתב: "הנה מצינו בכמה מקומות במשנת רבינו שאין אנו אחראים לשמועות .. וכבר אמר רבינו בכגון דא שאפילו היכא שכללות השמועה נכונה בכיו"ב, על ידי שינוי תיבה אחת במסירת שמועה מאחד לשני אפשר להיות שינוי תוכני".  </w:t>
      </w:r>
    </w:p>
    <w:p w14:paraId="67B6D442" w14:textId="77777777" w:rsidR="000672B7" w:rsidRDefault="000672B7" w:rsidP="00E60D97">
      <w:pPr>
        <w:pStyle w:val="a3"/>
      </w:pPr>
      <w:r>
        <w:rPr>
          <w:rtl/>
        </w:rPr>
        <w:t>ותמה תמה אקרא על דבריו אלו, שבמחכ"ת אין להם כל שייכות לעניננו:</w:t>
      </w:r>
    </w:p>
    <w:p w14:paraId="6BF9CFFA" w14:textId="77777777" w:rsidR="000672B7" w:rsidRDefault="000672B7" w:rsidP="00E60D97">
      <w:pPr>
        <w:pStyle w:val="a3"/>
        <w:rPr>
          <w:rtl/>
        </w:rPr>
      </w:pPr>
      <w:r>
        <w:rPr>
          <w:rtl/>
        </w:rPr>
        <w:t xml:space="preserve">כאשר אמר כ"ק אדמו"ר שאין לסמוך על שמועות – התכוון כפשוט שאין להסתמך על שמועות </w:t>
      </w:r>
      <w:r>
        <w:rPr>
          <w:bCs/>
          <w:rtl/>
        </w:rPr>
        <w:t>כדי לשנות איזה מנהג קיים</w:t>
      </w:r>
      <w:r>
        <w:rPr>
          <w:rtl/>
        </w:rPr>
        <w:t xml:space="preserve"> וכיו"ב, כי אם היה רוצה כ"ק אדמו"ר לשנות את המנהג היה אומר זאת בפומבי ובגלוי, ולכן אין לסמוך על שמועה כדי לעשות 'מהפכה' בענין מסויים אלא </w:t>
      </w:r>
      <w:r>
        <w:rPr>
          <w:bCs/>
          <w:rtl/>
        </w:rPr>
        <w:t>להשאיר המצב על כנו</w:t>
      </w:r>
      <w:r>
        <w:rPr>
          <w:rtl/>
        </w:rPr>
        <w:t xml:space="preserve">; </w:t>
      </w:r>
    </w:p>
    <w:p w14:paraId="69AC8827" w14:textId="77777777" w:rsidR="000672B7" w:rsidRDefault="000672B7" w:rsidP="00E60D97">
      <w:pPr>
        <w:pStyle w:val="a3"/>
        <w:rPr>
          <w:rtl/>
        </w:rPr>
      </w:pPr>
      <w:r>
        <w:rPr>
          <w:rtl/>
        </w:rPr>
        <w:t xml:space="preserve">אמנם בנידון דידן הרי כולי עלמא מודים שכ"ק אדמו"ר בעצמו מעולם לא השתמש ב'עירוב' לפחות מאז שהגיע לארה"ב, וכולי עלמא מודים שמעולם לא נתן הסכמה פומבית לשום 'עירוב' בעולם, וכולי עלמא מודים שהיו ביטויים חריפים במענות מוגהות שיש בענין זה "תקלה איומה" – </w:t>
      </w:r>
    </w:p>
    <w:p w14:paraId="1AF03462" w14:textId="77777777" w:rsidR="000672B7" w:rsidRDefault="000672B7" w:rsidP="00E60D97">
      <w:pPr>
        <w:pStyle w:val="a3"/>
        <w:rPr>
          <w:rtl/>
        </w:rPr>
      </w:pPr>
      <w:r>
        <w:rPr>
          <w:rtl/>
        </w:rPr>
        <w:t>אלא שלאידך גיסא יש כמה מענות שבהם משמע שאין הענין כ"כ מופרך, וכמו שליקט הרב הנ"ל.</w:t>
      </w:r>
    </w:p>
    <w:p w14:paraId="0C1662E1" w14:textId="77777777" w:rsidR="000672B7" w:rsidRDefault="000672B7" w:rsidP="00E60D97">
      <w:pPr>
        <w:pStyle w:val="a3"/>
        <w:rPr>
          <w:rtl/>
        </w:rPr>
      </w:pPr>
      <w:r>
        <w:rPr>
          <w:rtl/>
        </w:rPr>
        <w:t xml:space="preserve">ומעתה, כאשר יש בפנינו שני צדדים, </w:t>
      </w:r>
      <w:r>
        <w:rPr>
          <w:bCs/>
          <w:rtl/>
        </w:rPr>
        <w:t>ואנו נבוכים בזה</w:t>
      </w:r>
      <w:r>
        <w:rPr>
          <w:rtl/>
        </w:rPr>
        <w:t xml:space="preserve">, למה לא נסתייע ב'שמועות' כדי </w:t>
      </w:r>
      <w:r>
        <w:rPr>
          <w:bCs/>
          <w:rtl/>
        </w:rPr>
        <w:t>להוכיח ולחזק כצד הראשון</w:t>
      </w:r>
      <w:r>
        <w:rPr>
          <w:rtl/>
        </w:rPr>
        <w:t xml:space="preserve">? ובמה גרעו 'שמועות' אלו מסתם סברות שאנו ממציאים בעצמנו? ובפרט שלא מדובר ב'שמועה' אחת אלא בדברים שנשמעו מפי כמה וכמה, ופשוט. </w:t>
      </w:r>
    </w:p>
    <w:p w14:paraId="51DC0BF5" w14:textId="4CC8E2EF" w:rsidR="000672B7" w:rsidRDefault="000672B7" w:rsidP="00E60D97">
      <w:pPr>
        <w:pStyle w:val="a3"/>
        <w:rPr>
          <w:rtl/>
        </w:rPr>
      </w:pPr>
      <w:r>
        <w:rPr>
          <w:rFonts w:hint="cs"/>
          <w:rtl/>
        </w:rPr>
        <w:t xml:space="preserve">2. </w:t>
      </w:r>
      <w:r>
        <w:rPr>
          <w:rtl/>
        </w:rPr>
        <w:t>בהמשך דבריו (ע' 150)</w:t>
      </w:r>
      <w:r>
        <w:t xml:space="preserve"> </w:t>
      </w:r>
      <w:r>
        <w:rPr>
          <w:rtl/>
        </w:rPr>
        <w:t>כתב:</w:t>
      </w:r>
    </w:p>
    <w:p w14:paraId="01C39504" w14:textId="77777777" w:rsidR="000672B7" w:rsidRDefault="000672B7" w:rsidP="00E60D97">
      <w:pPr>
        <w:pStyle w:val="a3"/>
      </w:pPr>
      <w:r>
        <w:rPr>
          <w:rtl/>
        </w:rPr>
        <w:t>"בפגישת רבינו עם הרבנים הראשיים לאה"ק בשנת תשמ"ו נסב הדיבור על דבר תיקון עירובין בעיירות מישראל, ובשיחה זו הביע רבינו קורת רוח מתיקון העירובין והשתדלות הרבנים היושבים על מדין בענין זה, ולא הזכיר דבר וחצי דבר שלדעתו מדובר על דבר העמדת תקלה איומה לארץ ולדרים עליה, לא מינה ולא מקצתה, וכל דבריו נאמרו בנעימות ובחביבות כלפי תיקון העירוב. הרי לא רק שלא העיר את רוח הרבנים להימנע מלהכשיל את הרבים מיד ולדורות, עוד זאת נראה מרוח הדברים שזירזם ועודדם על הנחיצות שבדבר".</w:t>
      </w:r>
    </w:p>
    <w:p w14:paraId="47387A38" w14:textId="77777777" w:rsidR="000672B7" w:rsidRDefault="000672B7" w:rsidP="00E60D97">
      <w:pPr>
        <w:pStyle w:val="a3"/>
      </w:pPr>
      <w:r>
        <w:rPr>
          <w:rtl/>
        </w:rPr>
        <w:t xml:space="preserve">הנה עיינתי ברשימה המוגהת מפגישת רבינו עם הרבנים הראשיים שהתקיימה בכ"ז אד"ש תשמ"ו, </w:t>
      </w:r>
      <w:r>
        <w:rPr>
          <w:bCs/>
          <w:rtl/>
        </w:rPr>
        <w:t>ולא מצאתי דבר וחצי דבר מכל מה שכתב</w:t>
      </w:r>
      <w:r>
        <w:rPr>
          <w:rtl/>
        </w:rPr>
        <w:t xml:space="preserve">. ואולי האזין לסרט ההקלטה ושם נאמרו דברים אחרים, ומכל מקום בשיחה המוגהת לא נכלל שום עידוד ושום חביבות ושום דבר כיו"ב. </w:t>
      </w:r>
    </w:p>
    <w:p w14:paraId="5CB57FED" w14:textId="77777777" w:rsidR="000672B7" w:rsidRDefault="000672B7" w:rsidP="00E60D97">
      <w:pPr>
        <w:pStyle w:val="a3"/>
        <w:rPr>
          <w:rtl/>
        </w:rPr>
      </w:pPr>
      <w:r>
        <w:rPr>
          <w:rtl/>
        </w:rPr>
        <w:lastRenderedPageBreak/>
        <w:t xml:space="preserve">נוסף לכך, במחכ"ת נראה שלא הבחין שאותם רבנים ראשיים לא היו 'חסידי חב"ד' במלוא מובן המלה, והיו ענינים שבהם בוודאי לא הסכים כ"ק אדמו"ר עם השקפתם ושיטתם (כגון בענין 'אתחלתא דגאולה' וד"ל.  והמעיין באגרות קודש בשנים הראשונות יראה עד כמה אין דעת כ"ק אדמו"ר נוחה בכלל מעצם קיום המוסד של 'הרבנות הראשית'), ואין להאריך בדבר הפשוט; </w:t>
      </w:r>
    </w:p>
    <w:p w14:paraId="39F97FD0" w14:textId="77777777" w:rsidR="000672B7" w:rsidRDefault="000672B7" w:rsidP="00E60D97">
      <w:pPr>
        <w:pStyle w:val="a3"/>
        <w:rPr>
          <w:rtl/>
        </w:rPr>
      </w:pPr>
      <w:r>
        <w:rPr>
          <w:rtl/>
        </w:rPr>
        <w:t xml:space="preserve">ועכ"פ, מובן לכל בר דעת שאין מן הכבוד כו' להעיר לרבנים ראשיים בעלי שיבה על כגון דא, ולעורר אותם לשנות דבר שהורגלו בו כבר שנים רבות כו', ובוודאי שאין הדבר מתאים בפגישה פומבית שיש ממנה סרט הקלטה כו', ולגודל פשיטות הדבר אין צורך להאריך אבל בוודאי שאי אפשר להוכיח כלום מכאן על דעתו </w:t>
      </w:r>
      <w:r>
        <w:rPr>
          <w:bCs/>
          <w:rtl/>
        </w:rPr>
        <w:t>האמיתית</w:t>
      </w:r>
      <w:r>
        <w:rPr>
          <w:rtl/>
        </w:rPr>
        <w:t xml:space="preserve"> של כ"ק אדמו"ר.</w:t>
      </w:r>
    </w:p>
    <w:p w14:paraId="33A92ACD" w14:textId="77777777" w:rsidR="000672B7" w:rsidRDefault="000672B7" w:rsidP="00E60D97">
      <w:pPr>
        <w:pStyle w:val="a3"/>
        <w:rPr>
          <w:rtl/>
        </w:rPr>
      </w:pPr>
      <w:r>
        <w:rPr>
          <w:rtl/>
        </w:rPr>
        <w:t xml:space="preserve">[ויש להוסיף עוד, שמצינו בכמה ענינים של בירור הלכות ומנהגים כו' </w:t>
      </w:r>
      <w:r>
        <w:rPr>
          <w:bCs/>
          <w:rtl/>
        </w:rPr>
        <w:t>שלא רצה כ"ק אדמו"ר להתערב במנהג ארץ ישראל</w:t>
      </w:r>
      <w:r>
        <w:rPr>
          <w:rtl/>
        </w:rPr>
        <w:t>, וכגון בשאלת החשמל בשבת ואכמ"ל. והטעם לכאורה, שבעניני הלכה צריך הפוסק להיות "קרוב" להענינים שפוסק בהם, והרי כ"ק אדמו"ר מעולם לא היה בארץ ישראל וכו'. ודו"ק].</w:t>
      </w:r>
    </w:p>
    <w:p w14:paraId="7BDBC4F3" w14:textId="5E65BF47" w:rsidR="000672B7" w:rsidRDefault="000672B7" w:rsidP="00E60D97">
      <w:pPr>
        <w:pStyle w:val="a3"/>
        <w:rPr>
          <w:rtl/>
        </w:rPr>
      </w:pPr>
      <w:r>
        <w:rPr>
          <w:rFonts w:hint="cs"/>
          <w:rtl/>
        </w:rPr>
        <w:t xml:space="preserve">3. </w:t>
      </w:r>
      <w:r>
        <w:rPr>
          <w:rtl/>
        </w:rPr>
        <w:t>נראה שעיקר יסודו הוא הקושיא שכתב (בע' 147) "</w:t>
      </w:r>
      <w:r>
        <w:rPr>
          <w:bCs/>
          <w:rtl/>
        </w:rPr>
        <w:t>מה נשתנה דורנו זה מכל הדורות כולם?</w:t>
      </w:r>
      <w:r>
        <w:rPr>
          <w:rtl/>
        </w:rPr>
        <w:t xml:space="preserve"> .. והלא החשש שהעירוב יפסל וימשיכו לטלטל מחמת ההרגל היה שייך בדורות הקודמים כמו בדורנו"? [ועוד חזר על קושיא זו בסגנונות שונים]. </w:t>
      </w:r>
    </w:p>
    <w:p w14:paraId="391F8D3F" w14:textId="77777777" w:rsidR="000672B7" w:rsidRDefault="000672B7" w:rsidP="00E60D97">
      <w:pPr>
        <w:pStyle w:val="a3"/>
      </w:pPr>
      <w:r>
        <w:rPr>
          <w:rtl/>
        </w:rPr>
        <w:t>ועל כך יש להעיר:</w:t>
      </w:r>
    </w:p>
    <w:p w14:paraId="0A7A842E" w14:textId="77777777" w:rsidR="000672B7" w:rsidRDefault="000672B7" w:rsidP="00E60D97">
      <w:pPr>
        <w:pStyle w:val="a3"/>
        <w:rPr>
          <w:rtl/>
        </w:rPr>
      </w:pPr>
      <w:r>
        <w:rPr>
          <w:rtl/>
        </w:rPr>
        <w:t>ראשית כל, הנה מצינו חשש זה גם בדורות קודמים – ראה בדברי כ"ק אדמו"ר מהורש"ב נ"ע (אג"ק ח"ב ע' תלט), שבו מספר על אסיפה בעניני הכלל וזלה"ק (ההדגשות שלי – מ.מ.ר.):</w:t>
      </w:r>
      <w:r>
        <w:t xml:space="preserve"> </w:t>
      </w:r>
    </w:p>
    <w:p w14:paraId="192D8778" w14:textId="77777777" w:rsidR="000672B7" w:rsidRDefault="000672B7" w:rsidP="00E60D97">
      <w:pPr>
        <w:pStyle w:val="a3"/>
        <w:rPr>
          <w:rtl/>
        </w:rPr>
      </w:pPr>
      <w:r>
        <w:rPr>
          <w:rtl/>
        </w:rPr>
        <w:t xml:space="preserve">"ואנחנו באסיפתנו החלטנו לבלי לבקש בדבר העירובין מפני הגרעון שיש בזה, שעל ידי היתר ההוצאה מוציא גם שירעם ומחסה את עצמו בו וכהאי גוונא, ובדרך כלל משתכח על ידי זה איסור ההוצאה מרשות לרשות בשבת קודש". </w:t>
      </w:r>
    </w:p>
    <w:p w14:paraId="02B2C743" w14:textId="77777777" w:rsidR="000672B7" w:rsidRDefault="000672B7" w:rsidP="00E60D97">
      <w:pPr>
        <w:pStyle w:val="a3"/>
        <w:rPr>
          <w:rtl/>
        </w:rPr>
      </w:pPr>
      <w:r>
        <w:rPr>
          <w:rtl/>
        </w:rPr>
        <w:t xml:space="preserve">הרי שחשש זה לא התחדש רק בדורנו. </w:t>
      </w:r>
    </w:p>
    <w:p w14:paraId="1F92FF74" w14:textId="77777777" w:rsidR="000672B7" w:rsidRDefault="000672B7" w:rsidP="00E60D97">
      <w:pPr>
        <w:pStyle w:val="a3"/>
        <w:rPr>
          <w:rtl/>
        </w:rPr>
      </w:pPr>
      <w:r>
        <w:rPr>
          <w:rtl/>
        </w:rPr>
        <w:t xml:space="preserve">ושנית יש להעיר, אשר מצינו בענין זה ממש של טלטול בשבת, שיחה ארוכה של כ"ק אדמו"ר בו' תשרי תש"ל בביאור המנהג שאין עושים 'תשליך' ביום א' דר"ה כשחל בשבת קודש, אלא דוחים ליום ב'. </w:t>
      </w:r>
    </w:p>
    <w:p w14:paraId="655EBBC4" w14:textId="77777777" w:rsidR="000672B7" w:rsidRDefault="000672B7" w:rsidP="00E60D97">
      <w:pPr>
        <w:pStyle w:val="a3"/>
        <w:rPr>
          <w:rtl/>
        </w:rPr>
      </w:pPr>
      <w:r>
        <w:rPr>
          <w:rtl/>
        </w:rPr>
        <w:t>ושם (תו"מ חנ"ח ע' 38 ואילך)</w:t>
      </w:r>
      <w:r>
        <w:t xml:space="preserve"> </w:t>
      </w:r>
      <w:r>
        <w:rPr>
          <w:rtl/>
        </w:rPr>
        <w:t xml:space="preserve">ביאר כ"ק אדמו"ר שמעיקר הדין היו צריכים ללכת ל'תשליך' ביום א' אף שחל בשבת, והביא שכן נוהגים בפועל בכמה קהילות קדושות וכו', וכן משמע מדברי הפוסקים הקדמונים שאין לחוש שיטלטלו הסידורים וכו'. </w:t>
      </w:r>
    </w:p>
    <w:p w14:paraId="7E5628A3" w14:textId="77777777" w:rsidR="000672B7" w:rsidRDefault="000672B7" w:rsidP="00E60D97">
      <w:pPr>
        <w:pStyle w:val="a3"/>
        <w:rPr>
          <w:rtl/>
        </w:rPr>
      </w:pPr>
      <w:r>
        <w:rPr>
          <w:rtl/>
        </w:rPr>
        <w:lastRenderedPageBreak/>
        <w:t>ואעפ"כ, למעשה הנהיגו לדחות ה'תשליך' מחשש לטלטול, וביאר בזה וז"ל (ע' 42):</w:t>
      </w:r>
    </w:p>
    <w:p w14:paraId="4A61FEA2" w14:textId="77777777" w:rsidR="000672B7" w:rsidRDefault="000672B7" w:rsidP="00E60D97">
      <w:pPr>
        <w:pStyle w:val="a3"/>
        <w:rPr>
          <w:rtl/>
        </w:rPr>
      </w:pPr>
      <w:r>
        <w:rPr>
          <w:rtl/>
        </w:rPr>
        <w:t xml:space="preserve">"ידוע בדברי האחרונים שאין מקום לגזור גזירות מעצמם .. אמנם במה דברים אמורים – כל זמן שהוא בגדר גזירה; </w:t>
      </w:r>
    </w:p>
    <w:p w14:paraId="2C726BCA" w14:textId="77777777" w:rsidR="000672B7" w:rsidRDefault="000672B7" w:rsidP="00E60D97">
      <w:pPr>
        <w:pStyle w:val="a3"/>
        <w:rPr>
          <w:rtl/>
        </w:rPr>
      </w:pPr>
      <w:r>
        <w:rPr>
          <w:rtl/>
        </w:rPr>
        <w:t xml:space="preserve">אבל כאשר רואים שאירע כן בפועל, והיינו שאין זו רק השערה 'שמא יעבירנו ד' אמות', אלא אירע בפועל שהלכו וטלטלו כו' – הרי זה </w:t>
      </w:r>
      <w:r>
        <w:rPr>
          <w:bCs/>
          <w:rtl/>
        </w:rPr>
        <w:t>יצא מגדר גזירה בגלל חשש בעלמא, ונעשה בגדר של תקלה בפועל</w:t>
      </w:r>
      <w:r>
        <w:rPr>
          <w:rtl/>
        </w:rPr>
        <w:t xml:space="preserve">. </w:t>
      </w:r>
    </w:p>
    <w:p w14:paraId="3C9DDD2E" w14:textId="77777777" w:rsidR="000672B7" w:rsidRDefault="000672B7" w:rsidP="00E60D97">
      <w:pPr>
        <w:pStyle w:val="a3"/>
        <w:rPr>
          <w:rtl/>
        </w:rPr>
      </w:pPr>
      <w:r>
        <w:rPr>
          <w:rtl/>
        </w:rPr>
        <w:t xml:space="preserve">ועפ"ז מתורצת השאלה היתכן שרבותינו נשיאינו לא נהגו כפי שעולה מדברי רבינו הזקן בסידורו שיש לערוך תשליך ביום א' דר"ה גם כשחל בשבת – כיון שלאחרי דורו של רבינו הזקן ראו שהדבר מביא לידי תקלה בפועל, ולא רק בגדר גזירה בגלל חשש תקלה". </w:t>
      </w:r>
    </w:p>
    <w:p w14:paraId="0F3AFB6A" w14:textId="09825B42" w:rsidR="000672B7" w:rsidRDefault="000672B7" w:rsidP="00E60D97">
      <w:pPr>
        <w:pStyle w:val="a3"/>
        <w:rPr>
          <w:rtl/>
        </w:rPr>
      </w:pPr>
      <w:r>
        <w:rPr>
          <w:rtl/>
        </w:rPr>
        <w:t xml:space="preserve">הרי לנו מפורש שיש שינוי בין הדורות, ומה שהיה פשוט להיתר בדורות הקודמים נעשה 'תקלה' בדורות האחרונים, ומסיימים בטוב ו"תן לחכם ויחכם עוד". </w:t>
      </w:r>
    </w:p>
    <w:p w14:paraId="42EF6773" w14:textId="77777777" w:rsidR="00BE42E8" w:rsidRDefault="0072178A" w:rsidP="00492226">
      <w:pPr>
        <w:pStyle w:val="M"/>
        <w:rPr>
          <w:rtl/>
        </w:rPr>
        <w:sectPr w:rsidR="00BE42E8" w:rsidSect="00541E5D">
          <w:footnotePr>
            <w:numRestart w:val="eachSect"/>
          </w:footnotePr>
          <w:type w:val="continuous"/>
          <w:pgSz w:w="7920" w:h="12240"/>
          <w:pgMar w:top="-810" w:right="864" w:bottom="720" w:left="864" w:header="270" w:footer="0" w:gutter="0"/>
          <w:cols w:space="720"/>
          <w:docGrid w:linePitch="360"/>
        </w:sectPr>
      </w:pPr>
      <w:r>
        <w:rPr>
          <w:noProof/>
        </w:rPr>
        <w:drawing>
          <wp:inline distT="0" distB="0" distL="0" distR="0" wp14:anchorId="3777CF72" wp14:editId="0A5E1B4A">
            <wp:extent cx="875763" cy="23404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F270C44" w14:textId="2D7ADE20" w:rsidR="000672B7" w:rsidRDefault="000672B7" w:rsidP="000672B7">
      <w:pPr>
        <w:pStyle w:val="a0"/>
        <w:rPr>
          <w:rtl/>
        </w:rPr>
      </w:pPr>
      <w:bookmarkStart w:id="169" w:name="_Toc81540433"/>
      <w:r>
        <w:rPr>
          <w:rFonts w:hint="cs"/>
          <w:rtl/>
        </w:rPr>
        <w:t>ביאור בדברי</w:t>
      </w:r>
      <w:r w:rsidRPr="0057647D">
        <w:rPr>
          <w:rtl/>
        </w:rPr>
        <w:t xml:space="preserve"> </w:t>
      </w:r>
      <w:r>
        <w:rPr>
          <w:rFonts w:hint="cs"/>
          <w:rtl/>
        </w:rPr>
        <w:t>אדה"ז</w:t>
      </w:r>
      <w:r w:rsidRPr="0057647D">
        <w:rPr>
          <w:rtl/>
        </w:rPr>
        <w:t xml:space="preserve"> </w:t>
      </w:r>
      <w:r>
        <w:rPr>
          <w:rFonts w:hint="cs"/>
          <w:rtl/>
        </w:rPr>
        <w:t>סי' רמה ס"ח-ס"ט</w:t>
      </w:r>
      <w:bookmarkEnd w:id="169"/>
      <w:r>
        <w:rPr>
          <w:rFonts w:hint="cs"/>
          <w:rtl/>
        </w:rPr>
        <w:t xml:space="preserve"> </w:t>
      </w:r>
    </w:p>
    <w:p w14:paraId="680E3D41" w14:textId="5E1AF690" w:rsidR="000672B7" w:rsidRDefault="00E31722" w:rsidP="0046124A">
      <w:pPr>
        <w:pStyle w:val="a"/>
        <w:rPr>
          <w:rtl/>
        </w:rPr>
      </w:pPr>
      <w:bookmarkStart w:id="170" w:name="_Toc81540434"/>
      <w:r>
        <w:rPr>
          <w:rFonts w:hint="cs"/>
          <w:rtl/>
        </w:rPr>
        <w:t xml:space="preserve">הרב </w:t>
      </w:r>
      <w:r w:rsidR="000672B7">
        <w:rPr>
          <w:rFonts w:hint="cs"/>
          <w:rtl/>
        </w:rPr>
        <w:t>דוב יהודה שטיינמעץ</w:t>
      </w:r>
      <w:bookmarkEnd w:id="170"/>
    </w:p>
    <w:p w14:paraId="0550DB6E" w14:textId="77777777" w:rsidR="000672B7" w:rsidRPr="00D6330E" w:rsidRDefault="000672B7" w:rsidP="000672B7">
      <w:pPr>
        <w:pStyle w:val="a1"/>
        <w:bidi/>
        <w:jc w:val="right"/>
        <w:rPr>
          <w:rtl/>
        </w:rPr>
      </w:pPr>
      <w:r>
        <w:rPr>
          <w:rFonts w:hint="cs"/>
          <w:rtl/>
        </w:rPr>
        <w:t>כולל אברכים שע"י ביהכ"נ אנ"ש</w:t>
      </w:r>
    </w:p>
    <w:p w14:paraId="09FEC542" w14:textId="77777777" w:rsidR="000672B7" w:rsidRPr="000C0E04" w:rsidRDefault="000672B7" w:rsidP="00E60D97">
      <w:pPr>
        <w:pStyle w:val="a3"/>
        <w:rPr>
          <w:rtl/>
        </w:rPr>
      </w:pPr>
      <w:r w:rsidRPr="000C0E04">
        <w:rPr>
          <w:rtl/>
        </w:rPr>
        <w:t>א. כתב אדה"ז בסי' רמ"ה סעיף ח:</w:t>
      </w:r>
    </w:p>
    <w:p w14:paraId="0DE23498" w14:textId="77777777" w:rsidR="000672B7" w:rsidRPr="000C0E04" w:rsidRDefault="000672B7" w:rsidP="00E60D97">
      <w:pPr>
        <w:pStyle w:val="a3"/>
        <w:rPr>
          <w:rtl/>
        </w:rPr>
      </w:pPr>
      <w:r w:rsidRPr="000C0E04">
        <w:rPr>
          <w:rtl/>
        </w:rPr>
        <w:t>"ואפילו אם הם שותפין בדבר שצריך לעשות בו מלאכה, אם אין הישראל עושה בחול כנגד מה שהנכרי עושה בשבת אלא כל ימות החול הם מתעסקים בשוה שניהם ביחד או זה חצי יום וזה חצי יום או זה יום וזה יום</w:t>
      </w:r>
      <w:r w:rsidRPr="000C0E04">
        <w:rPr>
          <w:rStyle w:val="FootnoteReference"/>
          <w:rFonts w:ascii="Narkisim" w:hAnsi="Narkisim" w:cs="Narkisim"/>
          <w:rtl/>
        </w:rPr>
        <w:footnoteReference w:id="90"/>
      </w:r>
      <w:r w:rsidRPr="000C0E04">
        <w:rPr>
          <w:rtl/>
        </w:rPr>
        <w:t xml:space="preserve"> לבד מיום השבת שהנכרי מתעסק בו לבדו, אזי מותר להישראל לחלוק עמו כל השכר בשוה לדברי הכל, דכיון שאין הישראל פורע להנכרי כלום בעד עבודתו בשבת שהרי אינו עובד כנגד זה בחול כלום א"כ מה שעובד הנכרי בשבת לבדו הוא מתכוין לטובת עצמו בלבד כדי להשתכר ואינו כשלוחו של הישראל שאינו עושה בשבילו כלל, ואף שאח"כ מגיע להישראל הנאה מזה שחולק עמו בשוה אין בכך כלום כיון שהנכרי לא נתכוין להנאת הישראל אלא לטובת עצמו.</w:t>
      </w:r>
    </w:p>
    <w:p w14:paraId="3A0866DD" w14:textId="77777777" w:rsidR="000672B7" w:rsidRPr="000C0E04" w:rsidRDefault="000672B7" w:rsidP="00E60D97">
      <w:pPr>
        <w:pStyle w:val="a3"/>
        <w:rPr>
          <w:rtl/>
        </w:rPr>
      </w:pPr>
      <w:r w:rsidRPr="000C0E04">
        <w:rPr>
          <w:rtl/>
        </w:rPr>
        <w:lastRenderedPageBreak/>
        <w:t>ומכל מקום יזהר שלא לחלוק שכר השבת אלא בהבלעה עם שאר הימים, אע"פ שמעיקר הדין אין כאן איסור משום שכר שבת שהרי אין להישראל חלק כלל במלאכת הנכרי בשבת ומה שחולק עמו בשוה מתנה הוא שנותן לו, מכל מקום יש לאסור לפי שנראה הדבר כאלו הוא נוטל שכר שבת כיון שיש לו חלק באותו דבר שהנכרי עושה בו המלאכה בשבת".</w:t>
      </w:r>
    </w:p>
    <w:p w14:paraId="6F5EF63D" w14:textId="77777777" w:rsidR="000672B7" w:rsidRPr="000C0E04" w:rsidRDefault="000672B7" w:rsidP="00E60D97">
      <w:pPr>
        <w:pStyle w:val="a3"/>
        <w:rPr>
          <w:rtl/>
        </w:rPr>
      </w:pPr>
      <w:r w:rsidRPr="000C0E04">
        <w:rPr>
          <w:rtl/>
        </w:rPr>
        <w:t xml:space="preserve">ויש לדייק </w:t>
      </w:r>
      <w:r>
        <w:rPr>
          <w:rFonts w:hint="cs"/>
          <w:rtl/>
        </w:rPr>
        <w:t>בדברי</w:t>
      </w:r>
      <w:r w:rsidRPr="000C0E04">
        <w:rPr>
          <w:rtl/>
        </w:rPr>
        <w:t xml:space="preserve"> אדה"ז</w:t>
      </w:r>
      <w:r>
        <w:rPr>
          <w:rFonts w:hint="cs"/>
          <w:rtl/>
        </w:rPr>
        <w:t xml:space="preserve"> שביאר הטעם</w:t>
      </w:r>
      <w:r w:rsidRPr="000C0E04">
        <w:rPr>
          <w:rtl/>
        </w:rPr>
        <w:t xml:space="preserve"> למה אין איסור </w:t>
      </w:r>
      <w:r>
        <w:rPr>
          <w:rFonts w:hint="cs"/>
          <w:rtl/>
        </w:rPr>
        <w:t>ב</w:t>
      </w:r>
      <w:r w:rsidRPr="000C0E04">
        <w:rPr>
          <w:rtl/>
        </w:rPr>
        <w:t xml:space="preserve">זה "שאח"כ מגיע להישראל הנאה מזה" </w:t>
      </w:r>
      <w:r>
        <w:rPr>
          <w:rFonts w:hint="cs"/>
          <w:rtl/>
        </w:rPr>
        <w:t>משום</w:t>
      </w:r>
      <w:r w:rsidRPr="000C0E04">
        <w:rPr>
          <w:rtl/>
        </w:rPr>
        <w:t xml:space="preserve"> "שהנכרי לא נתכוין להנאת הישראל אלא לטובת עצמו"</w:t>
      </w:r>
      <w:r>
        <w:rPr>
          <w:rFonts w:hint="cs"/>
          <w:rtl/>
        </w:rPr>
        <w:t>, ו</w:t>
      </w:r>
      <w:r w:rsidRPr="000C0E04">
        <w:rPr>
          <w:rtl/>
        </w:rPr>
        <w:t xml:space="preserve">לא כתב </w:t>
      </w:r>
      <w:r>
        <w:rPr>
          <w:rFonts w:hint="cs"/>
          <w:rtl/>
        </w:rPr>
        <w:t xml:space="preserve">כמו שכתב בסעיף שלאח"ז (ס"ט) </w:t>
      </w:r>
      <w:r w:rsidRPr="000C0E04">
        <w:rPr>
          <w:rtl/>
        </w:rPr>
        <w:t>בנוגע תנור שכולו של הישראל וכל המלאכה מוטלת על הנכרי וחולקים השכר (אריסות)</w:t>
      </w:r>
      <w:r>
        <w:rPr>
          <w:rFonts w:hint="cs"/>
          <w:rtl/>
        </w:rPr>
        <w:t xml:space="preserve"> דמותר משום</w:t>
      </w:r>
      <w:r w:rsidRPr="000C0E04">
        <w:rPr>
          <w:rtl/>
        </w:rPr>
        <w:t xml:space="preserve"> </w:t>
      </w:r>
      <w:r>
        <w:rPr>
          <w:rFonts w:hint="cs"/>
          <w:rtl/>
        </w:rPr>
        <w:t>ש</w:t>
      </w:r>
      <w:r w:rsidRPr="000C0E04">
        <w:rPr>
          <w:rtl/>
        </w:rPr>
        <w:t>"מעצמו הוא עושה</w:t>
      </w:r>
      <w:r>
        <w:rPr>
          <w:rFonts w:hint="cs"/>
          <w:rtl/>
        </w:rPr>
        <w:t>,</w:t>
      </w:r>
      <w:r w:rsidRPr="000C0E04">
        <w:rPr>
          <w:rtl/>
        </w:rPr>
        <w:t xml:space="preserve"> להנאת עצמו</w:t>
      </w:r>
      <w:r>
        <w:rPr>
          <w:rFonts w:hint="cs"/>
          <w:rtl/>
        </w:rPr>
        <w:t>,</w:t>
      </w:r>
      <w:r w:rsidRPr="000C0E04">
        <w:rPr>
          <w:rtl/>
        </w:rPr>
        <w:t xml:space="preserve"> </w:t>
      </w:r>
      <w:r w:rsidRPr="000C0E04">
        <w:rPr>
          <w:bCs/>
          <w:rtl/>
        </w:rPr>
        <w:t>והישראל נהנה מאליו</w:t>
      </w:r>
      <w:r w:rsidRPr="000C0E04">
        <w:rPr>
          <w:rtl/>
        </w:rPr>
        <w:t>",</w:t>
      </w:r>
      <w:r>
        <w:rPr>
          <w:rFonts w:hint="cs"/>
          <w:rtl/>
        </w:rPr>
        <w:t xml:space="preserve"> שהוא ההיתר דאריסות</w:t>
      </w:r>
      <w:r w:rsidRPr="000C0E04">
        <w:rPr>
          <w:rStyle w:val="FootnoteReference"/>
          <w:rFonts w:ascii="Narkisim" w:hAnsi="Narkisim" w:cs="Narkisim"/>
          <w:rtl/>
        </w:rPr>
        <w:footnoteReference w:id="91"/>
      </w:r>
      <w:r>
        <w:rPr>
          <w:rFonts w:hint="cs"/>
          <w:rtl/>
        </w:rPr>
        <w:t xml:space="preserve">. </w:t>
      </w:r>
      <w:r w:rsidRPr="000C0E04">
        <w:rPr>
          <w:rtl/>
        </w:rPr>
        <w:t>ולכאו' טעמא בעי למה לא כתב</w:t>
      </w:r>
      <w:r>
        <w:rPr>
          <w:rFonts w:hint="cs"/>
          <w:rtl/>
        </w:rPr>
        <w:t xml:space="preserve"> כאן</w:t>
      </w:r>
      <w:r w:rsidRPr="000C0E04">
        <w:rPr>
          <w:rtl/>
        </w:rPr>
        <w:t xml:space="preserve"> כמו שכתב בסעיף שלאח"ז?</w:t>
      </w:r>
    </w:p>
    <w:p w14:paraId="291966B7" w14:textId="77777777" w:rsidR="000672B7" w:rsidRPr="000C0E04" w:rsidRDefault="000672B7" w:rsidP="00E60D97">
      <w:pPr>
        <w:pStyle w:val="a3"/>
        <w:rPr>
          <w:rtl/>
        </w:rPr>
      </w:pPr>
      <w:r w:rsidRPr="000C0E04">
        <w:rPr>
          <w:rtl/>
        </w:rPr>
        <w:t>ויתירה מזו, מהא דכתב אדה"ז בסוף הסעיף שמן הדין ליכא כאן שכר שבת כיון ד"מה שחולק עמו בשוה מתנה הוא שנותן לו", מוכח שאינו מגיע להישראל שום הנאה של שבת באופן ישיר מהמלאכה, אלא בדרך מתנה, שענינו שהנכרי ברצונו הטוב נותן להישראל מה שלא מגיע לו</w:t>
      </w:r>
      <w:r>
        <w:rPr>
          <w:rFonts w:hint="cs"/>
          <w:rtl/>
        </w:rPr>
        <w:t xml:space="preserve"> מן הדין, וא"כ מובן שאינו כותב כאן ההיתר של אריסות</w:t>
      </w:r>
      <w:r w:rsidRPr="000C0E04">
        <w:rPr>
          <w:rtl/>
        </w:rPr>
        <w:t xml:space="preserve"> שהרי באריסות </w:t>
      </w:r>
      <w:r>
        <w:rPr>
          <w:rFonts w:hint="cs"/>
          <w:rtl/>
        </w:rPr>
        <w:t>ההנאה שמקבל הישראל</w:t>
      </w:r>
      <w:r w:rsidRPr="000C0E04">
        <w:rPr>
          <w:rtl/>
        </w:rPr>
        <w:t xml:space="preserve"> אינו בדרך מתנה אלא מ</w:t>
      </w:r>
      <w:r>
        <w:rPr>
          <w:rFonts w:hint="cs"/>
          <w:rtl/>
        </w:rPr>
        <w:t>ן</w:t>
      </w:r>
      <w:r w:rsidRPr="000C0E04">
        <w:rPr>
          <w:rtl/>
        </w:rPr>
        <w:t xml:space="preserve"> הדין</w:t>
      </w:r>
      <w:r>
        <w:rPr>
          <w:rFonts w:hint="cs"/>
          <w:rtl/>
        </w:rPr>
        <w:t xml:space="preserve">. ולאידך אם באריסות מותר אף שאין ההנאה בדרך מתנה </w:t>
      </w:r>
      <w:r w:rsidRPr="000C0E04">
        <w:rPr>
          <w:rtl/>
        </w:rPr>
        <w:t>א"כ למה אי</w:t>
      </w:r>
      <w:r>
        <w:rPr>
          <w:rFonts w:hint="cs"/>
          <w:rtl/>
        </w:rPr>
        <w:t>ן לבאר ההיתר כאן מטעם אריסות?</w:t>
      </w:r>
    </w:p>
    <w:p w14:paraId="4E864B54" w14:textId="77777777" w:rsidR="000672B7" w:rsidRPr="000C0E04" w:rsidRDefault="000672B7" w:rsidP="00E60D97">
      <w:pPr>
        <w:pStyle w:val="a3"/>
        <w:rPr>
          <w:rtl/>
        </w:rPr>
      </w:pPr>
      <w:r w:rsidRPr="000C0E04">
        <w:rPr>
          <w:rtl/>
        </w:rPr>
        <w:t>ודיוקים אלו מתחזקים ע"י העיון במקור הדין שהוא בהר"ן סוף פרק קמא דע"ז</w:t>
      </w:r>
      <w:r w:rsidRPr="000C0E04">
        <w:rPr>
          <w:rStyle w:val="FootnoteReference"/>
          <w:rFonts w:ascii="Narkisim" w:hAnsi="Narkisim" w:cs="Narkisim"/>
          <w:rtl/>
        </w:rPr>
        <w:footnoteReference w:id="92"/>
      </w:r>
      <w:r w:rsidRPr="000C0E04">
        <w:rPr>
          <w:rtl/>
        </w:rPr>
        <w:t>, וז"ל:</w:t>
      </w:r>
    </w:p>
    <w:p w14:paraId="1104AEFC" w14:textId="77777777" w:rsidR="000672B7" w:rsidRPr="000C0E04" w:rsidRDefault="000672B7" w:rsidP="00E60D97">
      <w:pPr>
        <w:pStyle w:val="a3"/>
        <w:rPr>
          <w:rtl/>
        </w:rPr>
      </w:pPr>
      <w:r w:rsidRPr="000C0E04">
        <w:rPr>
          <w:rtl/>
        </w:rPr>
        <w:t>"וישראל ועובד כוכבים שלקחו מרחץ בשותפות ועובד כוכבים מחממו בשבת בשביל חלקו ונותן מחצית מה שמשתכר בו לישראל ובימי החול שניהן מחממין אותו, נ"ל דשרי, דכיון דעובד כוכבים אדעתא דמחצה שלו קא עביד אע"פ שישראל משתכר במלאכה שלו ה"ל כבעל שדה לגבי אריס דאמרינן דכיון שאריס אדעתא דנפשיה קא עביד וישראל מטיא ליה הנאה ממילא הלכך בכי האי גוונא ליכא משום שכר שבת כלל [- והולך ומבאר דליכא מ</w:t>
      </w:r>
      <w:r>
        <w:rPr>
          <w:rFonts w:hint="cs"/>
          <w:rtl/>
        </w:rPr>
        <w:t>ראית עין</w:t>
      </w:r>
      <w:r w:rsidRPr="000C0E04">
        <w:rPr>
          <w:rtl/>
        </w:rPr>
        <w:t xml:space="preserve">, ומסיים] דכיון דעובד כוכבים אדעתא דמחצה שלו קעביד ה"ל לגבי ישראל כאריס וכיון דאריסותיה קא עביד אע"ג דממילא מתהני בעל השדה שרי. </w:t>
      </w:r>
    </w:p>
    <w:p w14:paraId="7BB9A860" w14:textId="77777777" w:rsidR="000672B7" w:rsidRPr="000C0E04" w:rsidRDefault="000672B7" w:rsidP="00E60D97">
      <w:pPr>
        <w:pStyle w:val="a3"/>
        <w:rPr>
          <w:rtl/>
        </w:rPr>
      </w:pPr>
      <w:r w:rsidRPr="000C0E04">
        <w:rPr>
          <w:rtl/>
        </w:rPr>
        <w:t xml:space="preserve">ואל תקשה עלי מזו ששינו בתוספתא דדמאי ישראל ועובד כוכבים שלקחו שדה בשותפות לא יאמר ישראל לעובד כוכבים טול אתה חלקך בשבת ואני בחול, דהתם </w:t>
      </w:r>
      <w:r w:rsidRPr="000C0E04">
        <w:rPr>
          <w:rtl/>
        </w:rPr>
        <w:lastRenderedPageBreak/>
        <w:t>כיון שישראל נוטל כנגדו בחול נמצא שנעשה העובד כוכבים שלוחו בשבת, אבל הכא שבחול שניהם מחממין את המרחץ כשהעובד כוכבים מחממו בשבת לאו שליחותא דישראל קא עביד אלא אדעתא דנפשיה קא טרח כאריס וישראל מטיא ליה הנאה ממילא.</w:t>
      </w:r>
    </w:p>
    <w:p w14:paraId="1C7D58DF" w14:textId="77777777" w:rsidR="000672B7" w:rsidRPr="000C0E04" w:rsidRDefault="000672B7" w:rsidP="00E60D97">
      <w:pPr>
        <w:pStyle w:val="a3"/>
        <w:rPr>
          <w:rtl/>
        </w:rPr>
      </w:pPr>
      <w:r w:rsidRPr="000C0E04">
        <w:rPr>
          <w:rtl/>
        </w:rPr>
        <w:t>ומ"מ דוקא כשישראל זה לוקח מה שנשתכר המרחץ בשבת בהבלעת שאר ימים, אבל אם בפני עצמו לוקח לא, דאע"ג דבהתירא אתי לידי מחזי כשכר שבת...".</w:t>
      </w:r>
    </w:p>
    <w:p w14:paraId="0FC72F5E" w14:textId="77777777" w:rsidR="000672B7" w:rsidRPr="000C0E04" w:rsidRDefault="000672B7" w:rsidP="00E60D97">
      <w:pPr>
        <w:pStyle w:val="a3"/>
        <w:rPr>
          <w:rtl/>
        </w:rPr>
      </w:pPr>
      <w:r w:rsidRPr="000C0E04">
        <w:rPr>
          <w:rtl/>
        </w:rPr>
        <w:t>והמובן בפשטות מדבריו</w:t>
      </w:r>
      <w:r>
        <w:rPr>
          <w:rFonts w:hint="cs"/>
          <w:rtl/>
        </w:rPr>
        <w:t xml:space="preserve"> הוא</w:t>
      </w:r>
      <w:r w:rsidRPr="000C0E04">
        <w:rPr>
          <w:rtl/>
        </w:rPr>
        <w:t xml:space="preserve">, דבכהאי גוונא אף שהמרחץ שייך לשניהם מ"מ כיון שאין הישראל עובד כנגד הנכרי אלא שבימי החול עובדים ביחד, הנכרי נחשב כאריס ומותר להישראל ליהנות ממנו בשבת כיון דעביד אדעתי' דנפשי' והנאת ישראל ממילא קא אתיא, וכפי שהאריך הר"ן לבאר זה לעיל שם בנוגע אריס דשדה. </w:t>
      </w:r>
    </w:p>
    <w:p w14:paraId="6770E025" w14:textId="77777777" w:rsidR="000672B7" w:rsidRPr="000C0E04" w:rsidRDefault="000672B7" w:rsidP="00E60D97">
      <w:pPr>
        <w:pStyle w:val="a3"/>
        <w:rPr>
          <w:rtl/>
        </w:rPr>
      </w:pPr>
      <w:r w:rsidRPr="000C0E04">
        <w:rPr>
          <w:rtl/>
        </w:rPr>
        <w:t xml:space="preserve">ולפי זה ביותר צ"ב מהו הכרחו של אדה"ז שלא כתב </w:t>
      </w:r>
      <w:r>
        <w:rPr>
          <w:rFonts w:hint="cs"/>
          <w:rtl/>
        </w:rPr>
        <w:t>כ</w:t>
      </w:r>
      <w:r w:rsidRPr="000C0E04">
        <w:rPr>
          <w:rtl/>
        </w:rPr>
        <w:t xml:space="preserve">פשטות דברי הר"ן, וגם מהו המקור לביאורו של אדה"ז? </w:t>
      </w:r>
    </w:p>
    <w:p w14:paraId="7053D1B7" w14:textId="77777777" w:rsidR="000672B7" w:rsidRPr="000C0E04" w:rsidRDefault="000672B7" w:rsidP="00E60D97">
      <w:pPr>
        <w:pStyle w:val="a3"/>
        <w:rPr>
          <w:rtl/>
        </w:rPr>
      </w:pPr>
      <w:r w:rsidRPr="000C0E04">
        <w:rPr>
          <w:rtl/>
        </w:rPr>
        <w:t>והנה בתחילת הענין שם כתב הר"ן</w:t>
      </w:r>
      <w:r>
        <w:rPr>
          <w:rFonts w:hint="cs"/>
          <w:rtl/>
        </w:rPr>
        <w:t xml:space="preserve"> גבי אריסות דשדה</w:t>
      </w:r>
      <w:r w:rsidRPr="000C0E04">
        <w:rPr>
          <w:rtl/>
        </w:rPr>
        <w:t xml:space="preserve">: "ומהא שמעינן דכיון שיש לעובד כוכבים חלק בפירות השדה אע"פ שישראל נהנה ממלאכת שבת מותר דעובד כוכבים אדעתא דנפשי' קא עביד והנאת ישראל ממילא אתיא, הילכך שרי, ולא דמי לישראל ועובד כוכבים שקבלו שדה בשותפות דלקמן, דהתם עבודת השדה אישראל נמי רמיא, אבל הכא כולה אעובד כוכבים רמיא ולאו אישראל כלל". </w:t>
      </w:r>
    </w:p>
    <w:p w14:paraId="5AA1575C" w14:textId="77777777" w:rsidR="000672B7" w:rsidRPr="000C0E04" w:rsidRDefault="000672B7" w:rsidP="00E60D97">
      <w:pPr>
        <w:pStyle w:val="a3"/>
        <w:rPr>
          <w:rtl/>
        </w:rPr>
      </w:pPr>
      <w:r w:rsidRPr="000C0E04">
        <w:rPr>
          <w:rtl/>
        </w:rPr>
        <w:t xml:space="preserve">ומסתימת לשונו משמע דבכי האי גוונא שישראל וגוי שותפים בשדה ולכן עבודת השדה רמיא על שניהם, אסור לגוי לעבוד וליכא התירא דאריס כיון שהעבודה </w:t>
      </w:r>
      <w:r w:rsidRPr="000C0E04">
        <w:rPr>
          <w:bCs/>
          <w:rtl/>
        </w:rPr>
        <w:t>מוטלת</w:t>
      </w:r>
      <w:r w:rsidRPr="000C0E04">
        <w:rPr>
          <w:rtl/>
        </w:rPr>
        <w:t xml:space="preserve"> </w:t>
      </w:r>
      <w:r>
        <w:rPr>
          <w:rFonts w:hint="cs"/>
          <w:rtl/>
        </w:rPr>
        <w:t xml:space="preserve">ג"כ </w:t>
      </w:r>
      <w:r w:rsidRPr="000C0E04">
        <w:rPr>
          <w:rtl/>
        </w:rPr>
        <w:t>על</w:t>
      </w:r>
      <w:r>
        <w:rPr>
          <w:rFonts w:hint="cs"/>
          <w:rtl/>
        </w:rPr>
        <w:t xml:space="preserve"> הישראל</w:t>
      </w:r>
      <w:r w:rsidRPr="000C0E04">
        <w:rPr>
          <w:rtl/>
        </w:rPr>
        <w:t xml:space="preserve"> ו</w:t>
      </w:r>
      <w:r>
        <w:rPr>
          <w:rFonts w:hint="cs"/>
          <w:rtl/>
        </w:rPr>
        <w:t xml:space="preserve">א"כ </w:t>
      </w:r>
      <w:r w:rsidRPr="000C0E04">
        <w:rPr>
          <w:rtl/>
        </w:rPr>
        <w:t>הגוי עושה בשביל הישראל. וצ"ב שהרי בסוף הענין כתב (כפי שהועתק לעיל) דגם בכי האי גוונא שעבודת השדה רמיא עלי' אם אין הישראל עובד כנגד עבודת הנכרי מותר כמו אריס, דהגוי עושה על דעת עצמו והנאת הישראל אתי ממילא</w:t>
      </w:r>
      <w:r w:rsidRPr="000C0E04">
        <w:rPr>
          <w:rStyle w:val="FootnoteReference"/>
          <w:rFonts w:ascii="Narkisim" w:hAnsi="Narkisim" w:cs="Narkisim"/>
          <w:rtl/>
        </w:rPr>
        <w:footnoteReference w:id="93"/>
      </w:r>
      <w:r w:rsidRPr="000C0E04">
        <w:rPr>
          <w:rtl/>
        </w:rPr>
        <w:t>?</w:t>
      </w:r>
    </w:p>
    <w:p w14:paraId="7AA14440" w14:textId="77777777" w:rsidR="000672B7" w:rsidRPr="000C0E04" w:rsidRDefault="000672B7" w:rsidP="00E60D97">
      <w:pPr>
        <w:pStyle w:val="a3"/>
        <w:rPr>
          <w:rtl/>
        </w:rPr>
      </w:pPr>
      <w:r w:rsidRPr="000C0E04">
        <w:rPr>
          <w:rtl/>
        </w:rPr>
        <w:t xml:space="preserve">עוד </w:t>
      </w:r>
      <w:r>
        <w:rPr>
          <w:rFonts w:hint="cs"/>
          <w:rtl/>
        </w:rPr>
        <w:t>יש לעיין</w:t>
      </w:r>
      <w:r w:rsidRPr="000C0E04">
        <w:rPr>
          <w:rtl/>
        </w:rPr>
        <w:t xml:space="preserve"> במה שכתב הר"ן בתחילת דבריו "בכהאי גוונא ליכא משום שכר </w:t>
      </w:r>
      <w:r w:rsidRPr="000C0E04">
        <w:rPr>
          <w:rtl/>
        </w:rPr>
        <w:lastRenderedPageBreak/>
        <w:t>שבת כלל", למה אין כאן שכר שבת והרי סוכ"ס נהנה מע</w:t>
      </w:r>
      <w:r>
        <w:rPr>
          <w:rFonts w:hint="cs"/>
          <w:rtl/>
        </w:rPr>
        <w:t>בו</w:t>
      </w:r>
      <w:r w:rsidRPr="000C0E04">
        <w:rPr>
          <w:rtl/>
        </w:rPr>
        <w:t>דת הנכרי בשבת. ואכן בסוף דבריו סיים דצריך ליקח השכר בה</w:t>
      </w:r>
      <w:r>
        <w:rPr>
          <w:rFonts w:hint="cs"/>
          <w:rtl/>
        </w:rPr>
        <w:t>ב</w:t>
      </w:r>
      <w:r w:rsidRPr="000C0E04">
        <w:rPr>
          <w:rtl/>
        </w:rPr>
        <w:t xml:space="preserve">לעה כיון </w:t>
      </w:r>
      <w:r>
        <w:rPr>
          <w:rFonts w:hint="cs"/>
          <w:rtl/>
        </w:rPr>
        <w:t>ד</w:t>
      </w:r>
      <w:r w:rsidRPr="000C0E04">
        <w:rPr>
          <w:rtl/>
        </w:rPr>
        <w:t>"</w:t>
      </w:r>
      <w:r w:rsidRPr="000C0E04">
        <w:rPr>
          <w:bCs/>
          <w:rtl/>
        </w:rPr>
        <w:t>מחזי</w:t>
      </w:r>
      <w:r w:rsidRPr="000C0E04">
        <w:rPr>
          <w:rtl/>
        </w:rPr>
        <w:t xml:space="preserve"> כשכר שבת" ומשמע דרק מחזי ואינו שכר שבת ממש, אבל חסר ביאור למה באמת אי</w:t>
      </w:r>
      <w:r>
        <w:rPr>
          <w:rtl/>
        </w:rPr>
        <w:t>ן כאן משום שכר שבת ורק מחזי</w:t>
      </w:r>
      <w:r w:rsidRPr="000C0E04">
        <w:rPr>
          <w:rtl/>
        </w:rPr>
        <w:t xml:space="preserve"> כשכר שבת.</w:t>
      </w:r>
    </w:p>
    <w:p w14:paraId="17C457AB" w14:textId="77777777" w:rsidR="000672B7" w:rsidRPr="000C0E04" w:rsidRDefault="000672B7" w:rsidP="00E60D97">
      <w:pPr>
        <w:pStyle w:val="a3"/>
        <w:rPr>
          <w:rtl/>
        </w:rPr>
      </w:pPr>
      <w:r w:rsidRPr="000C0E04">
        <w:rPr>
          <w:rtl/>
        </w:rPr>
        <w:t>ב. והנה הרמ"א כשהביא דינו של הר"ן שינה מדבריו וכתב: "ויש אומרים שכל זה לא מיירי אלא בשותפות שכל אחד עוסק ביומו, אבל כששניהם עוסקים ביחד כל ימי החול ובשבת עסק האינו יהודי לבדו, מותר לחלוק עמו כל השכר, דאינו יהודי אדעתיה דנפשיה קא עביד ואין הישראל נהנה במלאכתו בשבת כיון שאין המלאכה מוטלת עליו לעשות, ומכל מקום לא יטול שכר שבת אלא בהבלעה עם שאר הימים".</w:t>
      </w:r>
    </w:p>
    <w:p w14:paraId="6263FDE1" w14:textId="77777777" w:rsidR="000672B7" w:rsidRPr="000C0E04" w:rsidRDefault="000672B7" w:rsidP="00E60D97">
      <w:pPr>
        <w:pStyle w:val="a3"/>
        <w:rPr>
          <w:rtl/>
        </w:rPr>
      </w:pPr>
      <w:r w:rsidRPr="000C0E04">
        <w:rPr>
          <w:rtl/>
        </w:rPr>
        <w:t xml:space="preserve">הרי ששינה מדברי הר"ן בשנים, א) כתב "ואין הישראל נהנה במלאכתו בשבת", ולכאו' הישראל נהנה מהמלאכה שהרי יקבל שכר מלאכת שבת, וההיתר של הר"ן מיוסד ע"ז שהוא הנאה דאתי </w:t>
      </w:r>
      <w:r w:rsidRPr="000C0E04">
        <w:rPr>
          <w:bCs/>
          <w:rtl/>
        </w:rPr>
        <w:t>ממילא</w:t>
      </w:r>
      <w:r w:rsidRPr="000C0E04">
        <w:rPr>
          <w:rtl/>
        </w:rPr>
        <w:t xml:space="preserve">, וכן הקשו במאמר מרדכי (סק"ד) ובהגהות ר"ח צאנזער כאן. ב) הא דאין המלאכה מוטלת על הישראל לא </w:t>
      </w:r>
      <w:r>
        <w:rPr>
          <w:rFonts w:hint="cs"/>
          <w:rtl/>
        </w:rPr>
        <w:t>ה</w:t>
      </w:r>
      <w:r w:rsidRPr="000C0E04">
        <w:rPr>
          <w:rtl/>
        </w:rPr>
        <w:t>זכ</w:t>
      </w:r>
      <w:r>
        <w:rPr>
          <w:rFonts w:hint="cs"/>
          <w:rtl/>
        </w:rPr>
        <w:t>י</w:t>
      </w:r>
      <w:r w:rsidRPr="000C0E04">
        <w:rPr>
          <w:rtl/>
        </w:rPr>
        <w:t>ר הר"ן, ולכאו' המלאכה מוטלת על ישראל שהרי שניהם קבלו השדה בשותפות, רק בכי האי גוונא שאין הישראל עובד כנגדו אינו עושה בשליחות הישראל, אלא בשביל עצמו.</w:t>
      </w:r>
    </w:p>
    <w:p w14:paraId="310F9ADF" w14:textId="77777777" w:rsidR="000672B7" w:rsidRPr="000C0E04" w:rsidRDefault="000672B7" w:rsidP="00E60D97">
      <w:pPr>
        <w:pStyle w:val="a3"/>
        <w:rPr>
          <w:rtl/>
        </w:rPr>
      </w:pPr>
      <w:r>
        <w:rPr>
          <w:rFonts w:hint="cs"/>
          <w:rtl/>
        </w:rPr>
        <w:t>ג</w:t>
      </w:r>
      <w:r w:rsidRPr="000C0E04">
        <w:rPr>
          <w:rtl/>
        </w:rPr>
        <w:t xml:space="preserve">. </w:t>
      </w:r>
      <w:r>
        <w:rPr>
          <w:rFonts w:hint="cs"/>
          <w:rtl/>
        </w:rPr>
        <w:t>והנה</w:t>
      </w:r>
      <w:r w:rsidRPr="000C0E04">
        <w:rPr>
          <w:rtl/>
        </w:rPr>
        <w:t xml:space="preserve"> הלבוש ביאר דין זה באופן מחודש, וכנראה </w:t>
      </w:r>
      <w:r>
        <w:rPr>
          <w:rFonts w:hint="cs"/>
          <w:rtl/>
        </w:rPr>
        <w:t xml:space="preserve">שכונתו </w:t>
      </w:r>
      <w:r w:rsidRPr="000C0E04">
        <w:rPr>
          <w:rtl/>
        </w:rPr>
        <w:t>לתרץ שינוים הנ"ל, וז"ל:</w:t>
      </w:r>
    </w:p>
    <w:p w14:paraId="3EB539B3" w14:textId="77777777" w:rsidR="000672B7" w:rsidRPr="000C0E04" w:rsidRDefault="000672B7" w:rsidP="00E60D97">
      <w:pPr>
        <w:pStyle w:val="a3"/>
        <w:rPr>
          <w:rtl/>
        </w:rPr>
      </w:pPr>
      <w:r w:rsidRPr="000C0E04">
        <w:rPr>
          <w:rtl/>
        </w:rPr>
        <w:t>"יש אומרים עוד שכל זה לא מיירי אלא בשותפים שכל אחד מתעסק ביומו יום כנגד יום שבאופן זה מקפידין כל אחד במלאכת חבירו, ונמצא שהגוי נעשה שלוחו בשבת. אבל כששניהם עוסקים בכל יום יחד בכל ימי החול ואין מקפיד זה על זה במלאכת חבירו שיעשה יותר ממנו וביומי דשבתות יעסוק הגוי לבדו בלי הקפדה, מותר לחלוק עמו כל השכר בלא תנאי דגוי אדעתא דמחצה דנפשיה קעביד ובדנפשיה קטרח ולא שליחותו של ישראל קעביד, ואין הישראל נהנה ממלאכתו בשבת כיון שאין המלאכה מוטלת עליו לעשות שאין הגוי מקפיד בדבר, ומכל מקום לא יחשוב שכר שבת לבדו אלא בהבלעה עם שאר הימים שלא יהא נראה כנהנה ממלאכת שבת".</w:t>
      </w:r>
    </w:p>
    <w:p w14:paraId="497355F4" w14:textId="77777777" w:rsidR="000672B7" w:rsidRPr="000C0E04" w:rsidRDefault="000672B7" w:rsidP="00E60D97">
      <w:pPr>
        <w:pStyle w:val="a3"/>
        <w:rPr>
          <w:rtl/>
        </w:rPr>
      </w:pPr>
      <w:r w:rsidRPr="000C0E04">
        <w:rPr>
          <w:rtl/>
        </w:rPr>
        <w:t>ונראה מדבריו, ד</w:t>
      </w:r>
      <w:r>
        <w:rPr>
          <w:rFonts w:hint="cs"/>
          <w:rtl/>
        </w:rPr>
        <w:t xml:space="preserve">ההיתר </w:t>
      </w:r>
      <w:r w:rsidRPr="000C0E04">
        <w:rPr>
          <w:rtl/>
        </w:rPr>
        <w:t xml:space="preserve">תלוי בתנאי השותפות שבינהם, </w:t>
      </w:r>
      <w:r>
        <w:rPr>
          <w:rFonts w:hint="cs"/>
          <w:rtl/>
        </w:rPr>
        <w:t xml:space="preserve">שיש </w:t>
      </w:r>
      <w:r w:rsidRPr="000C0E04">
        <w:rPr>
          <w:rtl/>
        </w:rPr>
        <w:t xml:space="preserve">אופן שעובדים בימים זה כנגד זה, וכל אחד מקפיד שחבירו יעשה ביומו והוא יעשה כנגדו, ובאופן זה נמצא שיש מלאכה </w:t>
      </w:r>
      <w:r>
        <w:rPr>
          <w:rFonts w:hint="cs"/>
          <w:rtl/>
        </w:rPr>
        <w:t>המוטלת על</w:t>
      </w:r>
      <w:r w:rsidRPr="000C0E04">
        <w:rPr>
          <w:rtl/>
        </w:rPr>
        <w:t xml:space="preserve"> </w:t>
      </w:r>
      <w:r>
        <w:rPr>
          <w:rFonts w:hint="cs"/>
          <w:rtl/>
        </w:rPr>
        <w:t>ה</w:t>
      </w:r>
      <w:r w:rsidRPr="000C0E04">
        <w:rPr>
          <w:rtl/>
        </w:rPr>
        <w:t xml:space="preserve">ישראל ומלאכה </w:t>
      </w:r>
      <w:r>
        <w:rPr>
          <w:rFonts w:hint="cs"/>
          <w:rtl/>
        </w:rPr>
        <w:t>המוטלת</w:t>
      </w:r>
      <w:r w:rsidRPr="000C0E04">
        <w:rPr>
          <w:rtl/>
        </w:rPr>
        <w:t xml:space="preserve"> </w:t>
      </w:r>
      <w:r>
        <w:rPr>
          <w:rFonts w:hint="cs"/>
          <w:rtl/>
        </w:rPr>
        <w:t>על ה</w:t>
      </w:r>
      <w:r>
        <w:rPr>
          <w:rtl/>
        </w:rPr>
        <w:t>גוי,</w:t>
      </w:r>
      <w:r>
        <w:rPr>
          <w:rFonts w:hint="cs"/>
          <w:rtl/>
        </w:rPr>
        <w:t xml:space="preserve"> </w:t>
      </w:r>
      <w:r w:rsidRPr="000C0E04">
        <w:rPr>
          <w:rtl/>
        </w:rPr>
        <w:t xml:space="preserve">וכשהגוי עושה בשבת נמצא שעושה מלאכת הישראל. אבל </w:t>
      </w:r>
      <w:r>
        <w:rPr>
          <w:rFonts w:hint="cs"/>
          <w:rtl/>
        </w:rPr>
        <w:t>יש אופן</w:t>
      </w:r>
      <w:r w:rsidRPr="000C0E04">
        <w:rPr>
          <w:rtl/>
        </w:rPr>
        <w:t xml:space="preserve"> ששניהם עוסקים ביחד ואין אחד מקפיד על חבירו שיעבוד בזמן שוה כמותו, אלא הוא עושה כיון שהוא רוצה להשתכר, ועושה אף אם חבירו אינו עובד כל כך כמותו, ואין עליו </w:t>
      </w:r>
      <w:r w:rsidRPr="000C0E04">
        <w:rPr>
          <w:rFonts w:hint="cs"/>
          <w:rtl/>
        </w:rPr>
        <w:t>תרעומות</w:t>
      </w:r>
      <w:r w:rsidRPr="000C0E04">
        <w:rPr>
          <w:rtl/>
        </w:rPr>
        <w:t xml:space="preserve"> מהעדר עבודתו, אלא שבפועל חולקים השכר בשוה. ובאופן זה אין לומר שיש מלאכה המוטל</w:t>
      </w:r>
      <w:r>
        <w:rPr>
          <w:rFonts w:hint="cs"/>
          <w:rtl/>
        </w:rPr>
        <w:t>ת</w:t>
      </w:r>
      <w:r w:rsidRPr="000C0E04">
        <w:rPr>
          <w:rtl/>
        </w:rPr>
        <w:t xml:space="preserve"> על הישראל </w:t>
      </w:r>
      <w:r>
        <w:rPr>
          <w:rFonts w:hint="cs"/>
          <w:rtl/>
        </w:rPr>
        <w:t>וכשהגוי עובד בשבת הוא</w:t>
      </w:r>
      <w:r w:rsidRPr="000C0E04">
        <w:rPr>
          <w:rtl/>
        </w:rPr>
        <w:t xml:space="preserve"> עובד בשביל</w:t>
      </w:r>
      <w:r>
        <w:rPr>
          <w:rFonts w:hint="cs"/>
          <w:rtl/>
        </w:rPr>
        <w:t xml:space="preserve"> הישראל</w:t>
      </w:r>
      <w:r w:rsidRPr="000C0E04">
        <w:rPr>
          <w:rtl/>
        </w:rPr>
        <w:t xml:space="preserve">, אלא הגוי עושה המוטל על </w:t>
      </w:r>
      <w:r>
        <w:rPr>
          <w:rFonts w:hint="cs"/>
          <w:rtl/>
        </w:rPr>
        <w:lastRenderedPageBreak/>
        <w:t>עצמו</w:t>
      </w:r>
      <w:r w:rsidRPr="000C0E04">
        <w:rPr>
          <w:rtl/>
        </w:rPr>
        <w:t xml:space="preserve"> </w:t>
      </w:r>
      <w:r w:rsidRPr="004A0BE3">
        <w:rPr>
          <w:bCs/>
          <w:rtl/>
        </w:rPr>
        <w:t>בשביל עצמו</w:t>
      </w:r>
      <w:r w:rsidRPr="000C0E04">
        <w:rPr>
          <w:rtl/>
        </w:rPr>
        <w:t>.</w:t>
      </w:r>
    </w:p>
    <w:p w14:paraId="68B547E2" w14:textId="77777777" w:rsidR="000672B7" w:rsidRPr="000C0E04" w:rsidRDefault="000672B7" w:rsidP="00E60D97">
      <w:pPr>
        <w:pStyle w:val="a3"/>
        <w:rPr>
          <w:rtl/>
        </w:rPr>
      </w:pPr>
      <w:r w:rsidRPr="000C0E04">
        <w:rPr>
          <w:rtl/>
        </w:rPr>
        <w:t xml:space="preserve">ולפי זה ביאור דברי הרמ"א כך הם: "ויש אומרים שכל זה לא מיירי אלא בשותפות שכל אחד עוסק ביומו [- היינו שותפות באופן שמקפידין זה על זה אם אחד מהם </w:t>
      </w:r>
      <w:r>
        <w:rPr>
          <w:rFonts w:hint="cs"/>
          <w:rtl/>
        </w:rPr>
        <w:t>אינו עובד בשוה</w:t>
      </w:r>
      <w:r w:rsidRPr="000C0E04">
        <w:rPr>
          <w:rtl/>
        </w:rPr>
        <w:t xml:space="preserve">], אבל כששניהם עוסקים ביחד כל ימי החול [- דבאופן זה של שותפות אינם מקפידין זע"ז אם </w:t>
      </w:r>
      <w:r>
        <w:rPr>
          <w:rFonts w:hint="cs"/>
          <w:rtl/>
        </w:rPr>
        <w:t>אינם עובדים בשוה</w:t>
      </w:r>
      <w:r w:rsidRPr="000C0E04">
        <w:rPr>
          <w:rtl/>
        </w:rPr>
        <w:t>], ובשבת עסק האינו יהודי לבדו, מותר לחלוק עמו כל השכר, דאינו יהודי אדעתיה דנפשיה קא עביד ואין הישראל נהנה במלאכתו בשבת [- מעשיית המלאכה של הנכרי] כיון שאין המלאכה מוטלת עליו לעשות [- שהרי אין הישראל חייב לעבוד זמן שוה להגוי, ואם כן לא העמיד פועל במקומו], ומכל מקום לא יטול שכר שבת אלא בהבלעה עם שאר הימים"</w:t>
      </w:r>
      <w:r w:rsidRPr="000C0E04">
        <w:rPr>
          <w:rStyle w:val="FootnoteReference"/>
          <w:rFonts w:ascii="Narkisim" w:hAnsi="Narkisim" w:cs="Narkisim"/>
          <w:rtl/>
        </w:rPr>
        <w:footnoteReference w:id="94"/>
      </w:r>
      <w:r w:rsidRPr="000C0E04">
        <w:rPr>
          <w:rtl/>
        </w:rPr>
        <w:t>.</w:t>
      </w:r>
    </w:p>
    <w:p w14:paraId="0D938591" w14:textId="77777777" w:rsidR="000672B7" w:rsidRDefault="000672B7" w:rsidP="00E60D97">
      <w:pPr>
        <w:pStyle w:val="a3"/>
        <w:rPr>
          <w:rtl/>
        </w:rPr>
      </w:pPr>
      <w:r w:rsidRPr="000C0E04">
        <w:rPr>
          <w:rtl/>
        </w:rPr>
        <w:t>ולכאו' דברי הלבוש צ"ב, אף ש</w:t>
      </w:r>
      <w:r>
        <w:rPr>
          <w:rFonts w:hint="cs"/>
          <w:rtl/>
        </w:rPr>
        <w:t xml:space="preserve">פי' מבאר דברי </w:t>
      </w:r>
      <w:r w:rsidRPr="000C0E04">
        <w:rPr>
          <w:rtl/>
        </w:rPr>
        <w:t>הרמ"א,</w:t>
      </w:r>
      <w:r>
        <w:rPr>
          <w:rFonts w:hint="cs"/>
          <w:rtl/>
        </w:rPr>
        <w:t xml:space="preserve"> ומדויק בדבריו,</w:t>
      </w:r>
      <w:r w:rsidRPr="000C0E04">
        <w:rPr>
          <w:rtl/>
        </w:rPr>
        <w:t xml:space="preserve"> מ"מ לכאו' דוחק גדול להעמיס פי' בדברי הר"ן, שהרי לפי דבריו עיקר ההיתר הוא בזה </w:t>
      </w:r>
      <w:r>
        <w:rPr>
          <w:rFonts w:hint="cs"/>
          <w:rtl/>
        </w:rPr>
        <w:t>שהמדובר בסוג שותפות שאינם מקפידים זה על זה</w:t>
      </w:r>
      <w:r w:rsidRPr="000C0E04">
        <w:rPr>
          <w:rtl/>
        </w:rPr>
        <w:t xml:space="preserve">, </w:t>
      </w:r>
      <w:r>
        <w:rPr>
          <w:rFonts w:hint="cs"/>
          <w:rtl/>
        </w:rPr>
        <w:t xml:space="preserve">אבל בר"ן נראה שיסוד ההיתר הוא בזה </w:t>
      </w:r>
      <w:r w:rsidRPr="00B9334C">
        <w:rPr>
          <w:rFonts w:hint="cs"/>
          <w:bCs/>
          <w:rtl/>
        </w:rPr>
        <w:t>שלא עבד הישראל</w:t>
      </w:r>
      <w:r>
        <w:rPr>
          <w:rFonts w:hint="cs"/>
          <w:rtl/>
        </w:rPr>
        <w:t xml:space="preserve"> כנגד מה שעשה הנכרי, ולכן מה שעשה הנכרי אדעתא דנפשי' קא עביד</w:t>
      </w:r>
      <w:r w:rsidRPr="000C0E04">
        <w:rPr>
          <w:rtl/>
        </w:rPr>
        <w:t>.</w:t>
      </w:r>
    </w:p>
    <w:p w14:paraId="6F77C4B2" w14:textId="77777777" w:rsidR="000672B7" w:rsidRPr="000C0E04" w:rsidRDefault="000672B7" w:rsidP="00E60D97">
      <w:pPr>
        <w:pStyle w:val="a3"/>
        <w:rPr>
          <w:rtl/>
        </w:rPr>
      </w:pPr>
      <w:r>
        <w:rPr>
          <w:rFonts w:hint="cs"/>
          <w:rtl/>
        </w:rPr>
        <w:t>ד</w:t>
      </w:r>
      <w:r w:rsidRPr="000C0E04">
        <w:rPr>
          <w:rtl/>
        </w:rPr>
        <w:t>. המשנ"ב כתב על דברי הרמ"א:</w:t>
      </w:r>
    </w:p>
    <w:p w14:paraId="60C1C345" w14:textId="77777777" w:rsidR="000672B7" w:rsidRPr="000C0E04" w:rsidRDefault="000672B7" w:rsidP="00E60D97">
      <w:pPr>
        <w:pStyle w:val="a3"/>
        <w:rPr>
          <w:rtl/>
        </w:rPr>
      </w:pPr>
      <w:r w:rsidRPr="000C0E04">
        <w:rPr>
          <w:rtl/>
        </w:rPr>
        <w:t>"</w:t>
      </w:r>
      <w:r w:rsidRPr="000C0E04">
        <w:rPr>
          <w:bCs/>
          <w:rtl/>
        </w:rPr>
        <w:t>אדעתיה דנפשיה קעביד</w:t>
      </w:r>
      <w:r w:rsidRPr="000C0E04">
        <w:rPr>
          <w:rtl/>
        </w:rPr>
        <w:t>. בשביל חלקו, דה״ל כאריס דמותר מדינא וכנ״ל בריש סימן רמ״ג, דכיון שהוא לוקח בפירות עביד אדעתיה דנפשיה וחלק הישראל נשבח ממילא וה״ה כאן, אלא דשם אסור בתנור משום מראית העין שיאמרו שכירו הוא וכאן ליכא מ״ע דהכל יודעין שיש לאינו יהודי חלק בו.</w:t>
      </w:r>
    </w:p>
    <w:p w14:paraId="046D0968" w14:textId="77777777" w:rsidR="000672B7" w:rsidRPr="000C0E04" w:rsidRDefault="000672B7" w:rsidP="00E60D97">
      <w:pPr>
        <w:pStyle w:val="a3"/>
        <w:rPr>
          <w:rtl/>
        </w:rPr>
      </w:pPr>
      <w:r w:rsidRPr="000C0E04">
        <w:rPr>
          <w:bCs/>
          <w:rtl/>
        </w:rPr>
        <w:t>ואין הישראל נהנה</w:t>
      </w:r>
      <w:r w:rsidRPr="000C0E04">
        <w:rPr>
          <w:rtl/>
        </w:rPr>
        <w:t>. ר"ל דהנאתו הוא רק הנאה דממילא, אבל אין האינו יהודי עושה מלאכתו בשבילו להנותו דליהוי כשלוחו בזה, כיון דאין מוטל כלל על ישראל בזה לעשות בשבת, דהא בחול מחממין שניהם ובשבת אין האינו יהודי יכול לכופו שיעסוק עמו משו"ה בודאי אדעתיה דנפשיה עביד</w:t>
      </w:r>
      <w:r>
        <w:rPr>
          <w:rFonts w:hint="cs"/>
          <w:rtl/>
        </w:rPr>
        <w:t>.</w:t>
      </w:r>
    </w:p>
    <w:p w14:paraId="660E9E5D" w14:textId="77777777" w:rsidR="000672B7" w:rsidRPr="000C0E04" w:rsidRDefault="000672B7" w:rsidP="00E60D97">
      <w:pPr>
        <w:pStyle w:val="a3"/>
        <w:rPr>
          <w:rtl/>
        </w:rPr>
      </w:pPr>
      <w:r w:rsidRPr="000C0E04">
        <w:rPr>
          <w:bCs/>
          <w:rtl/>
        </w:rPr>
        <w:t>בהבלעה</w:t>
      </w:r>
      <w:r w:rsidRPr="000C0E04">
        <w:rPr>
          <w:rtl/>
        </w:rPr>
        <w:t>. דאי לאו הכי מחזי כשכר שבת".</w:t>
      </w:r>
    </w:p>
    <w:p w14:paraId="59DE4FD8" w14:textId="77777777" w:rsidR="000672B7" w:rsidRDefault="000672B7" w:rsidP="00E60D97">
      <w:pPr>
        <w:pStyle w:val="a3"/>
        <w:rPr>
          <w:rtl/>
        </w:rPr>
      </w:pPr>
      <w:r w:rsidRPr="000C0E04">
        <w:rPr>
          <w:rtl/>
        </w:rPr>
        <w:t xml:space="preserve">ולכאו' </w:t>
      </w:r>
      <w:r>
        <w:rPr>
          <w:rFonts w:hint="cs"/>
          <w:rtl/>
        </w:rPr>
        <w:t xml:space="preserve">גם </w:t>
      </w:r>
      <w:r w:rsidRPr="000C0E04">
        <w:rPr>
          <w:rtl/>
        </w:rPr>
        <w:t xml:space="preserve">כוונתו לתרץ שינויים הנ"ל, ולכן ביאר דברי הרמ"א דלא כפשוטו, דלעולם יסוד ההיתר כאן הוא ההיתר דאריסות </w:t>
      </w:r>
      <w:r>
        <w:rPr>
          <w:rFonts w:hint="cs"/>
          <w:rtl/>
        </w:rPr>
        <w:t>(וע"ד המבואר בסימן רמג)</w:t>
      </w:r>
      <w:r w:rsidRPr="000C0E04">
        <w:rPr>
          <w:rtl/>
        </w:rPr>
        <w:t>, ומה שכתב הרמ"א "ואין הישראל נהנה" פירושו שההנאה שמגיע לו הוא רק הנאה דממילא.</w:t>
      </w:r>
    </w:p>
    <w:p w14:paraId="40A9E730" w14:textId="77777777" w:rsidR="000672B7" w:rsidRDefault="000672B7" w:rsidP="00E60D97">
      <w:pPr>
        <w:pStyle w:val="a3"/>
        <w:rPr>
          <w:rtl/>
        </w:rPr>
      </w:pPr>
      <w:r w:rsidRPr="000C0E04">
        <w:rPr>
          <w:rtl/>
        </w:rPr>
        <w:lastRenderedPageBreak/>
        <w:t>ומש"כ</w:t>
      </w:r>
      <w:r>
        <w:rPr>
          <w:rFonts w:hint="cs"/>
          <w:rtl/>
        </w:rPr>
        <w:t xml:space="preserve"> בביאור דברי</w:t>
      </w:r>
      <w:r w:rsidRPr="000C0E04">
        <w:rPr>
          <w:rtl/>
        </w:rPr>
        <w:t xml:space="preserve"> הרמ"א "כיון שאין המלאכה מוטלת עליו לעשות"</w:t>
      </w:r>
      <w:r>
        <w:rPr>
          <w:rFonts w:hint="cs"/>
          <w:rtl/>
        </w:rPr>
        <w:t xml:space="preserve"> אינו ברור כל כך כוונתו, שהרי כתב "</w:t>
      </w:r>
      <w:r w:rsidRPr="000C0E04">
        <w:rPr>
          <w:rtl/>
        </w:rPr>
        <w:t xml:space="preserve">דהא בחול מחממין שניהם ובשבת </w:t>
      </w:r>
      <w:r w:rsidRPr="0038740E">
        <w:rPr>
          <w:bCs/>
          <w:rtl/>
        </w:rPr>
        <w:t>אין האינו יהודי יכול לכופו שיעסוק עמו</w:t>
      </w:r>
      <w:r w:rsidRPr="000C0E04">
        <w:rPr>
          <w:rtl/>
        </w:rPr>
        <w:t xml:space="preserve"> משו"ה בודאי אדעתיה דנפשיה עביד</w:t>
      </w:r>
      <w:r>
        <w:rPr>
          <w:rFonts w:hint="cs"/>
          <w:rtl/>
        </w:rPr>
        <w:t xml:space="preserve">", דלכאו' יש לפרש דברים אלו ע"ד הלבוש, דאי לאו הכי למה באמת אין הנכרי </w:t>
      </w:r>
      <w:r w:rsidRPr="0038740E">
        <w:rPr>
          <w:rFonts w:hint="cs"/>
          <w:bCs/>
          <w:rtl/>
        </w:rPr>
        <w:t>יכול</w:t>
      </w:r>
      <w:r>
        <w:rPr>
          <w:rFonts w:hint="cs"/>
          <w:rtl/>
        </w:rPr>
        <w:t xml:space="preserve"> לכופו אם רוצה, אבל לפי הלבוש מובן כיון שהמדובר שותפות כזה שאין מקפידים זה כנגד זה.</w:t>
      </w:r>
    </w:p>
    <w:p w14:paraId="5116EE7C" w14:textId="77777777" w:rsidR="000672B7" w:rsidRPr="000C0E04" w:rsidRDefault="000672B7" w:rsidP="00E60D97">
      <w:pPr>
        <w:pStyle w:val="a3"/>
        <w:rPr>
          <w:rtl/>
        </w:rPr>
      </w:pPr>
      <w:r>
        <w:rPr>
          <w:rFonts w:hint="cs"/>
          <w:rtl/>
        </w:rPr>
        <w:t xml:space="preserve">אבל לאידך דבריו סתומים מדי לפרשם כהלבוש שהרי לא ביאר שיש ב' סוגי שותפות כמ"ש הלבוש, ולכן אולי י"ל שכוונת המשנ"ב בפירוש דברי המג"א הוא דמה שכתב הרמ"א </w:t>
      </w:r>
      <w:r w:rsidRPr="000C0E04">
        <w:rPr>
          <w:rtl/>
        </w:rPr>
        <w:t>"כיון שאין המלאכה מוטלת עליו לעשות"</w:t>
      </w:r>
      <w:r>
        <w:rPr>
          <w:rFonts w:hint="cs"/>
          <w:rtl/>
        </w:rPr>
        <w:t xml:space="preserve"> הוא ביאור </w:t>
      </w:r>
      <w:r w:rsidRPr="000C0E04">
        <w:rPr>
          <w:rtl/>
        </w:rPr>
        <w:t>למה אין הנכרי שלוחו של ישראל אלא הוה כאריס, דהטעם לזה הוא שאין המלאכה בשבת מוטל על ישראל, והראי' לזה הוא מהא דאין הנכרי מכריח את ישראל לעבוד בחלקו ביום ראשון, א"כ מה שעשה בשבת לא היה חלק הישראל</w:t>
      </w:r>
      <w:r>
        <w:rPr>
          <w:rFonts w:hint="cs"/>
          <w:rtl/>
        </w:rPr>
        <w:t>, אלא חלק המוטל עליו, והנאת הישראל בא ממילא</w:t>
      </w:r>
      <w:r>
        <w:rPr>
          <w:rStyle w:val="FootnoteReference"/>
          <w:rFonts w:ascii="Narkisim" w:hAnsi="Narkisim" w:cs="Narkisim"/>
          <w:rtl/>
        </w:rPr>
        <w:footnoteReference w:id="95"/>
      </w:r>
      <w:r w:rsidRPr="000C0E04">
        <w:rPr>
          <w:rtl/>
        </w:rPr>
        <w:t>.</w:t>
      </w:r>
    </w:p>
    <w:p w14:paraId="77C7E0E9" w14:textId="77777777" w:rsidR="000672B7" w:rsidRPr="000C0E04" w:rsidRDefault="000672B7" w:rsidP="00E60D97">
      <w:pPr>
        <w:pStyle w:val="a3"/>
        <w:rPr>
          <w:rtl/>
        </w:rPr>
      </w:pPr>
      <w:r w:rsidRPr="000C0E04">
        <w:rPr>
          <w:rtl/>
        </w:rPr>
        <w:t xml:space="preserve">וראה בלבושי שרד (ס"ק כא) שפירש דברי הרמ"א </w:t>
      </w:r>
      <w:r w:rsidRPr="000C0E04">
        <w:rPr>
          <w:bCs/>
          <w:rtl/>
        </w:rPr>
        <w:t>ע"ד</w:t>
      </w:r>
      <w:r w:rsidRPr="000C0E04">
        <w:rPr>
          <w:rtl/>
        </w:rPr>
        <w:t xml:space="preserve"> המשנ"ב.</w:t>
      </w:r>
    </w:p>
    <w:p w14:paraId="4A0C50FE" w14:textId="77777777" w:rsidR="000672B7" w:rsidRPr="000C0E04" w:rsidRDefault="000672B7" w:rsidP="00E60D97">
      <w:pPr>
        <w:pStyle w:val="a3"/>
        <w:rPr>
          <w:rtl/>
        </w:rPr>
      </w:pPr>
      <w:r w:rsidRPr="000C0E04">
        <w:rPr>
          <w:rtl/>
        </w:rPr>
        <w:t>ולפי דבריהם צ"ל דאריס מועיל גם לזה שלא יחשב כשכר שבת מעיקר הדין</w:t>
      </w:r>
      <w:r w:rsidRPr="000C0E04">
        <w:rPr>
          <w:rStyle w:val="FootnoteReference"/>
          <w:rFonts w:ascii="Narkisim" w:hAnsi="Narkisim" w:cs="Narkisim"/>
          <w:rtl/>
        </w:rPr>
        <w:footnoteReference w:id="96"/>
      </w:r>
      <w:r w:rsidRPr="000C0E04">
        <w:rPr>
          <w:rtl/>
        </w:rPr>
        <w:t>, דכיון דעושה מעצמו א"כ השכר שבת הוא ממילא ואינו נחשב כשכר הבא מעבודת השבת, ולכן העתיק המשנ"ב לשון הר"ן דכאן רק מחזי כשכר שבת.</w:t>
      </w:r>
    </w:p>
    <w:p w14:paraId="558BEDF9" w14:textId="77777777" w:rsidR="000672B7" w:rsidRPr="000C0E04" w:rsidRDefault="000672B7" w:rsidP="00E60D97">
      <w:pPr>
        <w:pStyle w:val="a3"/>
        <w:rPr>
          <w:rtl/>
        </w:rPr>
      </w:pPr>
      <w:r w:rsidRPr="000C0E04">
        <w:rPr>
          <w:rtl/>
        </w:rPr>
        <w:t>אבל, כמובן, שכ"ז דוחק בדברי הרמ"א.</w:t>
      </w:r>
    </w:p>
    <w:p w14:paraId="74355128" w14:textId="77777777" w:rsidR="000672B7" w:rsidRPr="000C0E04" w:rsidRDefault="000672B7" w:rsidP="00E60D97">
      <w:pPr>
        <w:pStyle w:val="a3"/>
        <w:rPr>
          <w:rtl/>
        </w:rPr>
      </w:pPr>
      <w:r w:rsidRPr="000C0E04">
        <w:rPr>
          <w:rtl/>
        </w:rPr>
        <w:t xml:space="preserve">ה. ונראה שלאדה"ז ביאור חדש בדינו של הר"ן והרמ"א, והוא, דכשישראל ונכרי שותפים בעבודת השדה, ורק הנכרי עובד בשבת אבל אין הישראל עובד כנגד מה שעבד הנכרי, מפאת זה הישראל </w:t>
      </w:r>
      <w:r w:rsidRPr="000C0E04">
        <w:rPr>
          <w:bCs/>
          <w:rtl/>
        </w:rPr>
        <w:t>מפסיד חלקו בשבת</w:t>
      </w:r>
      <w:r w:rsidRPr="000C0E04">
        <w:rPr>
          <w:rtl/>
        </w:rPr>
        <w:t>, וכפי שכותב אדה"ז בסוף הסעיף "שהרי אין להישראל חלק כלל במלאכת הנכרי", ומה שמקבל הישראל מהנכרי הוא מתנה מהנכרי.</w:t>
      </w:r>
    </w:p>
    <w:p w14:paraId="3C77545B" w14:textId="77777777" w:rsidR="000672B7" w:rsidRPr="000C0E04" w:rsidRDefault="000672B7" w:rsidP="00E60D97">
      <w:pPr>
        <w:pStyle w:val="a3"/>
        <w:rPr>
          <w:rtl/>
        </w:rPr>
      </w:pPr>
      <w:r w:rsidRPr="000C0E04">
        <w:rPr>
          <w:rtl/>
        </w:rPr>
        <w:t xml:space="preserve">ולפי זה מובן ג"כ למה אין כאן שכר שבת ורק מחזי כשכר שבת, כיון שאין שכר הישראל נובע ממלאכה שנעשית בשבת, שהרי המלאכה שנעשה בשבת עשה הנכרי מעצמו ורק בשביל עצמו ואין להישראל שום תביעה בזה (כיון שהפסיד חלקו במה שלא עבד כנגד עבודת הנכרי כנ"ל), וא"כ השכר של ישראל נובע מהמתנה והחלטת </w:t>
      </w:r>
      <w:r w:rsidRPr="000C0E04">
        <w:rPr>
          <w:rtl/>
        </w:rPr>
        <w:lastRenderedPageBreak/>
        <w:t>הנכרי לתת לו מה שלא מגיע אליו מן הדין, אלא דמ"מ "</w:t>
      </w:r>
      <w:r w:rsidRPr="000C0E04">
        <w:rPr>
          <w:bCs/>
          <w:rtl/>
        </w:rPr>
        <w:t>מחזי</w:t>
      </w:r>
      <w:r w:rsidRPr="000C0E04">
        <w:rPr>
          <w:rtl/>
        </w:rPr>
        <w:t xml:space="preserve"> כשכר שבת" ולכן צריך לקבלו בהבלעה. </w:t>
      </w:r>
    </w:p>
    <w:p w14:paraId="48EC0565" w14:textId="77777777" w:rsidR="000672B7" w:rsidRPr="000C0E04" w:rsidRDefault="000672B7" w:rsidP="00E60D97">
      <w:pPr>
        <w:pStyle w:val="a3"/>
        <w:rPr>
          <w:rtl/>
        </w:rPr>
      </w:pPr>
      <w:r w:rsidRPr="000C0E04">
        <w:rPr>
          <w:rtl/>
        </w:rPr>
        <w:t>[וכל זה דלא כהלבוש ש</w:t>
      </w:r>
      <w:r>
        <w:rPr>
          <w:rFonts w:hint="cs"/>
          <w:rtl/>
        </w:rPr>
        <w:t>מפרש הדין</w:t>
      </w:r>
      <w:r w:rsidRPr="000C0E04">
        <w:rPr>
          <w:rtl/>
        </w:rPr>
        <w:t xml:space="preserve"> ב</w:t>
      </w:r>
      <w:r>
        <w:rPr>
          <w:rFonts w:hint="cs"/>
          <w:rtl/>
        </w:rPr>
        <w:t>סוג</w:t>
      </w:r>
      <w:r w:rsidRPr="000C0E04">
        <w:rPr>
          <w:rtl/>
        </w:rPr>
        <w:t xml:space="preserve"> שותפות שאין מקפידין זה </w:t>
      </w:r>
      <w:r>
        <w:rPr>
          <w:rFonts w:hint="cs"/>
          <w:rtl/>
        </w:rPr>
        <w:t>על</w:t>
      </w:r>
      <w:r w:rsidRPr="000C0E04">
        <w:rPr>
          <w:rtl/>
        </w:rPr>
        <w:t xml:space="preserve"> זה, ודלא כהמשנ"ב דיש להישראל חלק בשדה אלא שמותר לו ליהנות בשבת כמו שאריס מותר].</w:t>
      </w:r>
    </w:p>
    <w:p w14:paraId="2197C178" w14:textId="77777777" w:rsidR="000672B7" w:rsidRPr="000C0E04" w:rsidRDefault="000672B7" w:rsidP="00E60D97">
      <w:pPr>
        <w:pStyle w:val="a3"/>
        <w:rPr>
          <w:rtl/>
        </w:rPr>
      </w:pPr>
      <w:r w:rsidRPr="000C0E04">
        <w:rPr>
          <w:rtl/>
        </w:rPr>
        <w:t>ומקורו של אדה"ז הוא לכאו' השינוים הנ"ל בדברי הרמ"א</w:t>
      </w:r>
      <w:r>
        <w:rPr>
          <w:rFonts w:hint="cs"/>
          <w:rtl/>
        </w:rPr>
        <w:t xml:space="preserve"> מדברי הר"ן</w:t>
      </w:r>
      <w:r w:rsidRPr="000C0E04">
        <w:rPr>
          <w:rStyle w:val="FootnoteReference"/>
          <w:rFonts w:ascii="Narkisim" w:hAnsi="Narkisim" w:cs="Narkisim"/>
          <w:rtl/>
        </w:rPr>
        <w:footnoteReference w:id="97"/>
      </w:r>
      <w:r w:rsidRPr="000C0E04">
        <w:rPr>
          <w:rtl/>
        </w:rPr>
        <w:t>, ולפי זה מתפרש מה שכתב הרמ"א "ואין הישראל נהנה ממלאכתו שבת" כפשוטו שאינו נהנה מהמלאכה כלל, ומה שקיבל הוא מתנה מהנכרי ואינו נובע מהמלאכה. ומש"כ הרמ"א "כיון שאין המלאכה מוטלת עליו לעשות" הכוונה שמזה שאין הישראל עובד כנגדו מוכיח</w:t>
      </w:r>
      <w:r>
        <w:rPr>
          <w:rFonts w:hint="cs"/>
          <w:rtl/>
        </w:rPr>
        <w:t xml:space="preserve"> (וגורם)</w:t>
      </w:r>
      <w:r w:rsidRPr="000C0E04">
        <w:rPr>
          <w:rtl/>
        </w:rPr>
        <w:t xml:space="preserve"> שאין לו כלל חלק בהמלאכה, וא"כ אינו מוטל על</w:t>
      </w:r>
      <w:r>
        <w:rPr>
          <w:rFonts w:hint="cs"/>
          <w:rtl/>
        </w:rPr>
        <w:t xml:space="preserve"> הישראל</w:t>
      </w:r>
      <w:r w:rsidRPr="000C0E04">
        <w:rPr>
          <w:rtl/>
        </w:rPr>
        <w:t xml:space="preserve"> לעשות אלא הגוי עושה בשביל עצמו</w:t>
      </w:r>
      <w:r>
        <w:rPr>
          <w:rStyle w:val="FootnoteReference"/>
          <w:rFonts w:ascii="Narkisim" w:hAnsi="Narkisim" w:cs="Narkisim"/>
          <w:rtl/>
        </w:rPr>
        <w:footnoteReference w:id="98"/>
      </w:r>
      <w:r w:rsidRPr="000C0E04">
        <w:rPr>
          <w:rtl/>
        </w:rPr>
        <w:t>.</w:t>
      </w:r>
    </w:p>
    <w:p w14:paraId="55E5E0E6" w14:textId="77777777" w:rsidR="000672B7" w:rsidRPr="000C0E04" w:rsidRDefault="000672B7" w:rsidP="00E60D97">
      <w:pPr>
        <w:pStyle w:val="a3"/>
        <w:rPr>
          <w:rtl/>
        </w:rPr>
      </w:pPr>
      <w:r w:rsidRPr="000C0E04">
        <w:rPr>
          <w:rtl/>
        </w:rPr>
        <w:t xml:space="preserve">וי"ל שהכרחו של אדה"ז לבאר באופן זה הוא, </w:t>
      </w:r>
      <w:r>
        <w:rPr>
          <w:rFonts w:hint="cs"/>
          <w:rtl/>
        </w:rPr>
        <w:t>ד</w:t>
      </w:r>
      <w:r w:rsidRPr="000C0E04">
        <w:rPr>
          <w:rtl/>
        </w:rPr>
        <w:t>לעיל בס"ו כתב כשלא התנו</w:t>
      </w:r>
      <w:r>
        <w:rPr>
          <w:rFonts w:hint="cs"/>
          <w:rtl/>
        </w:rPr>
        <w:t xml:space="preserve"> בתחילה</w:t>
      </w:r>
      <w:r w:rsidRPr="000C0E04">
        <w:rPr>
          <w:rtl/>
        </w:rPr>
        <w:t xml:space="preserve"> ונתרצה הנכרי מאליו לחלוק כל השכר בשוה ולא הזכיר השבתות</w:t>
      </w:r>
      <w:r>
        <w:rPr>
          <w:rFonts w:hint="cs"/>
          <w:rtl/>
        </w:rPr>
        <w:t>,</w:t>
      </w:r>
      <w:r w:rsidRPr="000C0E04">
        <w:rPr>
          <w:rtl/>
        </w:rPr>
        <w:t xml:space="preserve"> יש מתירים</w:t>
      </w:r>
      <w:r>
        <w:rPr>
          <w:rFonts w:hint="cs"/>
          <w:rtl/>
        </w:rPr>
        <w:t>,</w:t>
      </w:r>
      <w:r w:rsidRPr="000C0E04">
        <w:rPr>
          <w:rtl/>
        </w:rPr>
        <w:t xml:space="preserve"> אבל יש אוסרים מטעם "שאם יחלוק עמו כל השכר בשוה ויהנה הישראל משכר שבת נמצא שלמפרע היה להישראל חלק בעבודת הנכרי בשבתות והיה הנכרי עובד בשבילו כאילו היה שלוחו". </w:t>
      </w:r>
      <w:r>
        <w:rPr>
          <w:rFonts w:hint="cs"/>
          <w:rtl/>
        </w:rPr>
        <w:t>כיון ש</w:t>
      </w:r>
      <w:r w:rsidRPr="000C0E04">
        <w:rPr>
          <w:rtl/>
        </w:rPr>
        <w:t xml:space="preserve">כאן </w:t>
      </w:r>
      <w:r>
        <w:rPr>
          <w:rFonts w:hint="cs"/>
          <w:rtl/>
        </w:rPr>
        <w:t>מ</w:t>
      </w:r>
      <w:r w:rsidRPr="000C0E04">
        <w:rPr>
          <w:rtl/>
        </w:rPr>
        <w:t>תיר</w:t>
      </w:r>
      <w:r>
        <w:rPr>
          <w:rFonts w:hint="cs"/>
          <w:rtl/>
        </w:rPr>
        <w:t xml:space="preserve"> אליבא</w:t>
      </w:r>
      <w:r w:rsidRPr="000C0E04">
        <w:rPr>
          <w:rtl/>
        </w:rPr>
        <w:t xml:space="preserve"> </w:t>
      </w:r>
      <w:r>
        <w:rPr>
          <w:rFonts w:hint="cs"/>
          <w:rtl/>
        </w:rPr>
        <w:t>ד</w:t>
      </w:r>
      <w:r w:rsidRPr="000C0E04">
        <w:rPr>
          <w:rtl/>
        </w:rPr>
        <w:t>כו"ע גם לשיטה זו</w:t>
      </w:r>
      <w:r>
        <w:rPr>
          <w:rFonts w:hint="cs"/>
          <w:rtl/>
        </w:rPr>
        <w:t>,</w:t>
      </w:r>
      <w:r w:rsidRPr="000C0E04">
        <w:rPr>
          <w:rtl/>
        </w:rPr>
        <w:t xml:space="preserve"> לכן הוצרך לבאר באופן כזה דאין להישראל חלק כלל במלאכת השבת כיון שהישראל </w:t>
      </w:r>
      <w:r>
        <w:rPr>
          <w:rFonts w:hint="cs"/>
          <w:rtl/>
        </w:rPr>
        <w:t>הפסיד</w:t>
      </w:r>
      <w:r w:rsidRPr="000C0E04">
        <w:rPr>
          <w:rtl/>
        </w:rPr>
        <w:t xml:space="preserve"> חלקו בשבת בזה שלא עבד כנגד מה שעשה הנכרי.</w:t>
      </w:r>
    </w:p>
    <w:p w14:paraId="6EF1BC41" w14:textId="77777777" w:rsidR="000672B7" w:rsidRPr="000C0E04" w:rsidRDefault="000672B7" w:rsidP="00E60D97">
      <w:pPr>
        <w:pStyle w:val="a3"/>
        <w:rPr>
          <w:rtl/>
        </w:rPr>
      </w:pPr>
      <w:r w:rsidRPr="000C0E04">
        <w:rPr>
          <w:rtl/>
        </w:rPr>
        <w:t xml:space="preserve">אבל לכאו' עדיין צ"ב </w:t>
      </w:r>
      <w:r>
        <w:rPr>
          <w:rFonts w:hint="cs"/>
          <w:rtl/>
        </w:rPr>
        <w:t>מ</w:t>
      </w:r>
      <w:r w:rsidRPr="000C0E04">
        <w:rPr>
          <w:rtl/>
        </w:rPr>
        <w:t>אריסות</w:t>
      </w:r>
      <w:r>
        <w:rPr>
          <w:rFonts w:hint="cs"/>
          <w:rtl/>
        </w:rPr>
        <w:t>, שהרי באריסות</w:t>
      </w:r>
      <w:r w:rsidRPr="000C0E04">
        <w:rPr>
          <w:rtl/>
        </w:rPr>
        <w:t xml:space="preserve"> כל השדה של ישראל והישראל מקבל הנאה מהנכרי ולא אמרינן בזה שותפות למפרע, וא"כ גם כאן בישראל ונכרי השותפים בשדה למה לא מספיק הביאור של אריסות?</w:t>
      </w:r>
    </w:p>
    <w:p w14:paraId="4AD00E9C" w14:textId="77777777" w:rsidR="000672B7" w:rsidRPr="000C0E04" w:rsidRDefault="000672B7" w:rsidP="00E60D97">
      <w:pPr>
        <w:pStyle w:val="a3"/>
        <w:rPr>
          <w:rtl/>
        </w:rPr>
      </w:pPr>
      <w:r w:rsidRPr="000C0E04">
        <w:rPr>
          <w:rtl/>
        </w:rPr>
        <w:t>אך נראה דיש כאן חילוק יסודי בין כשהגוי אריס לכשישראל וגוי שותפים בשדה, דיש ב' ענינים</w:t>
      </w:r>
      <w:r>
        <w:rPr>
          <w:rFonts w:hint="cs"/>
          <w:rtl/>
        </w:rPr>
        <w:t>:</w:t>
      </w:r>
      <w:r w:rsidRPr="000C0E04">
        <w:rPr>
          <w:rtl/>
        </w:rPr>
        <w:t xml:space="preserve"> </w:t>
      </w:r>
      <w:r>
        <w:rPr>
          <w:rFonts w:hint="cs"/>
          <w:rtl/>
        </w:rPr>
        <w:t xml:space="preserve">1) </w:t>
      </w:r>
      <w:r w:rsidRPr="000C0E04">
        <w:rPr>
          <w:rtl/>
        </w:rPr>
        <w:t xml:space="preserve">חלק בפירות השדה (השכר) </w:t>
      </w:r>
      <w:r>
        <w:rPr>
          <w:rFonts w:hint="cs"/>
          <w:rtl/>
        </w:rPr>
        <w:t xml:space="preserve">2) </w:t>
      </w:r>
      <w:r w:rsidRPr="000C0E04">
        <w:rPr>
          <w:rtl/>
        </w:rPr>
        <w:t>אחריות מלאכת השדה</w:t>
      </w:r>
      <w:r>
        <w:rPr>
          <w:rFonts w:hint="cs"/>
          <w:rtl/>
        </w:rPr>
        <w:t>.</w:t>
      </w:r>
      <w:r w:rsidRPr="000C0E04">
        <w:rPr>
          <w:rtl/>
        </w:rPr>
        <w:t xml:space="preserve"> באריסות אף שיש להישראל חלק בפירות השדה מ"מ</w:t>
      </w:r>
      <w:r>
        <w:rPr>
          <w:rFonts w:hint="cs"/>
          <w:rtl/>
        </w:rPr>
        <w:t xml:space="preserve"> אין</w:t>
      </w:r>
      <w:r w:rsidRPr="000C0E04">
        <w:rPr>
          <w:rtl/>
        </w:rPr>
        <w:t xml:space="preserve"> אחריות מלאכת השדה מוטלת עליו כלל [כפי שמדגיש אדה"ז בס"ט], דכל מלאכת השדה מוטלת </w:t>
      </w:r>
      <w:r w:rsidRPr="000C0E04">
        <w:rPr>
          <w:bCs/>
          <w:rtl/>
        </w:rPr>
        <w:t>רק</w:t>
      </w:r>
      <w:r w:rsidRPr="000C0E04">
        <w:rPr>
          <w:rtl/>
        </w:rPr>
        <w:t xml:space="preserve"> על הנכרי, ולכן כי קעבד</w:t>
      </w:r>
      <w:r>
        <w:rPr>
          <w:rFonts w:hint="cs"/>
          <w:rtl/>
        </w:rPr>
        <w:t xml:space="preserve"> הנכרי</w:t>
      </w:r>
      <w:r w:rsidRPr="000C0E04">
        <w:rPr>
          <w:rtl/>
        </w:rPr>
        <w:t xml:space="preserve"> אדעתי' דנפשי' קא עביד, וזה שהישראל נהנה לא אכפית לן כיון שהוא הנאה דממילא. אבל כאן בשותפות </w:t>
      </w:r>
      <w:r>
        <w:rPr>
          <w:rFonts w:hint="cs"/>
          <w:rtl/>
        </w:rPr>
        <w:t xml:space="preserve">נוסף לזה </w:t>
      </w:r>
      <w:r w:rsidRPr="000C0E04">
        <w:rPr>
          <w:rtl/>
        </w:rPr>
        <w:t>שיש ל</w:t>
      </w:r>
      <w:r>
        <w:rPr>
          <w:rFonts w:hint="cs"/>
          <w:rtl/>
        </w:rPr>
        <w:t>ה</w:t>
      </w:r>
      <w:r w:rsidRPr="000C0E04">
        <w:rPr>
          <w:rtl/>
        </w:rPr>
        <w:t>ישראל חלק בפירות השדה</w:t>
      </w:r>
      <w:r>
        <w:rPr>
          <w:rFonts w:hint="cs"/>
          <w:rtl/>
        </w:rPr>
        <w:t xml:space="preserve">, גם </w:t>
      </w:r>
      <w:r>
        <w:rPr>
          <w:rFonts w:hint="cs"/>
          <w:rtl/>
        </w:rPr>
        <w:lastRenderedPageBreak/>
        <w:t xml:space="preserve">אחריות </w:t>
      </w:r>
      <w:r w:rsidRPr="000C0E04">
        <w:rPr>
          <w:rtl/>
        </w:rPr>
        <w:t>מלאכת השדה מוטלת עליו, וכשהמלאכה מוטלת על ישראל יתכן לומר שע"י קבלת השכר נמצא שהוא שלוחו למפרע</w:t>
      </w:r>
      <w:r>
        <w:rPr>
          <w:rFonts w:hint="cs"/>
          <w:rtl/>
        </w:rPr>
        <w:t xml:space="preserve"> (לפי השיטה המחמירה)</w:t>
      </w:r>
      <w:r w:rsidRPr="000C0E04">
        <w:rPr>
          <w:rtl/>
        </w:rPr>
        <w:t xml:space="preserve">, לכן הוצרך אדה"ז (מיוסד על הרמ"א והר"ן) לבאר שע"י שאין הישראל עובד כנגד מה שעשה הנכרי אין לו חלק </w:t>
      </w:r>
      <w:r w:rsidRPr="000C0E04">
        <w:rPr>
          <w:bCs/>
          <w:rtl/>
        </w:rPr>
        <w:t>כלל</w:t>
      </w:r>
      <w:r w:rsidRPr="000C0E04">
        <w:rPr>
          <w:rtl/>
        </w:rPr>
        <w:t xml:space="preserve"> במלאכת שבת, ובמילא לא יתכן לומר כאן שליחות.</w:t>
      </w:r>
    </w:p>
    <w:p w14:paraId="2ACD6066" w14:textId="77777777" w:rsidR="000672B7" w:rsidRDefault="000672B7" w:rsidP="00E60D97">
      <w:pPr>
        <w:pStyle w:val="a3"/>
        <w:rPr>
          <w:rtl/>
        </w:rPr>
      </w:pPr>
      <w:r w:rsidRPr="000C0E04">
        <w:rPr>
          <w:rtl/>
        </w:rPr>
        <w:t>ומובן לפי כ"ז למה לא מספיק בס"ח הביא</w:t>
      </w:r>
      <w:r>
        <w:rPr>
          <w:rFonts w:hint="cs"/>
          <w:rtl/>
        </w:rPr>
        <w:t>ו</w:t>
      </w:r>
      <w:r w:rsidRPr="000C0E04">
        <w:rPr>
          <w:rtl/>
        </w:rPr>
        <w:t>ר דאריסות והוצרך אדה"ז לביאור חדש איך שאין לישראל חלק כלל במלאכת השדה</w:t>
      </w:r>
      <w:r w:rsidRPr="000C0E04">
        <w:rPr>
          <w:rStyle w:val="FootnoteReference"/>
          <w:rFonts w:ascii="Narkisim" w:hAnsi="Narkisim" w:cs="Narkisim"/>
          <w:rtl/>
        </w:rPr>
        <w:footnoteReference w:id="99"/>
      </w:r>
      <w:r w:rsidRPr="000C0E04">
        <w:rPr>
          <w:rtl/>
        </w:rPr>
        <w:t>.</w:t>
      </w:r>
    </w:p>
    <w:p w14:paraId="23F7E7D9" w14:textId="77777777" w:rsidR="000672B7" w:rsidRPr="000C0E04" w:rsidRDefault="000672B7" w:rsidP="00E60D97">
      <w:pPr>
        <w:pStyle w:val="a3"/>
        <w:rPr>
          <w:rtl/>
        </w:rPr>
      </w:pPr>
      <w:r>
        <w:rPr>
          <w:rFonts w:hint="cs"/>
          <w:rtl/>
        </w:rPr>
        <w:t>וההיתר המבואר כאן דומה לההיתר של התנו בתחילה המבואר לעיל ס"ג "</w:t>
      </w:r>
      <w:r w:rsidRPr="004A3B1E">
        <w:rPr>
          <w:rtl/>
        </w:rPr>
        <w:t>כיון שהתנה עמו בשעה שקיבל עליו עבודת השדה</w:t>
      </w:r>
      <w:r w:rsidRPr="00761C8D">
        <w:rPr>
          <w:rtl/>
        </w:rPr>
        <w:t xml:space="preserve"> שלא יהיה מוטל עליו כלל בשבת נמצא שבשבת </w:t>
      </w:r>
      <w:r w:rsidRPr="00761C8D">
        <w:rPr>
          <w:bCs/>
          <w:rtl/>
        </w:rPr>
        <w:t>אין להישראל חלק בשדה כלל</w:t>
      </w:r>
      <w:r w:rsidRPr="00761C8D">
        <w:rPr>
          <w:rFonts w:hint="cs"/>
          <w:rtl/>
        </w:rPr>
        <w:t>,</w:t>
      </w:r>
      <w:r w:rsidRPr="00761C8D">
        <w:rPr>
          <w:rtl/>
        </w:rPr>
        <w:t xml:space="preserve"> אלא כולה מוטלת על הנכרי לבדו בשבת ואין הנכרי עושה כלל בעד הישראל</w:t>
      </w:r>
      <w:r w:rsidRPr="00761C8D">
        <w:rPr>
          <w:rFonts w:hint="cs"/>
          <w:rtl/>
        </w:rPr>
        <w:t>,</w:t>
      </w:r>
      <w:r w:rsidRPr="00761C8D">
        <w:rPr>
          <w:rtl/>
        </w:rPr>
        <w:t xml:space="preserve"> וכולה מוטלת על הישראל לבדו ביום אחד בחול</w:t>
      </w:r>
      <w:r w:rsidRPr="00761C8D">
        <w:rPr>
          <w:rFonts w:hint="cs"/>
          <w:rtl/>
        </w:rPr>
        <w:t>". וכן בסעיף ד (בנוגע שותפות במלאכה) "</w:t>
      </w:r>
      <w:r w:rsidRPr="00761C8D">
        <w:rPr>
          <w:rtl/>
        </w:rPr>
        <w:t>ישראל ונכרי שהיו שותפין במלאכה או בסחורה בחנות</w:t>
      </w:r>
      <w:r w:rsidRPr="00761C8D">
        <w:rPr>
          <w:rFonts w:hint="cs"/>
          <w:rtl/>
        </w:rPr>
        <w:t>,</w:t>
      </w:r>
      <w:r w:rsidRPr="00761C8D">
        <w:rPr>
          <w:rtl/>
        </w:rPr>
        <w:t xml:space="preserve"> אם התנו מתחלה בשעה שנשתתפו שיהא שכר יום השבת לנכרי בלבדו הן רב הן מעט ושכר יום א' אחר השבת כנגדו לישראל בלבדו הרי זה מותר מטעם שנתבאר</w:t>
      </w:r>
      <w:r w:rsidRPr="00761C8D">
        <w:rPr>
          <w:rFonts w:hint="cs"/>
          <w:rtl/>
        </w:rPr>
        <w:t>,</w:t>
      </w:r>
      <w:r w:rsidRPr="00761C8D">
        <w:rPr>
          <w:rtl/>
        </w:rPr>
        <w:t xml:space="preserve"> </w:t>
      </w:r>
      <w:r w:rsidRPr="00761C8D">
        <w:rPr>
          <w:bCs/>
          <w:rtl/>
        </w:rPr>
        <w:t>ואפילו אם אח"כ נתרצה הנכרי לחלוק עמו כל השכר בשוה אין בכך כלום</w:t>
      </w:r>
      <w:r w:rsidRPr="00761C8D">
        <w:rPr>
          <w:rtl/>
        </w:rPr>
        <w:t xml:space="preserve"> </w:t>
      </w:r>
      <w:r w:rsidRPr="00761C8D">
        <w:rPr>
          <w:bCs/>
          <w:rtl/>
        </w:rPr>
        <w:t>שמתנה הוא שנותן לו</w:t>
      </w:r>
      <w:r w:rsidRPr="00761C8D">
        <w:rPr>
          <w:rFonts w:hint="cs"/>
          <w:rtl/>
        </w:rPr>
        <w:t>"</w:t>
      </w:r>
      <w:r w:rsidRPr="00761C8D">
        <w:rPr>
          <w:rtl/>
        </w:rPr>
        <w:t>.</w:t>
      </w:r>
      <w:r>
        <w:rPr>
          <w:rFonts w:hint="cs"/>
          <w:rtl/>
        </w:rPr>
        <w:t xml:space="preserve"> הרי בהתנו בתחילה אין לו חלק כלל, והחלוקה בשוה אח"כ הוא בתורת מתנה (בתנאי שאינו באופן ד'מלא לי'  כמבואר שם בהמשך הסעיף).</w:t>
      </w:r>
    </w:p>
    <w:p w14:paraId="78862B8C" w14:textId="77777777" w:rsidR="000672B7" w:rsidRPr="000C0E04" w:rsidRDefault="000672B7" w:rsidP="00E60D97">
      <w:pPr>
        <w:pStyle w:val="a3"/>
      </w:pPr>
      <w:r w:rsidRPr="000C0E04">
        <w:rPr>
          <w:rtl/>
        </w:rPr>
        <w:t>ולפי זה מתורץ בפשטות הסתירה בהר"ן, שהרי כשהמלאכה מוטלת על הישראל אכן אסור להישראל לקבל שכר השבת, אבל בכהאי גוונא שאין הישראל עובד כנגדו נמצא שאכן אין המלאכה מוטלת עליו ולכן מותר.</w:t>
      </w:r>
    </w:p>
    <w:p w14:paraId="73846F86" w14:textId="77777777" w:rsidR="008D2550" w:rsidRDefault="008D2550" w:rsidP="00492226">
      <w:pPr>
        <w:pStyle w:val="M"/>
        <w:bidi w:val="0"/>
        <w:rPr>
          <w:rtl/>
        </w:rPr>
      </w:pPr>
    </w:p>
    <w:p w14:paraId="6CBEAF0F" w14:textId="6CEE5009" w:rsidR="00BE42E8" w:rsidRDefault="00304B8E" w:rsidP="00304B8E">
      <w:pPr>
        <w:pStyle w:val="M"/>
        <w:rPr>
          <w:rtl/>
        </w:rPr>
        <w:sectPr w:rsidR="00BE42E8" w:rsidSect="00541E5D">
          <w:footnotePr>
            <w:numRestart w:val="eachSect"/>
          </w:footnotePr>
          <w:type w:val="continuous"/>
          <w:pgSz w:w="7920" w:h="12240"/>
          <w:pgMar w:top="-810" w:right="864" w:bottom="720" w:left="864" w:header="270" w:footer="0" w:gutter="0"/>
          <w:cols w:space="720"/>
          <w:docGrid w:linePitch="360"/>
        </w:sectPr>
      </w:pPr>
      <w:r>
        <w:rPr>
          <w:noProof/>
        </w:rPr>
        <w:drawing>
          <wp:inline distT="0" distB="0" distL="0" distR="0" wp14:anchorId="0D815937" wp14:editId="364854D8">
            <wp:extent cx="875763" cy="23404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B24D6EA" w14:textId="77777777" w:rsidR="00304B8E" w:rsidRDefault="00304B8E" w:rsidP="00304B8E">
      <w:pPr>
        <w:pStyle w:val="12"/>
        <w:rPr>
          <w:rtl/>
        </w:rPr>
      </w:pPr>
      <w:r>
        <w:rPr>
          <w:rtl/>
        </w:rPr>
        <w:br w:type="page"/>
      </w:r>
    </w:p>
    <w:p w14:paraId="19CE31FE" w14:textId="47491E86" w:rsidR="008D2550" w:rsidRDefault="008D2550" w:rsidP="00304B8E">
      <w:pPr>
        <w:pStyle w:val="12"/>
        <w:rPr>
          <w:rtl/>
        </w:rPr>
      </w:pPr>
      <w:bookmarkStart w:id="171" w:name="_Toc81540435"/>
      <w:r>
        <w:rPr>
          <w:rFonts w:hint="cs"/>
          <w:rtl/>
        </w:rPr>
        <w:lastRenderedPageBreak/>
        <w:t>פשוטו של מקרא</w:t>
      </w:r>
      <w:bookmarkEnd w:id="171"/>
    </w:p>
    <w:p w14:paraId="7ECB1E02" w14:textId="2C4CCFD7" w:rsidR="008D2550" w:rsidRPr="008D2550" w:rsidRDefault="008D2550" w:rsidP="008D2550">
      <w:pPr>
        <w:pStyle w:val="a0"/>
        <w:rPr>
          <w:rtl/>
        </w:rPr>
      </w:pPr>
      <w:bookmarkStart w:id="172" w:name="_Toc81540436"/>
      <w:r w:rsidRPr="00CA46A9">
        <w:rPr>
          <w:rFonts w:hint="cs"/>
          <w:rtl/>
        </w:rPr>
        <w:t>לבלתי עבר</w:t>
      </w:r>
      <w:r>
        <w:rPr>
          <w:rFonts w:hint="cs"/>
          <w:rtl/>
        </w:rPr>
        <w:t>י . . ולבלתי בא</w:t>
      </w:r>
      <w:bookmarkEnd w:id="172"/>
    </w:p>
    <w:p w14:paraId="58CB6B8E" w14:textId="77777777" w:rsidR="008D2550" w:rsidRPr="00C60FEE" w:rsidRDefault="008D2550" w:rsidP="0046124A">
      <w:pPr>
        <w:pStyle w:val="a"/>
        <w:rPr>
          <w:rtl/>
        </w:rPr>
      </w:pPr>
      <w:bookmarkStart w:id="173" w:name="_Toc81540437"/>
      <w:r w:rsidRPr="00C60FEE">
        <w:rPr>
          <w:rFonts w:hint="cs"/>
          <w:rtl/>
        </w:rPr>
        <w:t>הרב וו. ראזענבלום</w:t>
      </w:r>
      <w:bookmarkEnd w:id="173"/>
    </w:p>
    <w:p w14:paraId="0EEA16E8" w14:textId="77777777" w:rsidR="008D2550" w:rsidRPr="00C60FEE" w:rsidRDefault="008D2550" w:rsidP="008D2550">
      <w:pPr>
        <w:pStyle w:val="a1"/>
        <w:bidi/>
        <w:jc w:val="right"/>
        <w:rPr>
          <w:rtl/>
        </w:rPr>
      </w:pPr>
      <w:r w:rsidRPr="00C60FEE">
        <w:rPr>
          <w:rFonts w:hint="cs"/>
          <w:rtl/>
        </w:rPr>
        <w:t>תושב השכונה</w:t>
      </w:r>
    </w:p>
    <w:p w14:paraId="457D8079" w14:textId="77777777" w:rsidR="008D2550" w:rsidRDefault="008D2550" w:rsidP="008D2550">
      <w:pPr>
        <w:pStyle w:val="a3"/>
        <w:rPr>
          <w:rtl/>
        </w:rPr>
      </w:pPr>
      <w:r w:rsidRPr="00CA46A9">
        <w:rPr>
          <w:rFonts w:hint="cs"/>
          <w:rtl/>
        </w:rPr>
        <w:t xml:space="preserve">בפירש"י בפרשת ואתחנן ד"ה כי אנכי מת וגו' אינני עובר: </w:t>
      </w:r>
      <w:r>
        <w:rPr>
          <w:rFonts w:hint="cs"/>
          <w:rtl/>
        </w:rPr>
        <w:t>"מאחר שמת מהיכן יעבור, אלא אף עצמותי אינם עוברים" (ד, כב).</w:t>
      </w:r>
    </w:p>
    <w:p w14:paraId="7AB672A7" w14:textId="77777777" w:rsidR="008D2550" w:rsidRDefault="008D2550" w:rsidP="008D2550">
      <w:pPr>
        <w:pStyle w:val="a3"/>
        <w:rPr>
          <w:rtl/>
        </w:rPr>
      </w:pPr>
      <w:r>
        <w:rPr>
          <w:rFonts w:hint="cs"/>
          <w:rtl/>
        </w:rPr>
        <w:t>וצריך להבין:</w:t>
      </w:r>
    </w:p>
    <w:p w14:paraId="4459628F" w14:textId="77777777" w:rsidR="008D2550" w:rsidRDefault="008D2550" w:rsidP="008D2550">
      <w:pPr>
        <w:pStyle w:val="a3"/>
        <w:rPr>
          <w:rtl/>
        </w:rPr>
      </w:pPr>
      <w:r>
        <w:rPr>
          <w:rFonts w:hint="cs"/>
          <w:rtl/>
        </w:rPr>
        <w:t>קודם פסוק זה כתיב (שם, כא): "..וישבע לבלתי עברי את הירדן ולבלתי בא אל הארץ הטובה וגו'".</w:t>
      </w:r>
    </w:p>
    <w:p w14:paraId="3426E563" w14:textId="77777777" w:rsidR="008D2550" w:rsidRPr="00CA46A9" w:rsidRDefault="008D2550" w:rsidP="008D2550">
      <w:pPr>
        <w:pStyle w:val="a3"/>
        <w:rPr>
          <w:sz w:val="36"/>
          <w:szCs w:val="36"/>
          <w:rtl/>
        </w:rPr>
      </w:pPr>
      <w:r>
        <w:rPr>
          <w:rFonts w:hint="cs"/>
          <w:rtl/>
        </w:rPr>
        <w:t xml:space="preserve">ולמה אין רש"י שואל </w:t>
      </w:r>
      <w:r>
        <w:rPr>
          <w:rFonts w:hint="cs"/>
          <w:bCs/>
          <w:rtl/>
        </w:rPr>
        <w:t>כאן</w:t>
      </w:r>
      <w:r>
        <w:rPr>
          <w:rFonts w:hint="cs"/>
          <w:rtl/>
        </w:rPr>
        <w:t xml:space="preserve"> מאחר שאינו יכול לעבור את הירדן מהיכן יבא אל הארץ. ועוד, שכאן אין מתאים לתרץ שאף עצמותי אינם שהלשון "(ולבלתי) </w:t>
      </w:r>
      <w:r>
        <w:rPr>
          <w:rFonts w:hint="cs"/>
          <w:bCs/>
          <w:rtl/>
        </w:rPr>
        <w:t>בא</w:t>
      </w:r>
      <w:r>
        <w:rPr>
          <w:rFonts w:hint="cs"/>
          <w:rtl/>
        </w:rPr>
        <w:t xml:space="preserve">", משמע </w:t>
      </w:r>
      <w:r>
        <w:rPr>
          <w:rFonts w:hint="cs"/>
          <w:bCs/>
          <w:rtl/>
        </w:rPr>
        <w:t>מחיים</w:t>
      </w:r>
      <w:r>
        <w:rPr>
          <w:rFonts w:hint="cs"/>
          <w:rtl/>
        </w:rPr>
        <w:t>, לכאורה.</w:t>
      </w:r>
    </w:p>
    <w:p w14:paraId="533ACDD9" w14:textId="77777777" w:rsidR="008D2550" w:rsidRDefault="008D2550" w:rsidP="008D2550">
      <w:pPr>
        <w:pStyle w:val="a3"/>
      </w:pPr>
      <w:r w:rsidRPr="00CA46A9">
        <w:rPr>
          <w:rFonts w:hint="cs"/>
          <w:rtl/>
        </w:rPr>
        <w:t>וראיתי בפירוש אור החיים שעמד על פסוק (</w:t>
      </w:r>
      <w:r w:rsidRPr="00CA46A9">
        <w:rPr>
          <w:rFonts w:hint="cs"/>
          <w:bCs/>
          <w:rtl/>
        </w:rPr>
        <w:t>כ"א</w:t>
      </w:r>
      <w:r w:rsidRPr="00CA46A9">
        <w:rPr>
          <w:rFonts w:hint="cs"/>
          <w:rtl/>
        </w:rPr>
        <w:t>) הנ"ל וכתב, וז"ל:</w:t>
      </w:r>
    </w:p>
    <w:p w14:paraId="11F7D13B" w14:textId="77777777" w:rsidR="008D2550" w:rsidRDefault="008D2550" w:rsidP="008D2550">
      <w:pPr>
        <w:pStyle w:val="a3"/>
        <w:rPr>
          <w:rtl/>
        </w:rPr>
      </w:pPr>
      <w:r w:rsidRPr="0011745B">
        <w:rPr>
          <w:rFonts w:hint="cs"/>
          <w:rtl/>
        </w:rPr>
        <w:t>חזר</w:t>
      </w:r>
      <w:r w:rsidRPr="0011745B">
        <w:rPr>
          <w:rtl/>
        </w:rPr>
        <w:t xml:space="preserve"> </w:t>
      </w:r>
      <w:r w:rsidRPr="0011745B">
        <w:rPr>
          <w:rFonts w:hint="cs"/>
          <w:rtl/>
        </w:rPr>
        <w:t>לומר</w:t>
      </w:r>
      <w:r w:rsidRPr="0011745B">
        <w:rPr>
          <w:rtl/>
        </w:rPr>
        <w:t xml:space="preserve"> </w:t>
      </w:r>
      <w:r w:rsidRPr="0011745B">
        <w:rPr>
          <w:rFonts w:hint="cs"/>
          <w:rtl/>
        </w:rPr>
        <w:t>עוד</w:t>
      </w:r>
      <w:r w:rsidRPr="0011745B">
        <w:rPr>
          <w:rtl/>
        </w:rPr>
        <w:t xml:space="preserve"> </w:t>
      </w:r>
      <w:r w:rsidRPr="0011745B">
        <w:rPr>
          <w:rFonts w:hint="cs"/>
          <w:rtl/>
        </w:rPr>
        <w:t>מאמר</w:t>
      </w:r>
      <w:r w:rsidRPr="0011745B">
        <w:rPr>
          <w:rtl/>
        </w:rPr>
        <w:t xml:space="preserve"> </w:t>
      </w:r>
      <w:r w:rsidRPr="0011745B">
        <w:rPr>
          <w:rFonts w:hint="cs"/>
          <w:rtl/>
        </w:rPr>
        <w:t>זה</w:t>
      </w:r>
      <w:r w:rsidRPr="0011745B">
        <w:rPr>
          <w:rtl/>
        </w:rPr>
        <w:t xml:space="preserve"> </w:t>
      </w:r>
      <w:r w:rsidRPr="0011745B">
        <w:rPr>
          <w:rFonts w:hint="cs"/>
          <w:rtl/>
        </w:rPr>
        <w:t>ולא</w:t>
      </w:r>
      <w:r w:rsidRPr="0011745B">
        <w:rPr>
          <w:rtl/>
        </w:rPr>
        <w:t xml:space="preserve"> </w:t>
      </w:r>
      <w:r w:rsidRPr="0011745B">
        <w:rPr>
          <w:rFonts w:hint="cs"/>
          <w:rtl/>
        </w:rPr>
        <w:t>הספיק</w:t>
      </w:r>
      <w:r w:rsidRPr="0011745B">
        <w:rPr>
          <w:rtl/>
        </w:rPr>
        <w:t xml:space="preserve"> </w:t>
      </w:r>
      <w:r w:rsidRPr="0011745B">
        <w:rPr>
          <w:rFonts w:hint="cs"/>
          <w:rtl/>
        </w:rPr>
        <w:t>מ</w:t>
      </w:r>
      <w:r>
        <w:rPr>
          <w:rFonts w:hint="cs"/>
          <w:rtl/>
        </w:rPr>
        <w:t>ה</w:t>
      </w:r>
      <w:r>
        <w:rPr>
          <w:rtl/>
        </w:rPr>
        <w:t xml:space="preserve"> </w:t>
      </w:r>
      <w:r>
        <w:rPr>
          <w:rFonts w:hint="cs"/>
          <w:rtl/>
        </w:rPr>
        <w:t>שאמר</w:t>
      </w:r>
      <w:r>
        <w:rPr>
          <w:rtl/>
        </w:rPr>
        <w:t xml:space="preserve"> </w:t>
      </w:r>
      <w:r>
        <w:rPr>
          <w:rFonts w:hint="cs"/>
          <w:rtl/>
        </w:rPr>
        <w:t>בפרשת</w:t>
      </w:r>
      <w:r>
        <w:rPr>
          <w:rtl/>
        </w:rPr>
        <w:t xml:space="preserve"> </w:t>
      </w:r>
      <w:r>
        <w:rPr>
          <w:rFonts w:hint="cs"/>
          <w:rtl/>
        </w:rPr>
        <w:t>דברים</w:t>
      </w:r>
      <w:r>
        <w:rPr>
          <w:rtl/>
        </w:rPr>
        <w:t xml:space="preserve"> </w:t>
      </w:r>
      <w:r>
        <w:rPr>
          <w:rFonts w:hint="cs"/>
          <w:rtl/>
        </w:rPr>
        <w:t>דכתיב</w:t>
      </w:r>
      <w:r>
        <w:rPr>
          <w:rtl/>
        </w:rPr>
        <w:t xml:space="preserve"> (</w:t>
      </w:r>
      <w:r>
        <w:rPr>
          <w:rFonts w:hint="cs"/>
          <w:rtl/>
        </w:rPr>
        <w:t>א,</w:t>
      </w:r>
      <w:r>
        <w:rPr>
          <w:rtl/>
        </w:rPr>
        <w:t xml:space="preserve"> </w:t>
      </w:r>
      <w:r>
        <w:rPr>
          <w:rFonts w:hint="cs"/>
          <w:rtl/>
        </w:rPr>
        <w:t>לז</w:t>
      </w:r>
      <w:r>
        <w:rPr>
          <w:rtl/>
        </w:rPr>
        <w:t xml:space="preserve">) </w:t>
      </w:r>
      <w:r>
        <w:rPr>
          <w:rFonts w:hint="cs"/>
          <w:rtl/>
        </w:rPr>
        <w:t>גם</w:t>
      </w:r>
      <w:r>
        <w:rPr>
          <w:rtl/>
        </w:rPr>
        <w:t xml:space="preserve"> </w:t>
      </w:r>
      <w:r>
        <w:rPr>
          <w:rFonts w:hint="cs"/>
          <w:rtl/>
        </w:rPr>
        <w:t>בי</w:t>
      </w:r>
      <w:r>
        <w:rPr>
          <w:rtl/>
        </w:rPr>
        <w:t xml:space="preserve"> </w:t>
      </w:r>
      <w:r>
        <w:rPr>
          <w:rFonts w:hint="cs"/>
          <w:rtl/>
        </w:rPr>
        <w:t>התאנף</w:t>
      </w:r>
      <w:r>
        <w:rPr>
          <w:rtl/>
        </w:rPr>
        <w:t xml:space="preserve"> </w:t>
      </w:r>
      <w:r>
        <w:rPr>
          <w:rFonts w:hint="cs"/>
          <w:rtl/>
        </w:rPr>
        <w:t>וגו</w:t>
      </w:r>
      <w:r>
        <w:rPr>
          <w:rtl/>
        </w:rPr>
        <w:t xml:space="preserve">', </w:t>
      </w:r>
      <w:r>
        <w:rPr>
          <w:rFonts w:hint="cs"/>
          <w:rtl/>
        </w:rPr>
        <w:t>גם</w:t>
      </w:r>
      <w:r>
        <w:rPr>
          <w:rtl/>
        </w:rPr>
        <w:t xml:space="preserve"> </w:t>
      </w:r>
      <w:r>
        <w:rPr>
          <w:rFonts w:hint="cs"/>
          <w:rtl/>
        </w:rPr>
        <w:t>כפל</w:t>
      </w:r>
      <w:r>
        <w:rPr>
          <w:rtl/>
        </w:rPr>
        <w:t xml:space="preserve"> </w:t>
      </w:r>
      <w:r>
        <w:rPr>
          <w:rFonts w:hint="cs"/>
          <w:rtl/>
        </w:rPr>
        <w:t>לומר</w:t>
      </w:r>
      <w:r w:rsidRPr="0011745B">
        <w:rPr>
          <w:rtl/>
        </w:rPr>
        <w:t xml:space="preserve"> </w:t>
      </w:r>
      <w:r w:rsidRPr="0011745B">
        <w:rPr>
          <w:rFonts w:hint="cs"/>
          <w:bCs/>
          <w:rtl/>
        </w:rPr>
        <w:t>לבלתי</w:t>
      </w:r>
      <w:r w:rsidRPr="0011745B">
        <w:rPr>
          <w:rtl/>
        </w:rPr>
        <w:t xml:space="preserve"> </w:t>
      </w:r>
      <w:r w:rsidRPr="0011745B">
        <w:rPr>
          <w:rFonts w:hint="cs"/>
          <w:rtl/>
        </w:rPr>
        <w:t>ב</w:t>
      </w:r>
      <w:r w:rsidRPr="0011745B">
        <w:rPr>
          <w:rtl/>
        </w:rPr>
        <w:t xml:space="preserve">' </w:t>
      </w:r>
      <w:r w:rsidRPr="0011745B">
        <w:rPr>
          <w:rFonts w:hint="cs"/>
          <w:rtl/>
        </w:rPr>
        <w:t>פעמים</w:t>
      </w:r>
      <w:r w:rsidRPr="0011745B">
        <w:rPr>
          <w:rtl/>
        </w:rPr>
        <w:t xml:space="preserve">, </w:t>
      </w:r>
      <w:r w:rsidRPr="0011745B">
        <w:rPr>
          <w:rFonts w:hint="cs"/>
          <w:rtl/>
        </w:rPr>
        <w:t>לומר</w:t>
      </w:r>
      <w:r w:rsidRPr="0011745B">
        <w:rPr>
          <w:rtl/>
        </w:rPr>
        <w:t xml:space="preserve"> </w:t>
      </w:r>
      <w:r w:rsidRPr="0011745B">
        <w:rPr>
          <w:rFonts w:hint="cs"/>
          <w:rtl/>
        </w:rPr>
        <w:t>גזירה</w:t>
      </w:r>
      <w:r w:rsidRPr="0011745B">
        <w:rPr>
          <w:rtl/>
        </w:rPr>
        <w:t xml:space="preserve"> </w:t>
      </w:r>
      <w:r w:rsidRPr="0011745B">
        <w:rPr>
          <w:rFonts w:hint="cs"/>
          <w:rtl/>
        </w:rPr>
        <w:t>אחרת</w:t>
      </w:r>
      <w:r w:rsidRPr="0011745B">
        <w:rPr>
          <w:rtl/>
        </w:rPr>
        <w:t xml:space="preserve"> </w:t>
      </w:r>
      <w:r w:rsidRPr="0011745B">
        <w:rPr>
          <w:rFonts w:hint="cs"/>
          <w:rtl/>
        </w:rPr>
        <w:t>שנגזרה</w:t>
      </w:r>
      <w:r w:rsidRPr="0011745B">
        <w:rPr>
          <w:rtl/>
        </w:rPr>
        <w:t xml:space="preserve"> </w:t>
      </w:r>
      <w:r w:rsidRPr="0011745B">
        <w:rPr>
          <w:rFonts w:hint="cs"/>
          <w:rtl/>
        </w:rPr>
        <w:t>עליו</w:t>
      </w:r>
      <w:r w:rsidRPr="0011745B">
        <w:rPr>
          <w:rtl/>
        </w:rPr>
        <w:t xml:space="preserve"> </w:t>
      </w:r>
      <w:r w:rsidRPr="0011745B">
        <w:rPr>
          <w:rFonts w:hint="cs"/>
          <w:rtl/>
        </w:rPr>
        <w:t>מלבד</w:t>
      </w:r>
      <w:r w:rsidRPr="0011745B">
        <w:rPr>
          <w:rtl/>
        </w:rPr>
        <w:t xml:space="preserve"> </w:t>
      </w:r>
      <w:r w:rsidRPr="0011745B">
        <w:rPr>
          <w:rFonts w:hint="cs"/>
          <w:rtl/>
        </w:rPr>
        <w:t>שימות</w:t>
      </w:r>
      <w:r w:rsidRPr="0011745B">
        <w:rPr>
          <w:rtl/>
        </w:rPr>
        <w:t xml:space="preserve"> </w:t>
      </w:r>
      <w:r w:rsidRPr="0011745B">
        <w:rPr>
          <w:rFonts w:hint="cs"/>
          <w:rtl/>
        </w:rPr>
        <w:t>במדבר</w:t>
      </w:r>
      <w:r w:rsidRPr="0011745B">
        <w:rPr>
          <w:rtl/>
        </w:rPr>
        <w:t xml:space="preserve"> </w:t>
      </w:r>
      <w:r w:rsidRPr="0011745B">
        <w:rPr>
          <w:rFonts w:hint="cs"/>
          <w:rtl/>
        </w:rPr>
        <w:t>עוד</w:t>
      </w:r>
      <w:r w:rsidRPr="0011745B">
        <w:rPr>
          <w:rtl/>
        </w:rPr>
        <w:t xml:space="preserve"> </w:t>
      </w:r>
      <w:r w:rsidRPr="0011745B">
        <w:rPr>
          <w:rFonts w:hint="cs"/>
          <w:rtl/>
        </w:rPr>
        <w:t>גזר</w:t>
      </w:r>
      <w:r w:rsidRPr="0011745B">
        <w:rPr>
          <w:rtl/>
        </w:rPr>
        <w:t xml:space="preserve"> </w:t>
      </w:r>
      <w:r w:rsidRPr="0011745B">
        <w:rPr>
          <w:rFonts w:hint="cs"/>
          <w:rtl/>
        </w:rPr>
        <w:t>עליו</w:t>
      </w:r>
      <w:r w:rsidRPr="0011745B">
        <w:rPr>
          <w:rtl/>
        </w:rPr>
        <w:t xml:space="preserve"> </w:t>
      </w:r>
      <w:r w:rsidRPr="0011745B">
        <w:rPr>
          <w:rFonts w:hint="cs"/>
          <w:rtl/>
        </w:rPr>
        <w:t>שלא</w:t>
      </w:r>
      <w:r w:rsidRPr="0011745B">
        <w:rPr>
          <w:rtl/>
        </w:rPr>
        <w:t xml:space="preserve"> </w:t>
      </w:r>
      <w:r w:rsidRPr="0011745B">
        <w:rPr>
          <w:rFonts w:hint="cs"/>
          <w:rtl/>
        </w:rPr>
        <w:t>יעלו</w:t>
      </w:r>
      <w:r w:rsidRPr="0011745B">
        <w:rPr>
          <w:rtl/>
        </w:rPr>
        <w:t xml:space="preserve"> </w:t>
      </w:r>
      <w:r w:rsidRPr="0011745B">
        <w:rPr>
          <w:rFonts w:hint="cs"/>
          <w:rtl/>
        </w:rPr>
        <w:t>עצמותיו</w:t>
      </w:r>
      <w:r w:rsidRPr="0011745B">
        <w:rPr>
          <w:rtl/>
        </w:rPr>
        <w:t xml:space="preserve"> </w:t>
      </w:r>
      <w:r w:rsidRPr="0011745B">
        <w:rPr>
          <w:rFonts w:hint="cs"/>
          <w:rtl/>
        </w:rPr>
        <w:t>להקבר</w:t>
      </w:r>
      <w:r w:rsidRPr="0011745B">
        <w:rPr>
          <w:rtl/>
        </w:rPr>
        <w:t xml:space="preserve"> </w:t>
      </w:r>
      <w:r w:rsidRPr="0011745B">
        <w:rPr>
          <w:rFonts w:hint="cs"/>
          <w:rtl/>
        </w:rPr>
        <w:t>בארץ</w:t>
      </w:r>
      <w:r w:rsidRPr="0011745B">
        <w:rPr>
          <w:rtl/>
        </w:rPr>
        <w:t xml:space="preserve"> </w:t>
      </w:r>
      <w:r w:rsidRPr="0011745B">
        <w:rPr>
          <w:rFonts w:hint="cs"/>
          <w:rtl/>
        </w:rPr>
        <w:t>כדרך</w:t>
      </w:r>
      <w:r w:rsidRPr="0011745B">
        <w:rPr>
          <w:rtl/>
        </w:rPr>
        <w:t xml:space="preserve"> </w:t>
      </w:r>
      <w:r w:rsidRPr="0011745B">
        <w:rPr>
          <w:rFonts w:hint="cs"/>
          <w:rtl/>
        </w:rPr>
        <w:t>שעשה</w:t>
      </w:r>
      <w:r w:rsidRPr="0011745B">
        <w:rPr>
          <w:rtl/>
        </w:rPr>
        <w:t xml:space="preserve"> </w:t>
      </w:r>
      <w:r w:rsidRPr="0011745B">
        <w:rPr>
          <w:rFonts w:hint="cs"/>
          <w:rtl/>
        </w:rPr>
        <w:t>הוא</w:t>
      </w:r>
      <w:r w:rsidRPr="0011745B">
        <w:rPr>
          <w:rtl/>
        </w:rPr>
        <w:t xml:space="preserve"> </w:t>
      </w:r>
      <w:r w:rsidRPr="0011745B">
        <w:rPr>
          <w:rFonts w:hint="cs"/>
          <w:rtl/>
        </w:rPr>
        <w:t>לעצמות</w:t>
      </w:r>
      <w:r w:rsidRPr="0011745B">
        <w:rPr>
          <w:rtl/>
        </w:rPr>
        <w:t xml:space="preserve"> </w:t>
      </w:r>
      <w:r w:rsidRPr="0011745B">
        <w:rPr>
          <w:rFonts w:hint="cs"/>
          <w:rtl/>
        </w:rPr>
        <w:t>יוסף</w:t>
      </w:r>
      <w:r w:rsidRPr="0011745B">
        <w:rPr>
          <w:rtl/>
        </w:rPr>
        <w:t xml:space="preserve"> </w:t>
      </w:r>
      <w:r>
        <w:rPr>
          <w:rFonts w:hint="cs"/>
          <w:rtl/>
        </w:rPr>
        <w:t>וכדרך</w:t>
      </w:r>
      <w:r>
        <w:rPr>
          <w:rtl/>
        </w:rPr>
        <w:t xml:space="preserve"> </w:t>
      </w:r>
      <w:r>
        <w:rPr>
          <w:rFonts w:hint="cs"/>
          <w:rtl/>
        </w:rPr>
        <w:t>שעשו</w:t>
      </w:r>
      <w:r>
        <w:rPr>
          <w:rtl/>
        </w:rPr>
        <w:t xml:space="preserve"> </w:t>
      </w:r>
      <w:r>
        <w:rPr>
          <w:rFonts w:hint="cs"/>
          <w:rtl/>
        </w:rPr>
        <w:t>כל</w:t>
      </w:r>
      <w:r>
        <w:rPr>
          <w:rtl/>
        </w:rPr>
        <w:t xml:space="preserve"> </w:t>
      </w:r>
      <w:r>
        <w:rPr>
          <w:rFonts w:hint="cs"/>
          <w:rtl/>
        </w:rPr>
        <w:t>ישראל</w:t>
      </w:r>
      <w:r>
        <w:rPr>
          <w:rtl/>
        </w:rPr>
        <w:t xml:space="preserve"> </w:t>
      </w:r>
      <w:r>
        <w:rPr>
          <w:rFonts w:hint="cs"/>
          <w:rtl/>
        </w:rPr>
        <w:t>לשאר</w:t>
      </w:r>
      <w:r>
        <w:rPr>
          <w:rtl/>
        </w:rPr>
        <w:t xml:space="preserve"> </w:t>
      </w:r>
      <w:r>
        <w:rPr>
          <w:rFonts w:hint="cs"/>
          <w:rtl/>
        </w:rPr>
        <w:t>השבטים</w:t>
      </w:r>
      <w:r w:rsidRPr="0011745B">
        <w:rPr>
          <w:rtl/>
        </w:rPr>
        <w:t xml:space="preserve">, </w:t>
      </w:r>
      <w:r w:rsidRPr="0011745B">
        <w:rPr>
          <w:rFonts w:hint="cs"/>
          <w:rtl/>
        </w:rPr>
        <w:t>והוא</w:t>
      </w:r>
      <w:r w:rsidRPr="0011745B">
        <w:rPr>
          <w:rtl/>
        </w:rPr>
        <w:t xml:space="preserve"> </w:t>
      </w:r>
      <w:r w:rsidRPr="0011745B">
        <w:rPr>
          <w:rFonts w:hint="cs"/>
          <w:rtl/>
        </w:rPr>
        <w:t>אומרו</w:t>
      </w:r>
      <w:r w:rsidRPr="0011745B">
        <w:rPr>
          <w:rtl/>
        </w:rPr>
        <w:t xml:space="preserve"> </w:t>
      </w:r>
      <w:r w:rsidRPr="0011745B">
        <w:rPr>
          <w:rFonts w:hint="cs"/>
          <w:rtl/>
        </w:rPr>
        <w:t>לבלתי</w:t>
      </w:r>
      <w:r w:rsidRPr="0011745B">
        <w:rPr>
          <w:rtl/>
        </w:rPr>
        <w:t xml:space="preserve"> </w:t>
      </w:r>
      <w:r w:rsidRPr="0011745B">
        <w:rPr>
          <w:rFonts w:hint="cs"/>
          <w:rtl/>
        </w:rPr>
        <w:t>עברי</w:t>
      </w:r>
      <w:r w:rsidRPr="0011745B">
        <w:rPr>
          <w:rtl/>
        </w:rPr>
        <w:t xml:space="preserve"> </w:t>
      </w:r>
      <w:r w:rsidRPr="0011745B">
        <w:rPr>
          <w:rFonts w:hint="cs"/>
          <w:rtl/>
        </w:rPr>
        <w:t>פירוש</w:t>
      </w:r>
      <w:r w:rsidRPr="0011745B">
        <w:rPr>
          <w:rtl/>
        </w:rPr>
        <w:t xml:space="preserve"> </w:t>
      </w:r>
      <w:r w:rsidRPr="0011745B">
        <w:rPr>
          <w:rFonts w:hint="cs"/>
          <w:rtl/>
        </w:rPr>
        <w:t>בחיים</w:t>
      </w:r>
      <w:r w:rsidRPr="0011745B">
        <w:rPr>
          <w:rtl/>
        </w:rPr>
        <w:t xml:space="preserve"> </w:t>
      </w:r>
      <w:r w:rsidRPr="0011745B">
        <w:rPr>
          <w:rFonts w:hint="cs"/>
          <w:bCs/>
          <w:rtl/>
        </w:rPr>
        <w:t>ולבלתי</w:t>
      </w:r>
      <w:r w:rsidRPr="0011745B">
        <w:rPr>
          <w:bCs/>
          <w:rtl/>
        </w:rPr>
        <w:t xml:space="preserve"> </w:t>
      </w:r>
      <w:r w:rsidRPr="0011745B">
        <w:rPr>
          <w:rFonts w:hint="cs"/>
          <w:bCs/>
          <w:rtl/>
        </w:rPr>
        <w:t>בא</w:t>
      </w:r>
      <w:r w:rsidRPr="0011745B">
        <w:rPr>
          <w:rtl/>
        </w:rPr>
        <w:t xml:space="preserve"> </w:t>
      </w:r>
      <w:r w:rsidRPr="0011745B">
        <w:rPr>
          <w:rFonts w:hint="cs"/>
          <w:rtl/>
        </w:rPr>
        <w:t>פירוש</w:t>
      </w:r>
      <w:r w:rsidRPr="0011745B">
        <w:rPr>
          <w:rtl/>
        </w:rPr>
        <w:t xml:space="preserve"> </w:t>
      </w:r>
      <w:r w:rsidRPr="0011745B">
        <w:rPr>
          <w:rFonts w:hint="cs"/>
          <w:rtl/>
        </w:rPr>
        <w:t>לאחר</w:t>
      </w:r>
      <w:r w:rsidRPr="0011745B">
        <w:rPr>
          <w:rtl/>
        </w:rPr>
        <w:t xml:space="preserve"> </w:t>
      </w:r>
      <w:r w:rsidRPr="0011745B">
        <w:rPr>
          <w:rFonts w:hint="cs"/>
          <w:rtl/>
        </w:rPr>
        <w:t>מיתה</w:t>
      </w:r>
      <w:r w:rsidRPr="0011745B">
        <w:rPr>
          <w:rtl/>
        </w:rPr>
        <w:t xml:space="preserve"> </w:t>
      </w:r>
      <w:r w:rsidRPr="0011745B">
        <w:rPr>
          <w:rFonts w:hint="cs"/>
          <w:rtl/>
        </w:rPr>
        <w:t>אל</w:t>
      </w:r>
      <w:r w:rsidRPr="0011745B">
        <w:rPr>
          <w:rtl/>
        </w:rPr>
        <w:t xml:space="preserve"> </w:t>
      </w:r>
      <w:r w:rsidRPr="0011745B">
        <w:rPr>
          <w:rFonts w:hint="cs"/>
          <w:rtl/>
        </w:rPr>
        <w:t>הארץ</w:t>
      </w:r>
      <w:r w:rsidRPr="0011745B">
        <w:rPr>
          <w:rtl/>
        </w:rPr>
        <w:t xml:space="preserve"> </w:t>
      </w:r>
      <w:r w:rsidRPr="0011745B">
        <w:rPr>
          <w:rFonts w:hint="cs"/>
          <w:rtl/>
        </w:rPr>
        <w:t>הטובה</w:t>
      </w:r>
      <w:r>
        <w:rPr>
          <w:rFonts w:hint="cs"/>
          <w:rtl/>
        </w:rPr>
        <w:t>.</w:t>
      </w:r>
    </w:p>
    <w:p w14:paraId="6B227E47" w14:textId="77777777" w:rsidR="008D2550" w:rsidRDefault="008D2550" w:rsidP="008D2550">
      <w:pPr>
        <w:pStyle w:val="a3"/>
        <w:rPr>
          <w:rtl/>
        </w:rPr>
      </w:pPr>
      <w:r w:rsidRPr="0011745B">
        <w:rPr>
          <w:rFonts w:hint="cs"/>
          <w:rtl/>
        </w:rPr>
        <w:t>והוא</w:t>
      </w:r>
      <w:r w:rsidRPr="0011745B">
        <w:rPr>
          <w:rtl/>
        </w:rPr>
        <w:t xml:space="preserve"> </w:t>
      </w:r>
      <w:r w:rsidRPr="0011745B">
        <w:rPr>
          <w:rFonts w:hint="cs"/>
          <w:rtl/>
        </w:rPr>
        <w:t>מה</w:t>
      </w:r>
      <w:r w:rsidRPr="0011745B">
        <w:rPr>
          <w:rtl/>
        </w:rPr>
        <w:t xml:space="preserve"> </w:t>
      </w:r>
      <w:r w:rsidRPr="0011745B">
        <w:rPr>
          <w:rFonts w:hint="cs"/>
          <w:rtl/>
        </w:rPr>
        <w:t>שאמר</w:t>
      </w:r>
      <w:r w:rsidRPr="0011745B">
        <w:rPr>
          <w:rtl/>
        </w:rPr>
        <w:t xml:space="preserve"> </w:t>
      </w:r>
      <w:r w:rsidRPr="0011745B">
        <w:rPr>
          <w:rFonts w:hint="cs"/>
          <w:rtl/>
        </w:rPr>
        <w:t>עוד</w:t>
      </w:r>
      <w:r w:rsidRPr="0011745B">
        <w:rPr>
          <w:rtl/>
        </w:rPr>
        <w:t xml:space="preserve"> </w:t>
      </w:r>
      <w:r w:rsidRPr="0011745B">
        <w:rPr>
          <w:rFonts w:hint="cs"/>
          <w:rtl/>
        </w:rPr>
        <w:t>בסמוך</w:t>
      </w:r>
      <w:r w:rsidRPr="0011745B">
        <w:rPr>
          <w:rtl/>
        </w:rPr>
        <w:t xml:space="preserve"> </w:t>
      </w:r>
      <w:r w:rsidRPr="0011745B">
        <w:rPr>
          <w:rFonts w:hint="cs"/>
          <w:bCs/>
          <w:rtl/>
        </w:rPr>
        <w:t>אנכי</w:t>
      </w:r>
      <w:r w:rsidRPr="0011745B">
        <w:rPr>
          <w:bCs/>
          <w:rtl/>
        </w:rPr>
        <w:t xml:space="preserve"> </w:t>
      </w:r>
      <w:r w:rsidRPr="0011745B">
        <w:rPr>
          <w:rFonts w:hint="cs"/>
          <w:bCs/>
          <w:rtl/>
        </w:rPr>
        <w:t>מת</w:t>
      </w:r>
      <w:r w:rsidRPr="0011745B">
        <w:rPr>
          <w:bCs/>
          <w:rtl/>
        </w:rPr>
        <w:t xml:space="preserve"> </w:t>
      </w:r>
      <w:r w:rsidRPr="0011745B">
        <w:rPr>
          <w:rFonts w:hint="cs"/>
          <w:rtl/>
        </w:rPr>
        <w:t>וגו</w:t>
      </w:r>
      <w:r w:rsidRPr="0011745B">
        <w:rPr>
          <w:rtl/>
        </w:rPr>
        <w:t xml:space="preserve">' </w:t>
      </w:r>
      <w:r w:rsidRPr="0011745B">
        <w:rPr>
          <w:rFonts w:hint="cs"/>
          <w:rtl/>
        </w:rPr>
        <w:t>אינני</w:t>
      </w:r>
      <w:r w:rsidRPr="0011745B">
        <w:rPr>
          <w:rtl/>
        </w:rPr>
        <w:t xml:space="preserve"> </w:t>
      </w:r>
      <w:r w:rsidRPr="0011745B">
        <w:rPr>
          <w:rFonts w:hint="cs"/>
          <w:bCs/>
          <w:rtl/>
        </w:rPr>
        <w:t>עובר</w:t>
      </w:r>
      <w:r w:rsidRPr="0011745B">
        <w:rPr>
          <w:bCs/>
          <w:rtl/>
        </w:rPr>
        <w:t xml:space="preserve"> </w:t>
      </w:r>
      <w:r w:rsidRPr="0011745B">
        <w:rPr>
          <w:rFonts w:hint="cs"/>
          <w:bCs/>
          <w:rtl/>
        </w:rPr>
        <w:t>את</w:t>
      </w:r>
      <w:r w:rsidRPr="0011745B">
        <w:rPr>
          <w:bCs/>
          <w:rtl/>
        </w:rPr>
        <w:t xml:space="preserve"> </w:t>
      </w:r>
      <w:r w:rsidRPr="0011745B">
        <w:rPr>
          <w:rFonts w:hint="cs"/>
          <w:bCs/>
          <w:rtl/>
        </w:rPr>
        <w:t>הירדן</w:t>
      </w:r>
      <w:r w:rsidRPr="0011745B">
        <w:rPr>
          <w:rtl/>
        </w:rPr>
        <w:t xml:space="preserve"> </w:t>
      </w:r>
      <w:r w:rsidRPr="0011745B">
        <w:rPr>
          <w:rFonts w:hint="cs"/>
          <w:rtl/>
        </w:rPr>
        <w:t>פירוש</w:t>
      </w:r>
      <w:r w:rsidRPr="0011745B">
        <w:rPr>
          <w:rtl/>
        </w:rPr>
        <w:t xml:space="preserve"> </w:t>
      </w:r>
      <w:r w:rsidRPr="0011745B">
        <w:rPr>
          <w:rFonts w:hint="cs"/>
          <w:rtl/>
        </w:rPr>
        <w:t>בין</w:t>
      </w:r>
      <w:r w:rsidRPr="0011745B">
        <w:rPr>
          <w:rtl/>
        </w:rPr>
        <w:t xml:space="preserve"> </w:t>
      </w:r>
      <w:r w:rsidRPr="0011745B">
        <w:rPr>
          <w:rFonts w:hint="cs"/>
          <w:rtl/>
        </w:rPr>
        <w:t>קודם</w:t>
      </w:r>
      <w:r w:rsidRPr="0011745B">
        <w:rPr>
          <w:rtl/>
        </w:rPr>
        <w:t xml:space="preserve"> </w:t>
      </w:r>
      <w:r w:rsidRPr="0011745B">
        <w:rPr>
          <w:rFonts w:hint="cs"/>
          <w:rtl/>
        </w:rPr>
        <w:t>מיתה</w:t>
      </w:r>
      <w:r w:rsidRPr="0011745B">
        <w:rPr>
          <w:rtl/>
        </w:rPr>
        <w:t xml:space="preserve"> </w:t>
      </w:r>
      <w:r w:rsidRPr="0011745B">
        <w:rPr>
          <w:rFonts w:hint="cs"/>
          <w:rtl/>
        </w:rPr>
        <w:t>בין</w:t>
      </w:r>
      <w:r w:rsidRPr="0011745B">
        <w:rPr>
          <w:rtl/>
        </w:rPr>
        <w:t xml:space="preserve"> </w:t>
      </w:r>
      <w:r w:rsidRPr="0011745B">
        <w:rPr>
          <w:rFonts w:hint="cs"/>
          <w:rtl/>
        </w:rPr>
        <w:t>לאחר</w:t>
      </w:r>
      <w:r w:rsidRPr="0011745B">
        <w:rPr>
          <w:rtl/>
        </w:rPr>
        <w:t xml:space="preserve"> </w:t>
      </w:r>
      <w:r w:rsidRPr="0011745B">
        <w:rPr>
          <w:rFonts w:hint="cs"/>
          <w:rtl/>
        </w:rPr>
        <w:t>מיתה</w:t>
      </w:r>
      <w:r>
        <w:rPr>
          <w:rFonts w:hint="cs"/>
          <w:rtl/>
        </w:rPr>
        <w:t xml:space="preserve">, עכ"ל. הרי לפי פירוש האור החיים לומדין מה שעצמות משה אינם עוברים לארת ישראל </w:t>
      </w:r>
      <w:r>
        <w:rPr>
          <w:rFonts w:hint="cs"/>
          <w:bCs/>
          <w:rtl/>
        </w:rPr>
        <w:t>גם</w:t>
      </w:r>
      <w:r>
        <w:rPr>
          <w:rFonts w:hint="cs"/>
          <w:rtl/>
        </w:rPr>
        <w:t xml:space="preserve"> מפסוק (כא), שזה שלא כפירוש רש"י, לכאורה.</w:t>
      </w:r>
    </w:p>
    <w:p w14:paraId="25534C53" w14:textId="77777777" w:rsidR="008D2550" w:rsidRDefault="008D2550" w:rsidP="008D2550">
      <w:pPr>
        <w:pStyle w:val="a3"/>
        <w:rPr>
          <w:rtl/>
        </w:rPr>
      </w:pPr>
      <w:r>
        <w:rPr>
          <w:rFonts w:hint="cs"/>
          <w:rtl/>
        </w:rPr>
        <w:t xml:space="preserve">וצריך להבין למה צריכים </w:t>
      </w:r>
      <w:r>
        <w:rPr>
          <w:rFonts w:hint="cs"/>
          <w:bCs/>
          <w:rtl/>
        </w:rPr>
        <w:t>ב'</w:t>
      </w:r>
      <w:r>
        <w:rPr>
          <w:rFonts w:hint="cs"/>
          <w:rtl/>
        </w:rPr>
        <w:t xml:space="preserve"> פסוקים להשמיענו זה.</w:t>
      </w:r>
    </w:p>
    <w:p w14:paraId="22335F21" w14:textId="4D25828A" w:rsidR="007D73B5" w:rsidRDefault="008D2550" w:rsidP="00304B8E">
      <w:pPr>
        <w:pStyle w:val="a3"/>
        <w:rPr>
          <w:rtl/>
        </w:rPr>
      </w:pPr>
      <w:r>
        <w:rPr>
          <w:rFonts w:hint="cs"/>
          <w:rtl/>
        </w:rPr>
        <w:t xml:space="preserve">ולפירוש רש"י צריך להבין למה נאמר בפסוק (כא): "..לבלתי עברי . . ולבלתי </w:t>
      </w:r>
      <w:r>
        <w:rPr>
          <w:rFonts w:hint="cs"/>
          <w:bCs/>
          <w:rtl/>
        </w:rPr>
        <w:t>בא</w:t>
      </w:r>
      <w:r>
        <w:rPr>
          <w:rFonts w:hint="cs"/>
          <w:rtl/>
        </w:rPr>
        <w:t xml:space="preserve"> וגו'.</w:t>
      </w:r>
    </w:p>
    <w:p w14:paraId="6B1ECA2A" w14:textId="0EB4BD25" w:rsidR="007D73B5" w:rsidRPr="0011745B" w:rsidRDefault="00304B8E" w:rsidP="007D73B5">
      <w:pPr>
        <w:pStyle w:val="M"/>
        <w:rPr>
          <w:rtl/>
        </w:rPr>
      </w:pPr>
      <w:r>
        <w:rPr>
          <w:noProof/>
        </w:rPr>
        <w:drawing>
          <wp:inline distT="0" distB="0" distL="0" distR="0" wp14:anchorId="46C8DE54" wp14:editId="23060499">
            <wp:extent cx="875763" cy="2340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6FE3FDB" w14:textId="267D2C66" w:rsidR="006D006C" w:rsidRDefault="006D006C" w:rsidP="008D2550">
      <w:pPr>
        <w:pStyle w:val="12"/>
        <w:rPr>
          <w:rtl/>
        </w:rPr>
      </w:pPr>
      <w:bookmarkStart w:id="174" w:name="_Toc81540438"/>
      <w:r w:rsidRPr="006D006C">
        <w:rPr>
          <w:rFonts w:hint="cs"/>
          <w:rtl/>
        </w:rPr>
        <w:lastRenderedPageBreak/>
        <w:t>שונות</w:t>
      </w:r>
      <w:bookmarkEnd w:id="174"/>
    </w:p>
    <w:p w14:paraId="0D373694" w14:textId="77777777" w:rsidR="00657259" w:rsidRDefault="00657259" w:rsidP="00657259">
      <w:pPr>
        <w:pStyle w:val="a0"/>
        <w:bidi w:val="0"/>
        <w:rPr>
          <w:rtl/>
        </w:rPr>
      </w:pPr>
      <w:bookmarkStart w:id="175" w:name="_Toc81540439"/>
      <w:bookmarkEnd w:id="72"/>
      <w:bookmarkEnd w:id="89"/>
      <w:bookmarkEnd w:id="90"/>
      <w:bookmarkEnd w:id="91"/>
      <w:bookmarkEnd w:id="92"/>
      <w:r w:rsidRPr="009D4BAE">
        <w:rPr>
          <w:rtl/>
        </w:rPr>
        <w:t>בתורת ה</w:t>
      </w:r>
      <w:r w:rsidRPr="009D4BAE">
        <w:rPr>
          <w:rFonts w:hint="cs"/>
          <w:rtl/>
        </w:rPr>
        <w:t>'</w:t>
      </w:r>
      <w:r w:rsidRPr="009D4BAE">
        <w:rPr>
          <w:rtl/>
        </w:rPr>
        <w:t xml:space="preserve"> חפצו ובתורתו יהגה יומם ולילה</w:t>
      </w:r>
      <w:r>
        <w:rPr>
          <w:rStyle w:val="FootnoteReference"/>
          <w:rFonts w:eastAsia="David"/>
          <w:bCs w:val="0"/>
          <w:sz w:val="32"/>
          <w:szCs w:val="32"/>
          <w:rtl/>
        </w:rPr>
        <w:footnoteReference w:id="100"/>
      </w:r>
      <w:bookmarkEnd w:id="175"/>
    </w:p>
    <w:p w14:paraId="1A35853D" w14:textId="77777777" w:rsidR="00657259" w:rsidRPr="00DE721B" w:rsidRDefault="00657259" w:rsidP="0046124A">
      <w:pPr>
        <w:pStyle w:val="a"/>
        <w:rPr>
          <w:rtl/>
        </w:rPr>
      </w:pPr>
      <w:bookmarkStart w:id="176" w:name="_Toc81540440"/>
      <w:r w:rsidRPr="00DE721B">
        <w:rPr>
          <w:rtl/>
        </w:rPr>
        <w:t>הרב ישכר דוד קלויזנר</w:t>
      </w:r>
      <w:bookmarkEnd w:id="176"/>
    </w:p>
    <w:p w14:paraId="040951D0" w14:textId="12E7C023" w:rsidR="00657259" w:rsidRDefault="00657259" w:rsidP="00657259">
      <w:pPr>
        <w:pStyle w:val="a1"/>
        <w:rPr>
          <w:rtl/>
        </w:rPr>
      </w:pPr>
      <w:r w:rsidRPr="00DE721B">
        <w:rPr>
          <w:rtl/>
        </w:rPr>
        <w:t>נחלת הר חב"ד, אה"ק</w:t>
      </w:r>
    </w:p>
    <w:p w14:paraId="74943808" w14:textId="72DB0691" w:rsidR="00657259" w:rsidRPr="00657259" w:rsidRDefault="00657259" w:rsidP="00657259">
      <w:pPr>
        <w:bidi/>
        <w:spacing w:line="276" w:lineRule="auto"/>
        <w:ind w:firstLine="720"/>
        <w:jc w:val="both"/>
        <w:rPr>
          <w:rFonts w:ascii="FbFrankReal" w:hAnsi="FbFrankReal" w:cs="FbFrankReal"/>
          <w:b/>
          <w:bCs/>
          <w:sz w:val="24"/>
          <w:szCs w:val="24"/>
          <w:rtl/>
        </w:rPr>
      </w:pPr>
      <w:r w:rsidRPr="00657259">
        <w:rPr>
          <w:rFonts w:ascii="FbFrankReal" w:hAnsi="FbFrankReal" w:cs="FbFrankReal"/>
          <w:sz w:val="24"/>
          <w:szCs w:val="24"/>
          <w:rtl/>
        </w:rPr>
        <w:t xml:space="preserve">נראה לבאר בפסוק שבריש </w:t>
      </w:r>
      <w:r w:rsidRPr="00657259">
        <w:rPr>
          <w:rFonts w:ascii="FbFrankReal" w:hAnsi="FbFrankReal" w:cs="FbFrankReal"/>
          <w:b/>
          <w:bCs/>
          <w:sz w:val="24"/>
          <w:szCs w:val="24"/>
          <w:rtl/>
        </w:rPr>
        <w:t>תהלים</w:t>
      </w:r>
      <w:r w:rsidRPr="00657259">
        <w:rPr>
          <w:rFonts w:ascii="FbFrankReal" w:hAnsi="FbFrankReal" w:cs="FbFrankReal"/>
          <w:sz w:val="24"/>
          <w:szCs w:val="24"/>
          <w:rtl/>
        </w:rPr>
        <w:t xml:space="preserve"> (א, ב): </w:t>
      </w:r>
      <w:bookmarkStart w:id="177" w:name="_Hlk74057493"/>
      <w:r w:rsidRPr="00657259">
        <w:rPr>
          <w:rFonts w:ascii="FbFrankReal" w:hAnsi="FbFrankReal" w:cs="FbFrankReal"/>
          <w:b/>
          <w:bCs/>
          <w:sz w:val="24"/>
          <w:szCs w:val="24"/>
          <w:rtl/>
        </w:rPr>
        <w:t xml:space="preserve">"כי אם </w:t>
      </w:r>
      <w:bookmarkStart w:id="178" w:name="_Hlk81410437"/>
      <w:r w:rsidRPr="00657259">
        <w:rPr>
          <w:rFonts w:ascii="FbFrankReal" w:hAnsi="FbFrankReal" w:cs="FbFrankReal"/>
          <w:b/>
          <w:bCs/>
          <w:sz w:val="24"/>
          <w:szCs w:val="24"/>
          <w:rtl/>
        </w:rPr>
        <w:t>בתורת ה' חפצו</w:t>
      </w:r>
      <w:bookmarkEnd w:id="177"/>
      <w:r w:rsidRPr="00657259">
        <w:rPr>
          <w:rFonts w:ascii="FbFrankReal" w:hAnsi="FbFrankReal" w:cs="FbFrankReal"/>
          <w:b/>
          <w:bCs/>
          <w:sz w:val="24"/>
          <w:szCs w:val="24"/>
          <w:rtl/>
        </w:rPr>
        <w:t xml:space="preserve">, </w:t>
      </w:r>
      <w:bookmarkStart w:id="179" w:name="_Hlk74057848"/>
      <w:r w:rsidRPr="00657259">
        <w:rPr>
          <w:rFonts w:ascii="FbFrankReal" w:hAnsi="FbFrankReal" w:cs="FbFrankReal"/>
          <w:b/>
          <w:bCs/>
          <w:sz w:val="24"/>
          <w:szCs w:val="24"/>
          <w:rtl/>
        </w:rPr>
        <w:t xml:space="preserve">ובתורתו יהגה יומם ולילה" </w:t>
      </w:r>
      <w:bookmarkEnd w:id="178"/>
      <w:bookmarkEnd w:id="179"/>
      <w:r w:rsidRPr="00657259">
        <w:rPr>
          <w:rFonts w:ascii="FbFrankReal" w:hAnsi="FbFrankReal" w:cs="FbFrankReal"/>
          <w:b/>
          <w:bCs/>
          <w:sz w:val="24"/>
          <w:szCs w:val="24"/>
          <w:rtl/>
        </w:rPr>
        <w:t xml:space="preserve">- </w:t>
      </w:r>
      <w:r w:rsidRPr="00657259">
        <w:rPr>
          <w:rFonts w:ascii="FbFrankReal" w:hAnsi="FbFrankReal" w:cs="FbFrankReal"/>
          <w:sz w:val="24"/>
          <w:szCs w:val="24"/>
          <w:rtl/>
        </w:rPr>
        <w:t>די"ל</w:t>
      </w:r>
      <w:r w:rsidRPr="00657259">
        <w:rPr>
          <w:rFonts w:ascii="FbFrankReal" w:hAnsi="FbFrankReal" w:cs="FbFrankReal"/>
          <w:b/>
          <w:bCs/>
          <w:sz w:val="24"/>
          <w:szCs w:val="24"/>
          <w:rtl/>
        </w:rPr>
        <w:t xml:space="preserve"> ש'בתורת ה''</w:t>
      </w:r>
      <w:r w:rsidRPr="00657259">
        <w:rPr>
          <w:rFonts w:ascii="FbFrankReal" w:hAnsi="FbFrankReal" w:cs="FbFrankReal"/>
          <w:sz w:val="24"/>
          <w:szCs w:val="24"/>
          <w:rtl/>
        </w:rPr>
        <w:t xml:space="preserve"> הכוונה </w:t>
      </w:r>
      <w:r w:rsidRPr="00657259">
        <w:rPr>
          <w:rFonts w:ascii="FbFrankReal" w:hAnsi="FbFrankReal" w:cs="FbFrankReal"/>
          <w:b/>
          <w:bCs/>
          <w:sz w:val="24"/>
          <w:szCs w:val="24"/>
          <w:rtl/>
        </w:rPr>
        <w:t>לתורה שבכתב</w:t>
      </w:r>
      <w:r w:rsidRPr="00657259">
        <w:rPr>
          <w:rFonts w:ascii="FbFrankReal" w:hAnsi="FbFrankReal" w:cs="FbFrankReal"/>
          <w:sz w:val="24"/>
          <w:szCs w:val="24"/>
          <w:rtl/>
        </w:rPr>
        <w:t xml:space="preserve">, </w:t>
      </w:r>
      <w:r w:rsidRPr="00657259">
        <w:rPr>
          <w:rFonts w:ascii="FbFrankReal" w:hAnsi="FbFrankReal" w:cs="FbFrankReal"/>
          <w:b/>
          <w:bCs/>
          <w:sz w:val="24"/>
          <w:szCs w:val="24"/>
          <w:rtl/>
        </w:rPr>
        <w:t xml:space="preserve">ובתורתו' </w:t>
      </w:r>
      <w:r w:rsidRPr="00657259">
        <w:rPr>
          <w:rFonts w:ascii="FbFrankReal" w:hAnsi="FbFrankReal" w:cs="FbFrankReal"/>
          <w:sz w:val="24"/>
          <w:szCs w:val="24"/>
          <w:rtl/>
        </w:rPr>
        <w:t xml:space="preserve">הכוונה </w:t>
      </w:r>
      <w:r w:rsidRPr="00657259">
        <w:rPr>
          <w:rFonts w:ascii="FbFrankReal" w:hAnsi="FbFrankReal" w:cs="FbFrankReal"/>
          <w:b/>
          <w:bCs/>
          <w:sz w:val="24"/>
          <w:szCs w:val="24"/>
          <w:rtl/>
        </w:rPr>
        <w:t>לתורה שבעל פה.</w:t>
      </w:r>
    </w:p>
    <w:p w14:paraId="75366FD5" w14:textId="77777777" w:rsidR="00657259" w:rsidRPr="00657259" w:rsidRDefault="00657259" w:rsidP="00657259">
      <w:pPr>
        <w:bidi/>
        <w:spacing w:line="276" w:lineRule="auto"/>
        <w:jc w:val="both"/>
        <w:rPr>
          <w:rFonts w:ascii="FbFrankReal" w:hAnsi="FbFrankReal" w:cs="FbFrankReal"/>
          <w:sz w:val="24"/>
          <w:szCs w:val="24"/>
          <w:rtl/>
        </w:rPr>
      </w:pPr>
      <w:r w:rsidRPr="00657259">
        <w:rPr>
          <w:rFonts w:ascii="FbFrankReal" w:hAnsi="FbFrankReal" w:cs="FbFrankReal"/>
          <w:b/>
          <w:bCs/>
          <w:sz w:val="24"/>
          <w:szCs w:val="24"/>
          <w:rtl/>
        </w:rPr>
        <w:tab/>
      </w:r>
      <w:r w:rsidRPr="00657259">
        <w:rPr>
          <w:rFonts w:ascii="FbFrankReal" w:hAnsi="FbFrankReal" w:cs="FbFrankReal"/>
          <w:sz w:val="24"/>
          <w:szCs w:val="24"/>
          <w:rtl/>
        </w:rPr>
        <w:t xml:space="preserve">בהקדים הא דאיתא </w:t>
      </w:r>
      <w:r w:rsidRPr="00657259">
        <w:rPr>
          <w:rFonts w:ascii="FbFrankReal" w:hAnsi="FbFrankReal" w:cs="FbFrankReal"/>
          <w:b/>
          <w:bCs/>
          <w:sz w:val="24"/>
          <w:szCs w:val="24"/>
          <w:rtl/>
        </w:rPr>
        <w:t>ב'תניא'</w:t>
      </w:r>
      <w:r w:rsidRPr="00657259">
        <w:rPr>
          <w:rFonts w:ascii="FbFrankReal" w:hAnsi="FbFrankReal" w:cs="FbFrankReal"/>
          <w:sz w:val="24"/>
          <w:szCs w:val="24"/>
          <w:rtl/>
        </w:rPr>
        <w:t xml:space="preserve"> (פרק ה): "ולתוספת ביאור באר היטב לשון תפיסא שאמר אליהו לית מחשבה תפיסא בך כו'. הנה כל שכל כשמשכיל ומשיג בשכלו איזה מושכל, הרי השכל תופס את המושכל ומקיפו בשכלו, והמושכל נתפס ומוקף ומלובש בתוך השכל שהשיגו והשכילו, וגם השכל מלובש במושכל בשעה שמשיגו ותופסו בשכלו, ד"מ כשאדם מבין ומשיג איזו </w:t>
      </w:r>
      <w:r w:rsidRPr="00657259">
        <w:rPr>
          <w:rFonts w:ascii="FbFrankReal" w:hAnsi="FbFrankReal" w:cs="FbFrankReal"/>
          <w:b/>
          <w:bCs/>
          <w:sz w:val="24"/>
          <w:szCs w:val="24"/>
          <w:rtl/>
        </w:rPr>
        <w:t>הלכה במשנה או בגמרא</w:t>
      </w:r>
      <w:r w:rsidRPr="00657259">
        <w:rPr>
          <w:rFonts w:ascii="FbFrankReal" w:hAnsi="FbFrankReal" w:cs="FbFrankReal"/>
          <w:sz w:val="24"/>
          <w:szCs w:val="24"/>
          <w:rtl/>
        </w:rPr>
        <w:t xml:space="preserve"> לאשורה על בוריה, הרי שכלו תופס ומקיף אותה, וגם שכלו מלובש בה באותה שעה. והנה הלכה זו היא חכמתו ורצונו של הקב"ה שעלה ברצונו, שכשיטעון ראובן כך וכך דרך משל ושמעון כך וכך יהיה הפסק ביניהם כך וכך, ואף אם לא היה ולא יהיה הדבר הזה לעולם לבא למשפט על טענות ותביעות אלו, מכל מקום מאחר שכך עלה ברצונו וחכמתו של הקב"ה, שאם יטעון זה כך וזה כך, יהיה הפסק כך, </w:t>
      </w:r>
      <w:r w:rsidRPr="00657259">
        <w:rPr>
          <w:rFonts w:ascii="FbFrankReal" w:hAnsi="FbFrankReal" w:cs="FbFrankReal"/>
          <w:b/>
          <w:bCs/>
          <w:sz w:val="24"/>
          <w:szCs w:val="24"/>
          <w:rtl/>
        </w:rPr>
        <w:t xml:space="preserve">הרי </w:t>
      </w:r>
      <w:bookmarkStart w:id="180" w:name="_Hlk74057240"/>
      <w:bookmarkStart w:id="181" w:name="_Hlk74055360"/>
      <w:r w:rsidRPr="00657259">
        <w:rPr>
          <w:rFonts w:ascii="FbFrankReal" w:hAnsi="FbFrankReal" w:cs="FbFrankReal"/>
          <w:b/>
          <w:bCs/>
          <w:sz w:val="24"/>
          <w:szCs w:val="24"/>
          <w:rtl/>
        </w:rPr>
        <w:t xml:space="preserve">כשאדם יודע ומשיג בשכלו פסק זה כהלכה הערוכה במשנה או גמרא או פוסקים הרי זה משיג ותופס ומקיף בשכלו רצונו וחכמתו של הקב"ה דלית מחשבה תפיסא ביה ולא ברצונו וחכמתו כי אם </w:t>
      </w:r>
      <w:bookmarkStart w:id="182" w:name="_Hlk74056777"/>
      <w:r w:rsidRPr="00657259">
        <w:rPr>
          <w:rFonts w:ascii="FbFrankReal" w:hAnsi="FbFrankReal" w:cs="FbFrankReal"/>
          <w:b/>
          <w:bCs/>
          <w:sz w:val="24"/>
          <w:szCs w:val="24"/>
          <w:rtl/>
        </w:rPr>
        <w:t xml:space="preserve">בהתלבשותם בהלכות הערוכות לפנינו, וגם שכלו מלובש בהם, והוא יחוד נפלא שאין יחוד כמוהו ולא כערכו נמצא כלל בגשמיות להיות לאחדים ומיוחדים ממש מכל צד ופנה. </w:t>
      </w:r>
      <w:bookmarkEnd w:id="180"/>
      <w:r w:rsidRPr="00657259">
        <w:rPr>
          <w:rFonts w:ascii="FbFrankReal" w:hAnsi="FbFrankReal" w:cs="FbFrankReal"/>
          <w:b/>
          <w:bCs/>
          <w:sz w:val="24"/>
          <w:szCs w:val="24"/>
          <w:rtl/>
        </w:rPr>
        <w:t xml:space="preserve">וזאת מעלה יתרה גדולה ונפלאה לאין קץ אשר במצות ידיעת התורה והשגתה על כל המצות מעשיות </w:t>
      </w:r>
      <w:bookmarkEnd w:id="181"/>
      <w:r w:rsidRPr="00657259">
        <w:rPr>
          <w:rFonts w:ascii="FbFrankReal" w:hAnsi="FbFrankReal" w:cs="FbFrankReal"/>
          <w:sz w:val="24"/>
          <w:szCs w:val="24"/>
          <w:rtl/>
        </w:rPr>
        <w:t xml:space="preserve">ואפי' על מצות התלויות בדבור ואפי' על מצות תלמוד תורה שבדבור כי ע"י כל המצות שבדבור ומעשה הקב"ה מלביש את הנפש ומקיפה אור ה' מראשה ועד רגלה. </w:t>
      </w:r>
      <w:r w:rsidRPr="00657259">
        <w:rPr>
          <w:rFonts w:ascii="FbFrankReal" w:hAnsi="FbFrankReal" w:cs="FbFrankReal"/>
          <w:b/>
          <w:bCs/>
          <w:sz w:val="24"/>
          <w:szCs w:val="24"/>
          <w:rtl/>
        </w:rPr>
        <w:t>ובידיעת התורה מלבד שהשכל מלובש בחכמת ה' הנה גם חכמת ה' בקרבו מה שהשכל משיג ותופס ומקיף בשכלו מה שאפשר לו לתפוס ולהשיג מידיעת התורה איש כפי שכלו וכח ידיעתו והשגתו בפרד"ס.</w:t>
      </w:r>
      <w:r w:rsidRPr="00657259">
        <w:rPr>
          <w:rFonts w:ascii="FbFrankReal" w:hAnsi="FbFrankReal" w:cs="FbFrankReal"/>
          <w:sz w:val="24"/>
          <w:szCs w:val="24"/>
          <w:rtl/>
        </w:rPr>
        <w:t xml:space="preserve"> </w:t>
      </w:r>
      <w:r w:rsidRPr="00657259">
        <w:rPr>
          <w:rFonts w:ascii="FbFrankReal" w:hAnsi="FbFrankReal" w:cs="FbFrankReal"/>
          <w:b/>
          <w:bCs/>
          <w:sz w:val="24"/>
          <w:szCs w:val="24"/>
          <w:rtl/>
        </w:rPr>
        <w:t xml:space="preserve">ולפי שבידיעת </w:t>
      </w:r>
      <w:r w:rsidRPr="00657259">
        <w:rPr>
          <w:rFonts w:ascii="FbFrankReal" w:hAnsi="FbFrankReal" w:cs="FbFrankReal"/>
          <w:b/>
          <w:bCs/>
          <w:sz w:val="24"/>
          <w:szCs w:val="24"/>
          <w:rtl/>
        </w:rPr>
        <w:lastRenderedPageBreak/>
        <w:t xml:space="preserve">התורה התורה מלובשת בנפש האדם ושכלו ומוקפת בתוכם לכן נקראת בשם לחם ומזון הנפש, כי כמו שהלחם הגשמי זן את הגוף כשמכניסו בתוכו וקרבו ממש ונהפך שם להיות דם ובשר כבשרו ואזי יחיה ויתקיים, כך בידיעת התורה והשגתה בנפש האדם שלומדה היטב בעיון שכלו עד שנתפסת בשכלו ומתאחדת עמו והיו לאחדים נעשה מזון לנפש וחיים בקרבה מחיי החיים אין סוף ברוך הוא המלובש בחכמתו ותורתו שבקרבה, </w:t>
      </w:r>
      <w:bookmarkEnd w:id="182"/>
      <w:r w:rsidRPr="00657259">
        <w:rPr>
          <w:rFonts w:ascii="FbFrankReal" w:hAnsi="FbFrankReal" w:cs="FbFrankReal"/>
          <w:b/>
          <w:bCs/>
          <w:sz w:val="24"/>
          <w:szCs w:val="24"/>
          <w:rtl/>
        </w:rPr>
        <w:t>וז"ש ותורתך בתוך מעי</w:t>
      </w:r>
      <w:r w:rsidRPr="00657259">
        <w:rPr>
          <w:rFonts w:ascii="FbFrankReal" w:hAnsi="FbFrankReal" w:cs="FbFrankReal"/>
          <w:sz w:val="24"/>
          <w:szCs w:val="24"/>
          <w:rtl/>
        </w:rPr>
        <w:t xml:space="preserve"> וכמ"ש בע"ח שער מ"ד פ"ג </w:t>
      </w:r>
      <w:r w:rsidRPr="00657259">
        <w:rPr>
          <w:rFonts w:ascii="FbFrankReal" w:hAnsi="FbFrankReal" w:cs="FbFrankReal"/>
          <w:b/>
          <w:bCs/>
          <w:sz w:val="24"/>
          <w:szCs w:val="24"/>
          <w:rtl/>
        </w:rPr>
        <w:t xml:space="preserve">שלבושי הנשמות בגן עדן הן המצות והתורה היא המזון לנשמות שעסקו בעולם הזה בתורה לשמה </w:t>
      </w:r>
      <w:r w:rsidRPr="00657259">
        <w:rPr>
          <w:rFonts w:ascii="FbFrankReal" w:hAnsi="FbFrankReal" w:cs="FbFrankReal"/>
          <w:sz w:val="24"/>
          <w:szCs w:val="24"/>
          <w:rtl/>
        </w:rPr>
        <w:t xml:space="preserve">וכמ"ש בזהר ויקהל דף ר"י ולשמה היינו כדי לקשר נפשו לה' ע"י השגת התורה </w:t>
      </w:r>
      <w:r w:rsidRPr="00657259">
        <w:rPr>
          <w:rFonts w:ascii="FbFrankReal" w:hAnsi="FbFrankReal" w:cs="FbFrankReal"/>
          <w:b/>
          <w:bCs/>
          <w:sz w:val="24"/>
          <w:szCs w:val="24"/>
          <w:rtl/>
        </w:rPr>
        <w:t>איש כפי שכלו</w:t>
      </w:r>
      <w:r w:rsidRPr="00657259">
        <w:rPr>
          <w:rFonts w:ascii="FbFrankReal" w:hAnsi="FbFrankReal" w:cs="FbFrankReal"/>
          <w:sz w:val="24"/>
          <w:szCs w:val="24"/>
          <w:rtl/>
        </w:rPr>
        <w:t xml:space="preserve"> כמ"ש בפרע"ח [והמזון היא בחי' אור פנימי והלבושים בחי' מקיפים </w:t>
      </w:r>
      <w:r w:rsidRPr="00657259">
        <w:rPr>
          <w:rFonts w:ascii="FbFrankReal" w:hAnsi="FbFrankReal" w:cs="FbFrankReal"/>
          <w:b/>
          <w:bCs/>
          <w:sz w:val="24"/>
          <w:szCs w:val="24"/>
          <w:rtl/>
        </w:rPr>
        <w:t xml:space="preserve">ולכן אמרו רז"ל שתלמוד תורה שקול כנגד כל המצות לפי שהמצות הן לבושים לבד והתורה היא מזון </w:t>
      </w:r>
      <w:r w:rsidRPr="00657259">
        <w:rPr>
          <w:rFonts w:ascii="FbFrankReal" w:hAnsi="FbFrankReal" w:cs="FbFrankReal"/>
          <w:sz w:val="24"/>
          <w:szCs w:val="24"/>
          <w:rtl/>
        </w:rPr>
        <w:t>וגם לבוש לנפש המשכלת שמתלבש בה בעיונה ולימודה וכל שכן כשמוציא בפיו בדבור שהבל הדבור נעשה בחי' אור מקיף כמ"ש בפרע"ח]".</w:t>
      </w:r>
    </w:p>
    <w:p w14:paraId="446D31FE" w14:textId="77777777" w:rsidR="00657259" w:rsidRPr="00657259" w:rsidRDefault="00657259" w:rsidP="00657259">
      <w:pPr>
        <w:bidi/>
        <w:spacing w:line="276" w:lineRule="auto"/>
        <w:jc w:val="both"/>
        <w:rPr>
          <w:rFonts w:ascii="FbFrankReal" w:hAnsi="FbFrankReal" w:cs="FbFrankReal"/>
          <w:sz w:val="24"/>
          <w:szCs w:val="24"/>
          <w:rtl/>
        </w:rPr>
      </w:pPr>
      <w:r w:rsidRPr="00657259">
        <w:rPr>
          <w:rFonts w:ascii="FbFrankReal" w:hAnsi="FbFrankReal" w:cs="FbFrankReal"/>
          <w:sz w:val="24"/>
          <w:szCs w:val="24"/>
          <w:rtl/>
        </w:rPr>
        <w:tab/>
        <w:t>והנה</w:t>
      </w:r>
      <w:r w:rsidRPr="00657259">
        <w:rPr>
          <w:rFonts w:ascii="FbFrankReal" w:hAnsi="FbFrankReal" w:cs="FbFrankReal"/>
          <w:b/>
          <w:bCs/>
          <w:sz w:val="24"/>
          <w:szCs w:val="24"/>
          <w:rtl/>
        </w:rPr>
        <w:t xml:space="preserve"> "כשאדם יודע ומשיג בשכלו פסק זה כהלכה הערוכה במשנה או גמרא או פוסקים הרי זה משיג ותופס ומקיף בשכלו רצונו וחכמתו של הקב"ה . . בהתלבשותם בהלכות הערוכות לפנינו וגם שכלו מלובש בהם והוא יחוד נפלא שאין יחוד כמוהו ולא כערכו נמצא כלל בגשמיות להיות לאחדים ומיוחדים ממש מכל צד ופנה. וזאת מעלה יתרה גדולה ונפלאה לאין קץ אשר במצות ידיעת התורה והשגתה על כל המצות מעשיות</w:t>
      </w:r>
      <w:r w:rsidRPr="00657259">
        <w:rPr>
          <w:rFonts w:ascii="FbFrankReal" w:hAnsi="FbFrankReal" w:cs="FbFrankReal"/>
          <w:sz w:val="24"/>
          <w:szCs w:val="24"/>
          <w:rtl/>
        </w:rPr>
        <w:t xml:space="preserve">" – זאת אינו אלא </w:t>
      </w:r>
      <w:r w:rsidRPr="00657259">
        <w:rPr>
          <w:rFonts w:ascii="FbFrankReal" w:hAnsi="FbFrankReal" w:cs="FbFrankReal"/>
          <w:b/>
          <w:bCs/>
          <w:sz w:val="24"/>
          <w:szCs w:val="24"/>
          <w:rtl/>
        </w:rPr>
        <w:t>בתושבע"פ</w:t>
      </w:r>
      <w:r w:rsidRPr="00657259">
        <w:rPr>
          <w:rFonts w:ascii="FbFrankReal" w:hAnsi="FbFrankReal" w:cs="FbFrankReal"/>
          <w:sz w:val="24"/>
          <w:szCs w:val="24"/>
          <w:rtl/>
        </w:rPr>
        <w:t xml:space="preserve"> בלבד, וכדאיתא </w:t>
      </w:r>
      <w:r w:rsidRPr="00657259">
        <w:rPr>
          <w:rFonts w:ascii="FbFrankReal" w:hAnsi="FbFrankReal" w:cs="FbFrankReal"/>
          <w:b/>
          <w:bCs/>
          <w:sz w:val="24"/>
          <w:szCs w:val="24"/>
          <w:rtl/>
        </w:rPr>
        <w:t xml:space="preserve">ב'תניא' - אגרת הקודש </w:t>
      </w:r>
      <w:r w:rsidRPr="00657259">
        <w:rPr>
          <w:rFonts w:ascii="FbFrankReal" w:hAnsi="FbFrankReal" w:cs="FbFrankReal"/>
          <w:sz w:val="24"/>
          <w:szCs w:val="24"/>
          <w:rtl/>
        </w:rPr>
        <w:t>(סי' כט):</w:t>
      </w:r>
      <w:r w:rsidRPr="00657259">
        <w:rPr>
          <w:rFonts w:ascii="FbFrankReal" w:hAnsi="FbFrankReal" w:cs="FbFrankReal"/>
          <w:b/>
          <w:bCs/>
          <w:sz w:val="24"/>
          <w:szCs w:val="24"/>
          <w:rtl/>
        </w:rPr>
        <w:t xml:space="preserve"> </w:t>
      </w:r>
      <w:r w:rsidRPr="00657259">
        <w:rPr>
          <w:rFonts w:ascii="FbFrankReal" w:hAnsi="FbFrankReal" w:cs="FbFrankReal"/>
          <w:sz w:val="24"/>
          <w:szCs w:val="24"/>
          <w:rtl/>
        </w:rPr>
        <w:t xml:space="preserve">"...והנה מודעת זאת כי הנה רצון העליון ב"ה המלובש בתרי"ג מצות </w:t>
      </w:r>
      <w:bookmarkStart w:id="183" w:name="_Hlk74068328"/>
      <w:bookmarkStart w:id="184" w:name="_Hlk74057404"/>
      <w:r w:rsidRPr="00657259">
        <w:rPr>
          <w:rFonts w:ascii="FbFrankReal" w:hAnsi="FbFrankReal" w:cs="FbFrankReal"/>
          <w:b/>
          <w:bCs/>
          <w:sz w:val="24"/>
          <w:szCs w:val="24"/>
          <w:rtl/>
        </w:rPr>
        <w:t xml:space="preserve">שבתורה שבכתב הוא מופלא ומכוסה טמיר ונעלם ואינו מתגלה אלא בתורה שבע"פ, </w:t>
      </w:r>
      <w:bookmarkEnd w:id="183"/>
      <w:r w:rsidRPr="00657259">
        <w:rPr>
          <w:rFonts w:ascii="FbFrankReal" w:hAnsi="FbFrankReal" w:cs="FbFrankReal"/>
          <w:b/>
          <w:bCs/>
          <w:sz w:val="24"/>
          <w:szCs w:val="24"/>
          <w:rtl/>
        </w:rPr>
        <w:t xml:space="preserve">כמו מצות תפילין עד"מ שנאמר בתושב"כ וקשרתם לאות על ידך והיו לטוטפות בין עיניך, והוא מאמר סתום ונעלם שלא פירש הכתוב איך ומה לקשור, ומהו טוטפות, והיכן הוא בין עיניך ועל ידך, עד שפירשה תורה שבע"פ שצריך לקשור בית אחד על היד וד' בתים על הראש, ובתוכם ד' פרשיות, והבתים יהיו מעור מעובד, ומרובעים דוקא, ומקושרים ברצועות של עור שחורות דוקא, וכל שאר פרטי הלכות עשיית התפילין שנאמרו בע"פ, ועל ידך היא הזרוע דוקא ולא כף היד, ובין עיניך זה קדקוד ולא המצח. וכן כל מצות שבתורה בין מ"ע בין מצות ל"ת אינן גלויות וידועות ומפורשות </w:t>
      </w:r>
      <w:bookmarkEnd w:id="184"/>
      <w:r w:rsidRPr="00657259">
        <w:rPr>
          <w:rFonts w:ascii="FbFrankReal" w:hAnsi="FbFrankReal" w:cs="FbFrankReal"/>
          <w:b/>
          <w:bCs/>
          <w:sz w:val="24"/>
          <w:szCs w:val="24"/>
          <w:rtl/>
        </w:rPr>
        <w:t xml:space="preserve">אלא </w:t>
      </w:r>
      <w:bookmarkStart w:id="185" w:name="_Hlk74057697"/>
      <w:r w:rsidRPr="00657259">
        <w:rPr>
          <w:rFonts w:ascii="FbFrankReal" w:hAnsi="FbFrankReal" w:cs="FbFrankReal"/>
          <w:b/>
          <w:bCs/>
          <w:sz w:val="24"/>
          <w:szCs w:val="24"/>
          <w:rtl/>
        </w:rPr>
        <w:t xml:space="preserve">ע"י תורה שבע"פ, </w:t>
      </w:r>
      <w:r w:rsidRPr="00657259">
        <w:rPr>
          <w:rFonts w:ascii="FbFrankReal" w:hAnsi="FbFrankReal" w:cs="FbFrankReal"/>
          <w:sz w:val="24"/>
          <w:szCs w:val="24"/>
          <w:rtl/>
        </w:rPr>
        <w:t xml:space="preserve">כמצות ל"ת שנאמר בשבת לא תעשה מלאכה ולא פי' מה היא מלאכה, ובתורה שבע"פ נתפרש שהן ל"ט מלאכות הידועות, ולא טלטול אבנים וקורות כבידות, וכיוצא בהן הן כל המצות בין מ"ע בין מל"ת </w:t>
      </w:r>
      <w:r w:rsidRPr="00657259">
        <w:rPr>
          <w:rFonts w:ascii="FbFrankReal" w:hAnsi="FbFrankReal" w:cs="FbFrankReal"/>
          <w:b/>
          <w:bCs/>
          <w:sz w:val="24"/>
          <w:szCs w:val="24"/>
          <w:rtl/>
        </w:rPr>
        <w:t>הן סתומות</w:t>
      </w:r>
      <w:r w:rsidRPr="00657259">
        <w:rPr>
          <w:rFonts w:ascii="FbFrankReal" w:hAnsi="FbFrankReal" w:cs="FbFrankReal"/>
          <w:sz w:val="24"/>
          <w:szCs w:val="24"/>
          <w:rtl/>
        </w:rPr>
        <w:t xml:space="preserve"> </w:t>
      </w:r>
      <w:r w:rsidRPr="00657259">
        <w:rPr>
          <w:rFonts w:ascii="FbFrankReal" w:hAnsi="FbFrankReal" w:cs="FbFrankReal"/>
          <w:b/>
          <w:bCs/>
          <w:sz w:val="24"/>
          <w:szCs w:val="24"/>
          <w:rtl/>
        </w:rPr>
        <w:t xml:space="preserve">ולא מפורשות וגלויות וידועות אלא ע"י תורה שבע"פ, ומשום הכי כתיב על תושבע"פ אל תטוש תורת אמך </w:t>
      </w:r>
      <w:bookmarkEnd w:id="185"/>
      <w:r w:rsidRPr="00657259">
        <w:rPr>
          <w:rFonts w:ascii="FbFrankReal" w:hAnsi="FbFrankReal" w:cs="FbFrankReal"/>
          <w:sz w:val="24"/>
          <w:szCs w:val="24"/>
          <w:rtl/>
        </w:rPr>
        <w:t xml:space="preserve">כמ"ש בזהר, משום שעד"מ כמו שכל אברי הולד כלולים בטיפת האב בהעלם גדול והאם מוציאתו לידי גילוי בלידתה ולד שלם ברמ"ח אברים ושס"ה גידים, </w:t>
      </w:r>
      <w:r w:rsidRPr="00657259">
        <w:rPr>
          <w:rFonts w:ascii="FbFrankReal" w:hAnsi="FbFrankReal" w:cs="FbFrankReal"/>
          <w:b/>
          <w:bCs/>
          <w:sz w:val="24"/>
          <w:szCs w:val="24"/>
          <w:rtl/>
        </w:rPr>
        <w:t xml:space="preserve">ככה ממש כל רמ"ח מ"ע ושס"ה מל"ת באים מההעלם אל הגילוי בתושבע"פ, </w:t>
      </w:r>
      <w:r w:rsidRPr="00657259">
        <w:rPr>
          <w:rFonts w:ascii="FbFrankReal" w:hAnsi="FbFrankReal" w:cs="FbFrankReal"/>
          <w:sz w:val="24"/>
          <w:szCs w:val="24"/>
          <w:rtl/>
        </w:rPr>
        <w:t xml:space="preserve">ורישי' דקרא שמע בני מוסר אביך </w:t>
      </w:r>
      <w:r w:rsidRPr="00657259">
        <w:rPr>
          <w:rFonts w:ascii="FbFrankReal" w:hAnsi="FbFrankReal" w:cs="FbFrankReal"/>
          <w:b/>
          <w:bCs/>
          <w:sz w:val="24"/>
          <w:szCs w:val="24"/>
          <w:rtl/>
        </w:rPr>
        <w:t>קאי אתורה שבכתב</w:t>
      </w:r>
      <w:r w:rsidRPr="00657259">
        <w:rPr>
          <w:rFonts w:ascii="FbFrankReal" w:hAnsi="FbFrankReal" w:cs="FbFrankReal"/>
          <w:sz w:val="24"/>
          <w:szCs w:val="24"/>
          <w:rtl/>
        </w:rPr>
        <w:t xml:space="preserve"> דנפקא מחכמה עילאה הנק' </w:t>
      </w:r>
      <w:r w:rsidRPr="00657259">
        <w:rPr>
          <w:rFonts w:ascii="FbFrankReal" w:hAnsi="FbFrankReal" w:cs="FbFrankReal"/>
          <w:sz w:val="24"/>
          <w:szCs w:val="24"/>
          <w:rtl/>
        </w:rPr>
        <w:lastRenderedPageBreak/>
        <w:t>בשם אב. וז"ש אשת חיל עטרת בעלה כי התורה שבע"פ הנק' אשת חיל המולידה ומעמדת חיילות הרבה כמ"ש ועלמות אין מספר אל תקרי עלמות אלא עולמות אלו הלכות דלית לון חושבנא כמ"ש בתיקונים וכולן הן בחי' גילוי רצון העליון ב"ה הנעלם בתושב"כ ורצון העליון ב"ה הוא למעלה מעלה ממעלת חכמה עילאה וכמו כתר ועטרה שעל המוחין שבראש לכן נקראו ההלכות בשם תגא וכתרה של תורה והשונה הלכות מובטח לו שהוא בן עוה"ב ע"י התלבשות נר"נ שלו ברצון העליון ב"ה כנ"ל".</w:t>
      </w:r>
    </w:p>
    <w:p w14:paraId="2C23C19B" w14:textId="72DB3A05" w:rsidR="00657259" w:rsidRPr="00657259" w:rsidRDefault="00657259" w:rsidP="00657259">
      <w:pPr>
        <w:bidi/>
        <w:spacing w:line="276" w:lineRule="auto"/>
        <w:jc w:val="both"/>
        <w:rPr>
          <w:rFonts w:ascii="FbFrankReal" w:hAnsi="FbFrankReal" w:cs="FbFrankReal"/>
          <w:sz w:val="24"/>
          <w:szCs w:val="24"/>
          <w:rtl/>
        </w:rPr>
      </w:pPr>
      <w:r w:rsidRPr="00657259">
        <w:rPr>
          <w:rFonts w:ascii="FbFrankReal" w:hAnsi="FbFrankReal" w:cs="FbFrankReal"/>
          <w:sz w:val="24"/>
          <w:szCs w:val="24"/>
          <w:rtl/>
        </w:rPr>
        <w:tab/>
        <w:t xml:space="preserve">נמצא לפ"ז שרק </w:t>
      </w:r>
      <w:r w:rsidRPr="00657259">
        <w:rPr>
          <w:rFonts w:ascii="FbFrankReal" w:hAnsi="FbFrankReal" w:cs="FbFrankReal"/>
          <w:b/>
          <w:bCs/>
          <w:sz w:val="24"/>
          <w:szCs w:val="24"/>
          <w:rtl/>
        </w:rPr>
        <w:t xml:space="preserve">בתושבע"פ דייקא "התלבשותם בהלכות הערוכות לפנינו וגם שכלו מלובש בהם והוא יחוד נפלא שאין יחוד כמוהו ולא כערכו נמצא כלל בגשמיות להיות לאחדים ומיוחדים ממש מכל צד ופנה. וזאת מעלה יתרה גדולה ונפלאה לאין קץ אשר במצות ידיעת התורה והשגתה על כל המצות מעשיות </w:t>
      </w:r>
      <w:r w:rsidRPr="00657259">
        <w:rPr>
          <w:rFonts w:ascii="FbFrankReal" w:hAnsi="FbFrankReal" w:cs="FbFrankReal"/>
          <w:sz w:val="24"/>
          <w:szCs w:val="24"/>
          <w:rtl/>
        </w:rPr>
        <w:t xml:space="preserve"> . . </w:t>
      </w:r>
      <w:r w:rsidRPr="00657259">
        <w:rPr>
          <w:rFonts w:ascii="FbFrankReal" w:hAnsi="FbFrankReal" w:cs="FbFrankReal"/>
          <w:b/>
          <w:bCs/>
          <w:sz w:val="24"/>
          <w:szCs w:val="24"/>
          <w:rtl/>
        </w:rPr>
        <w:t>ובידיעת התורה מלבד שהשכל מלובש בחכמת ה' הנה גם חכמת ה' בקרבו מה שהשכל משיג ותופס ומקיף בשכלו מה שאפשר לו לתפוס ולהשיג מידיעת התורה איש כפי שכלו וכח ידיעתו והשגתו בפרד"ס.</w:t>
      </w:r>
      <w:r w:rsidRPr="00657259">
        <w:rPr>
          <w:rFonts w:ascii="FbFrankReal" w:hAnsi="FbFrankReal" w:cs="FbFrankReal"/>
          <w:sz w:val="24"/>
          <w:szCs w:val="24"/>
          <w:rtl/>
        </w:rPr>
        <w:t xml:space="preserve"> </w:t>
      </w:r>
      <w:r w:rsidRPr="00657259">
        <w:rPr>
          <w:rFonts w:ascii="FbFrankReal" w:hAnsi="FbFrankReal" w:cs="FbFrankReal"/>
          <w:b/>
          <w:bCs/>
          <w:sz w:val="24"/>
          <w:szCs w:val="24"/>
          <w:rtl/>
        </w:rPr>
        <w:t>ולפי שבידיעת התורה התורה מלובשת בנפש האדם ושכלו ומוקפת בתוכם לכן נקראת בשם לחם ומזון הנפש, כי כמו שהלחם הגשמי זן את הגוף כשמכניסו בתוכו וקרבו ממש ונהפך שם להיות דם ובשר כבשרו ואזי יחיה ויתקיים, כך בידיעת התורה והשגתה בנפש האדם שלומדה היטב בעיון שכלו עד שנתפסת בשכלו ומתאחדת עמו והיו לאחדים, נעשה מזון לנפש וחיים בקרבה מחיי החיים אין סוף ברוך הוא המלובש בחכמתו ותורתו שבקרבה" - לפיכך "ּבתורתו יהגה יומם ולילה"</w:t>
      </w:r>
      <w:r w:rsidRPr="00657259">
        <w:rPr>
          <w:rFonts w:ascii="FbFrankReal" w:hAnsi="FbFrankReal" w:cs="FbFrankReal"/>
          <w:sz w:val="24"/>
          <w:szCs w:val="24"/>
          <w:rtl/>
        </w:rPr>
        <w:t xml:space="preserve">, כלומר, דדוקא </w:t>
      </w:r>
      <w:r w:rsidRPr="00657259">
        <w:rPr>
          <w:rFonts w:ascii="FbFrankReal" w:hAnsi="FbFrankReal" w:cs="FbFrankReal"/>
          <w:b/>
          <w:bCs/>
          <w:sz w:val="24"/>
          <w:szCs w:val="24"/>
          <w:rtl/>
        </w:rPr>
        <w:t>תושבע"פ</w:t>
      </w:r>
      <w:r w:rsidRPr="00657259">
        <w:rPr>
          <w:rFonts w:ascii="FbFrankReal" w:hAnsi="FbFrankReal" w:cs="FbFrankReal"/>
          <w:sz w:val="24"/>
          <w:szCs w:val="24"/>
          <w:rtl/>
        </w:rPr>
        <w:t xml:space="preserve"> נקרא </w:t>
      </w:r>
      <w:r w:rsidRPr="00657259">
        <w:rPr>
          <w:rFonts w:ascii="FbFrankReal" w:hAnsi="FbFrankReal" w:cs="FbFrankReal"/>
          <w:b/>
          <w:bCs/>
          <w:sz w:val="24"/>
          <w:szCs w:val="24"/>
          <w:rtl/>
        </w:rPr>
        <w:t>"תורתו" - 'תורה שלו'</w:t>
      </w:r>
      <w:r w:rsidRPr="00657259">
        <w:rPr>
          <w:rFonts w:ascii="FbFrankReal" w:hAnsi="FbFrankReal" w:cs="FbFrankReal"/>
          <w:sz w:val="24"/>
          <w:szCs w:val="24"/>
          <w:rtl/>
        </w:rPr>
        <w:t>, וזאת מחמת</w:t>
      </w:r>
      <w:r w:rsidRPr="00657259">
        <w:rPr>
          <w:rFonts w:ascii="FbFrankReal" w:hAnsi="FbFrankReal" w:cs="FbFrankReal"/>
          <w:b/>
          <w:bCs/>
          <w:sz w:val="24"/>
          <w:szCs w:val="24"/>
          <w:rtl/>
        </w:rPr>
        <w:t xml:space="preserve"> "כשאדם יודע ומשיג בשכלו פסק זה כהלכה הערוכה במשנה או גמרא או פוסקים הרי זה משיג ותופס ומקיף בשכלו רצונו וחכמתו של הקב"ה . . בהתלבשותם בהלכות הערוכות לפנינו וגם שכלו מלובש בהם </w:t>
      </w:r>
      <w:bookmarkStart w:id="186" w:name="_Hlk74058078"/>
      <w:r w:rsidRPr="00657259">
        <w:rPr>
          <w:rFonts w:ascii="FbFrankReal" w:hAnsi="FbFrankReal" w:cs="FbFrankReal"/>
          <w:b/>
          <w:bCs/>
          <w:sz w:val="24"/>
          <w:szCs w:val="24"/>
          <w:rtl/>
        </w:rPr>
        <w:t xml:space="preserve">והוא </w:t>
      </w:r>
      <w:bookmarkStart w:id="187" w:name="_Hlk74149748"/>
      <w:r w:rsidRPr="00657259">
        <w:rPr>
          <w:rFonts w:ascii="FbFrankReal" w:hAnsi="FbFrankReal" w:cs="FbFrankReal"/>
          <w:b/>
          <w:bCs/>
          <w:sz w:val="24"/>
          <w:szCs w:val="24"/>
          <w:rtl/>
        </w:rPr>
        <w:t>יחוד נפלא שאין יחוד כמוהו ולא כערכו נמצא כלל בגשמיות להיות לאחדים ומיוחדים ממש מכל צד ופנה".</w:t>
      </w:r>
    </w:p>
    <w:bookmarkEnd w:id="186"/>
    <w:bookmarkEnd w:id="187"/>
    <w:p w14:paraId="72C71319" w14:textId="77777777" w:rsidR="00657259" w:rsidRPr="00657259" w:rsidRDefault="00657259" w:rsidP="00657259">
      <w:pPr>
        <w:bidi/>
        <w:spacing w:line="276" w:lineRule="auto"/>
        <w:jc w:val="both"/>
        <w:rPr>
          <w:rFonts w:ascii="FbFrankReal" w:hAnsi="FbFrankReal" w:cs="FbFrankReal"/>
          <w:sz w:val="24"/>
          <w:szCs w:val="24"/>
          <w:rtl/>
        </w:rPr>
      </w:pPr>
      <w:r w:rsidRPr="00657259">
        <w:rPr>
          <w:rFonts w:ascii="FbFrankReal" w:hAnsi="FbFrankReal" w:cs="FbFrankReal"/>
          <w:sz w:val="24"/>
          <w:szCs w:val="24"/>
          <w:rtl/>
        </w:rPr>
        <w:tab/>
        <w:t>משא"כ ב"</w:t>
      </w:r>
      <w:r w:rsidRPr="00657259">
        <w:rPr>
          <w:rFonts w:ascii="FbFrankReal" w:hAnsi="FbFrankReal" w:cs="FbFrankReal"/>
          <w:b/>
          <w:bCs/>
          <w:sz w:val="24"/>
          <w:szCs w:val="24"/>
          <w:rtl/>
        </w:rPr>
        <w:t>שבתורה שבכתב הוא מופלא ומכוסה טמיר ונעלם ואינו מתגלה אלא בתורה שבע"פ כמו מצות תפילין עד"מ שנאמר בתושב"כ וקשרתם לאות על ידך והיו לטוטפות בין עיניך והוא מאמר סתום ונעלם שלא פירש הכתוב איך ומה לקשור ומהו טוטפות והיכן הוא בין עיניך ועל ידך עד שפירשה תורה שבע"פ שצריך לקשור בית אחד על היד וד' בתים על הראש ובתוכם ד' פרשיות והבתים יהיו מעור מעובד ומרובעים דוקא ומקושרים ברצועות של עור שחורות דוקא וכל שאר פרטי הלכות עשיית התפילין שנאמרו בע"פ ועל ידך היא הזרוע דוקא ולא כף היד ובין עיניך זה קדקוד ולא המצח. וכן כל מצות שבתורה בין מ"ע בין מצות ל"ת אינן גלויות וידועות ומפורשות" - לפיכך אינם אלא "</w:t>
      </w:r>
      <w:r w:rsidRPr="00657259">
        <w:rPr>
          <w:rFonts w:ascii="FbFrankReal" w:hAnsi="FbFrankReal" w:cs="FbFrankReal"/>
          <w:b/>
          <w:bCs/>
          <w:sz w:val="24"/>
          <w:szCs w:val="24"/>
          <w:u w:val="single"/>
          <w:rtl/>
        </w:rPr>
        <w:t>תורת ה'</w:t>
      </w:r>
      <w:r w:rsidRPr="00657259">
        <w:rPr>
          <w:rFonts w:ascii="FbFrankReal" w:hAnsi="FbFrankReal" w:cs="FbFrankReal"/>
          <w:b/>
          <w:bCs/>
          <w:sz w:val="24"/>
          <w:szCs w:val="24"/>
          <w:rtl/>
        </w:rPr>
        <w:t xml:space="preserve">" בלבד, כיון שאינם עדיין בבחי' "יחוד נפלא שאין יחוד כמוהו ולא כערכו נמצא כלל בגשמיות להיות לאחדים ומיוחדים ממש מכל </w:t>
      </w:r>
      <w:r w:rsidRPr="00657259">
        <w:rPr>
          <w:rFonts w:ascii="FbFrankReal" w:hAnsi="FbFrankReal" w:cs="FbFrankReal"/>
          <w:b/>
          <w:bCs/>
          <w:sz w:val="24"/>
          <w:szCs w:val="24"/>
          <w:rtl/>
        </w:rPr>
        <w:lastRenderedPageBreak/>
        <w:t>צד ופנה".</w:t>
      </w:r>
      <w:r w:rsidRPr="00657259">
        <w:rPr>
          <w:rFonts w:ascii="FbFrankReal" w:hAnsi="FbFrankReal" w:cs="FbFrankReal"/>
          <w:sz w:val="24"/>
          <w:szCs w:val="24"/>
          <w:rtl/>
        </w:rPr>
        <w:t xml:space="preserve"> </w:t>
      </w:r>
      <w:r w:rsidRPr="00657259">
        <w:rPr>
          <w:rFonts w:ascii="FbFrankReal" w:hAnsi="FbFrankReal" w:cs="FbFrankReal"/>
          <w:b/>
          <w:bCs/>
          <w:sz w:val="24"/>
          <w:szCs w:val="24"/>
          <w:rtl/>
        </w:rPr>
        <w:t>מתי זה "תורתו" שלו? זהו דוקא גבי תורה שבע"פ, "כמצות ל"ת שנאמר בשבת לא תעשה מלאכה ולא פי' מה היא מלאכה ובתורה שבע"פ נתפרש שהן ל"ט מלאכות הידועות ולא טלטול אבנים וקורות כבידות וכיוצא בהן הן כל המצות בין מ"ע בין מל"ת הן סתומות ולא מפורשות וגלויות וידועות אלא ע"י תורה שבע"פ ומשום הכי כתיב על תושבע"פ אל תטוש תורת אמך", שאז. "הוא יחוד נפלא שאין יחוד כמוהו ולא כערכו נמצא כלל בגשמיות להיות לאחדים ומיוחדים ממש מכל צד ופנה".</w:t>
      </w:r>
    </w:p>
    <w:p w14:paraId="5A34A456"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b/>
          <w:bCs/>
          <w:sz w:val="24"/>
          <w:szCs w:val="24"/>
          <w:rtl/>
        </w:rPr>
        <w:t xml:space="preserve">ומשום הכי דוקא גבי תושבע"פ נאמר "(וּבְתוֹרָתוֹ) </w:t>
      </w:r>
      <w:bookmarkStart w:id="188" w:name="_Hlk74058540"/>
      <w:r w:rsidRPr="00657259">
        <w:rPr>
          <w:rFonts w:ascii="FbFrankReal" w:hAnsi="FbFrankReal" w:cs="FbFrankReal"/>
          <w:b/>
          <w:bCs/>
          <w:sz w:val="24"/>
          <w:szCs w:val="24"/>
          <w:rtl/>
        </w:rPr>
        <w:t>י</w:t>
      </w:r>
      <w:r w:rsidRPr="00657259">
        <w:rPr>
          <w:rFonts w:ascii="FbFrankReal" w:hAnsi="FbFrankReal" w:cs="FbFrankReal"/>
          <w:b/>
          <w:bCs/>
          <w:sz w:val="24"/>
          <w:szCs w:val="24"/>
          <w:u w:val="single"/>
          <w:rtl/>
        </w:rPr>
        <w:t>הגה</w:t>
      </w:r>
      <w:r w:rsidRPr="00657259">
        <w:rPr>
          <w:rFonts w:ascii="FbFrankReal" w:hAnsi="FbFrankReal" w:cs="FbFrankReal"/>
          <w:b/>
          <w:bCs/>
          <w:sz w:val="24"/>
          <w:szCs w:val="24"/>
          <w:rtl/>
        </w:rPr>
        <w:t xml:space="preserve"> יומם ולילה", </w:t>
      </w:r>
      <w:bookmarkEnd w:id="188"/>
      <w:r w:rsidRPr="00657259">
        <w:rPr>
          <w:rFonts w:ascii="FbFrankReal" w:hAnsi="FbFrankReal" w:cs="FbFrankReal"/>
          <w:b/>
          <w:bCs/>
          <w:sz w:val="24"/>
          <w:szCs w:val="24"/>
          <w:rtl/>
        </w:rPr>
        <w:t>ולא גבי תושב"כ, ובהקדים</w:t>
      </w:r>
      <w:r w:rsidRPr="00657259">
        <w:rPr>
          <w:rFonts w:ascii="FbFrankReal" w:eastAsia="Times New Roman" w:hAnsi="FbFrankReal" w:cs="FbFrankReal"/>
          <w:color w:val="000000"/>
          <w:sz w:val="24"/>
          <w:szCs w:val="24"/>
          <w:rtl/>
        </w:rPr>
        <w:t xml:space="preserve">, להבין מהו גדרו של </w:t>
      </w:r>
      <w:r w:rsidRPr="00657259">
        <w:rPr>
          <w:rFonts w:ascii="FbFrankReal" w:hAnsi="FbFrankReal" w:cs="FbFrankReal"/>
          <w:b/>
          <w:bCs/>
          <w:sz w:val="24"/>
          <w:szCs w:val="24"/>
          <w:rtl/>
        </w:rPr>
        <w:t>"</w:t>
      </w:r>
      <w:r w:rsidRPr="00657259">
        <w:rPr>
          <w:rFonts w:ascii="FbFrankReal" w:hAnsi="FbFrankReal" w:cs="FbFrankReal"/>
          <w:b/>
          <w:bCs/>
          <w:sz w:val="24"/>
          <w:szCs w:val="24"/>
          <w:u w:val="single"/>
          <w:rtl/>
        </w:rPr>
        <w:t>יהגה</w:t>
      </w:r>
      <w:r w:rsidRPr="00657259">
        <w:rPr>
          <w:rFonts w:ascii="FbFrankReal" w:hAnsi="FbFrankReal" w:cs="FbFrankReal"/>
          <w:b/>
          <w:bCs/>
          <w:sz w:val="24"/>
          <w:szCs w:val="24"/>
          <w:rtl/>
        </w:rPr>
        <w:t xml:space="preserve"> יומם ולילה" - </w:t>
      </w:r>
      <w:r w:rsidRPr="00657259">
        <w:rPr>
          <w:rFonts w:ascii="FbFrankReal" w:eastAsia="Times New Roman" w:hAnsi="FbFrankReal" w:cs="FbFrankReal"/>
          <w:color w:val="000000"/>
          <w:sz w:val="24"/>
          <w:szCs w:val="24"/>
          <w:rtl/>
        </w:rPr>
        <w:t>והנראה בזה ע"פ מה שכתב הרמב"ם</w:t>
      </w:r>
      <w:r w:rsidRPr="00657259">
        <w:rPr>
          <w:rFonts w:ascii="FbFrankReal" w:hAnsi="FbFrankReal" w:cs="FbFrankReal"/>
          <w:sz w:val="24"/>
          <w:szCs w:val="24"/>
          <w:rtl/>
        </w:rPr>
        <w:t xml:space="preserve"> בהל' מלכים (פי"א ח"ד): "ואם יעמוד מלך מבית דוד </w:t>
      </w:r>
      <w:bookmarkStart w:id="189" w:name="_Hlk60217673"/>
      <w:r w:rsidRPr="00657259">
        <w:rPr>
          <w:rFonts w:ascii="FbFrankReal" w:hAnsi="FbFrankReal" w:cs="FbFrankReal"/>
          <w:b/>
          <w:bCs/>
          <w:sz w:val="24"/>
          <w:szCs w:val="24"/>
          <w:u w:val="single"/>
          <w:rtl/>
        </w:rPr>
        <w:t>הוגה</w:t>
      </w:r>
      <w:r w:rsidRPr="00657259">
        <w:rPr>
          <w:rFonts w:ascii="FbFrankReal" w:hAnsi="FbFrankReal" w:cs="FbFrankReal"/>
          <w:b/>
          <w:bCs/>
          <w:sz w:val="24"/>
          <w:szCs w:val="24"/>
          <w:rtl/>
        </w:rPr>
        <w:t xml:space="preserve"> בתורה ועוסק במצות </w:t>
      </w:r>
      <w:bookmarkEnd w:id="189"/>
      <w:r w:rsidRPr="00657259">
        <w:rPr>
          <w:rFonts w:ascii="FbFrankReal" w:hAnsi="FbFrankReal" w:cs="FbFrankReal"/>
          <w:b/>
          <w:bCs/>
          <w:sz w:val="24"/>
          <w:szCs w:val="24"/>
          <w:rtl/>
        </w:rPr>
        <w:t>כדוד אביו</w:t>
      </w:r>
      <w:r w:rsidRPr="00657259">
        <w:rPr>
          <w:rFonts w:ascii="FbFrankReal" w:hAnsi="FbFrankReal" w:cs="FbFrankReal"/>
          <w:sz w:val="24"/>
          <w:szCs w:val="24"/>
          <w:rtl/>
        </w:rPr>
        <w:t xml:space="preserve"> כפי תורה שבכתב ושבעל פה, ויכוף כל ישראל לילך בה ולחזק בדקה, וילחם מלחמות ה', הרי זה בחזקת שהוא משיח וכו', עכ"ל.</w:t>
      </w:r>
    </w:p>
    <w:p w14:paraId="309153A1"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ויש להבין, מדוע כתב הרמב"ם ההגדרה של </w:t>
      </w:r>
      <w:r w:rsidRPr="00657259">
        <w:rPr>
          <w:rFonts w:ascii="FbFrankReal" w:hAnsi="FbFrankReal" w:cs="FbFrankReal"/>
          <w:b/>
          <w:bCs/>
          <w:sz w:val="24"/>
          <w:szCs w:val="24"/>
          <w:rtl/>
        </w:rPr>
        <w:t>'הוגה</w:t>
      </w:r>
      <w:r w:rsidRPr="00657259">
        <w:rPr>
          <w:rFonts w:ascii="FbFrankReal" w:hAnsi="FbFrankReal" w:cs="FbFrankReal"/>
          <w:sz w:val="24"/>
          <w:szCs w:val="24"/>
          <w:rtl/>
        </w:rPr>
        <w:t xml:space="preserve"> בתורה' דייקא, ולא כתב בפשטות </w:t>
      </w:r>
      <w:bookmarkStart w:id="190" w:name="_Hlk60217890"/>
      <w:r w:rsidRPr="00657259">
        <w:rPr>
          <w:rFonts w:ascii="FbFrankReal" w:hAnsi="FbFrankReal" w:cs="FbFrankReal"/>
          <w:b/>
          <w:bCs/>
          <w:sz w:val="24"/>
          <w:szCs w:val="24"/>
          <w:rtl/>
        </w:rPr>
        <w:t>'ועוסק בתורה ובמצות כדוד אביו'</w:t>
      </w:r>
      <w:bookmarkEnd w:id="190"/>
      <w:r w:rsidRPr="00657259">
        <w:rPr>
          <w:rFonts w:ascii="FbFrankReal" w:hAnsi="FbFrankReal" w:cs="FbFrankReal"/>
          <w:b/>
          <w:bCs/>
          <w:sz w:val="24"/>
          <w:szCs w:val="24"/>
          <w:vertAlign w:val="superscript"/>
          <w:rtl/>
        </w:rPr>
        <w:footnoteReference w:id="101"/>
      </w:r>
      <w:r w:rsidRPr="00657259">
        <w:rPr>
          <w:rFonts w:ascii="FbFrankReal" w:hAnsi="FbFrankReal" w:cs="FbFrankReal"/>
          <w:sz w:val="24"/>
          <w:szCs w:val="24"/>
          <w:rtl/>
        </w:rPr>
        <w:t xml:space="preserve"> וכו' כפי הלשון הרגיל בחז"ל, </w:t>
      </w:r>
      <w:r w:rsidRPr="00657259">
        <w:rPr>
          <w:rFonts w:ascii="FbFrankReal" w:hAnsi="FbFrankReal" w:cs="FbFrankReal"/>
          <w:b/>
          <w:bCs/>
          <w:sz w:val="24"/>
          <w:szCs w:val="24"/>
          <w:rtl/>
        </w:rPr>
        <w:t xml:space="preserve">עוסק </w:t>
      </w:r>
      <w:r w:rsidRPr="00657259">
        <w:rPr>
          <w:rFonts w:ascii="FbFrankReal" w:hAnsi="FbFrankReal" w:cs="FbFrankReal"/>
          <w:sz w:val="24"/>
          <w:szCs w:val="24"/>
          <w:rtl/>
        </w:rPr>
        <w:t xml:space="preserve">או </w:t>
      </w:r>
      <w:r w:rsidRPr="00657259">
        <w:rPr>
          <w:rFonts w:ascii="FbFrankReal" w:hAnsi="FbFrankReal" w:cs="FbFrankReal"/>
          <w:b/>
          <w:bCs/>
          <w:sz w:val="24"/>
          <w:szCs w:val="24"/>
          <w:rtl/>
        </w:rPr>
        <w:t xml:space="preserve">לומד </w:t>
      </w:r>
      <w:r w:rsidRPr="00657259">
        <w:rPr>
          <w:rFonts w:ascii="FbFrankReal" w:hAnsi="FbFrankReal" w:cs="FbFrankReal"/>
          <w:sz w:val="24"/>
          <w:szCs w:val="24"/>
          <w:rtl/>
        </w:rPr>
        <w:t>וכו'? ועי' גם ב'קרית ספר' להמבי"ט על ה' מלכים שם שכותב ג"כ ההגדרה של '</w:t>
      </w:r>
      <w:r w:rsidRPr="00657259">
        <w:rPr>
          <w:rFonts w:ascii="FbFrankReal" w:hAnsi="FbFrankReal" w:cs="FbFrankReal"/>
          <w:b/>
          <w:bCs/>
          <w:sz w:val="24"/>
          <w:szCs w:val="24"/>
          <w:rtl/>
        </w:rPr>
        <w:t>הוגה</w:t>
      </w:r>
      <w:r w:rsidRPr="00657259">
        <w:rPr>
          <w:rFonts w:ascii="FbFrankReal" w:hAnsi="FbFrankReal" w:cs="FbFrankReal"/>
          <w:sz w:val="24"/>
          <w:szCs w:val="24"/>
          <w:rtl/>
        </w:rPr>
        <w:t xml:space="preserve"> בתורה' דייקא?</w:t>
      </w:r>
    </w:p>
    <w:p w14:paraId="52421FE7"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והנה ב'לקוטי שיחות' הלק ח (ע' 358, 362) כתב בהערה ד"ה </w:t>
      </w:r>
      <w:r w:rsidRPr="00657259">
        <w:rPr>
          <w:rFonts w:ascii="FbFrankReal" w:hAnsi="FbFrankReal" w:cs="FbFrankReal"/>
          <w:b/>
          <w:bCs/>
          <w:sz w:val="24"/>
          <w:szCs w:val="24"/>
          <w:rtl/>
        </w:rPr>
        <w:t>'הוגה בתורה'</w:t>
      </w:r>
      <w:r w:rsidRPr="00657259">
        <w:rPr>
          <w:rFonts w:ascii="FbFrankReal" w:hAnsi="FbFrankReal" w:cs="FbFrankReal"/>
          <w:sz w:val="24"/>
          <w:szCs w:val="24"/>
          <w:rtl/>
        </w:rPr>
        <w:t xml:space="preserve">: ראה </w:t>
      </w:r>
      <w:bookmarkStart w:id="191" w:name="_Hlk60227677"/>
      <w:bookmarkStart w:id="192" w:name="_Hlk60239451"/>
      <w:r w:rsidRPr="00657259">
        <w:rPr>
          <w:rFonts w:ascii="FbFrankReal" w:hAnsi="FbFrankReal" w:cs="FbFrankReal"/>
          <w:sz w:val="24"/>
          <w:szCs w:val="24"/>
          <w:rtl/>
        </w:rPr>
        <w:t xml:space="preserve">ע"ז (יט, א) </w:t>
      </w:r>
      <w:r w:rsidRPr="00657259">
        <w:rPr>
          <w:rFonts w:ascii="FbFrankReal" w:hAnsi="FbFrankReal" w:cs="FbFrankReal"/>
          <w:b/>
          <w:bCs/>
          <w:sz w:val="24"/>
          <w:szCs w:val="24"/>
          <w:rtl/>
        </w:rPr>
        <w:t>["לעולם ילמד אדם תורה</w:t>
      </w:r>
      <w:r w:rsidRPr="00657259">
        <w:rPr>
          <w:rFonts w:ascii="FbFrankReal" w:hAnsi="FbFrankReal" w:cs="FbFrankReal"/>
          <w:sz w:val="24"/>
          <w:szCs w:val="24"/>
          <w:rtl/>
        </w:rPr>
        <w:t xml:space="preserve"> (מרבו, עד שתהא גירסת התלמוד ופירושו שגורה לו בפיו - רש"י), </w:t>
      </w:r>
      <w:r w:rsidRPr="00657259">
        <w:rPr>
          <w:rFonts w:ascii="FbFrankReal" w:hAnsi="FbFrankReal" w:cs="FbFrankReal"/>
          <w:b/>
          <w:bCs/>
          <w:sz w:val="24"/>
          <w:szCs w:val="24"/>
          <w:rtl/>
        </w:rPr>
        <w:t>ואחר כך יהגה</w:t>
      </w:r>
      <w:r w:rsidRPr="00657259">
        <w:rPr>
          <w:rFonts w:ascii="FbFrankReal" w:hAnsi="FbFrankReal" w:cs="FbFrankReal"/>
          <w:sz w:val="24"/>
          <w:szCs w:val="24"/>
          <w:rtl/>
        </w:rPr>
        <w:t xml:space="preserve">" </w:t>
      </w:r>
      <w:bookmarkEnd w:id="191"/>
      <w:r w:rsidRPr="00657259">
        <w:rPr>
          <w:rFonts w:ascii="FbFrankReal" w:hAnsi="FbFrankReal" w:cs="FbFrankReal"/>
          <w:sz w:val="24"/>
          <w:szCs w:val="24"/>
          <w:rtl/>
        </w:rPr>
        <w:t>(</w:t>
      </w:r>
      <w:bookmarkStart w:id="193" w:name="_Hlk74059218"/>
      <w:r w:rsidRPr="00657259">
        <w:rPr>
          <w:rFonts w:ascii="FbFrankReal" w:hAnsi="FbFrankReal" w:cs="FbFrankReal"/>
          <w:sz w:val="24"/>
          <w:szCs w:val="24"/>
          <w:rtl/>
        </w:rPr>
        <w:t>יעיין בתלמודו לדמות מילתא למילתא, להקשות ולתרץ - רש"י</w:t>
      </w:r>
      <w:bookmarkEnd w:id="193"/>
      <w:r w:rsidRPr="00657259">
        <w:rPr>
          <w:rFonts w:ascii="FbFrankReal" w:hAnsi="FbFrankReal" w:cs="FbFrankReal"/>
          <w:sz w:val="24"/>
          <w:szCs w:val="24"/>
          <w:rtl/>
        </w:rPr>
        <w:t>)</w:t>
      </w:r>
      <w:r w:rsidRPr="00657259">
        <w:rPr>
          <w:rFonts w:ascii="FbFrankReal" w:hAnsi="FbFrankReal" w:cs="FbFrankReal"/>
          <w:b/>
          <w:bCs/>
          <w:sz w:val="24"/>
          <w:szCs w:val="24"/>
          <w:rtl/>
        </w:rPr>
        <w:t>].</w:t>
      </w:r>
      <w:bookmarkEnd w:id="192"/>
      <w:r w:rsidRPr="00657259">
        <w:rPr>
          <w:rFonts w:ascii="FbFrankReal" w:hAnsi="FbFrankReal" w:cs="FbFrankReal"/>
          <w:sz w:val="24"/>
          <w:szCs w:val="24"/>
          <w:rtl/>
        </w:rPr>
        <w:t xml:space="preserve"> פרקי דרבי אליעזר ספל"ב, </w:t>
      </w:r>
      <w:r w:rsidRPr="00657259">
        <w:rPr>
          <w:rFonts w:ascii="FbFrankReal" w:hAnsi="FbFrankReal" w:cs="FbFrankReal"/>
          <w:b/>
          <w:bCs/>
          <w:sz w:val="24"/>
          <w:szCs w:val="24"/>
          <w:rtl/>
        </w:rPr>
        <w:t>שקול יעקב (שהוא המבטל ידי עשו) היינו "הגיון תורה</w:t>
      </w:r>
      <w:r w:rsidRPr="00657259">
        <w:rPr>
          <w:rFonts w:ascii="FbFrankReal" w:hAnsi="FbFrankReal" w:cs="FbFrankReal"/>
          <w:sz w:val="24"/>
          <w:szCs w:val="24"/>
          <w:rtl/>
        </w:rPr>
        <w:t>"." עכ"ל (מלבד החצ"ר).</w:t>
      </w:r>
    </w:p>
    <w:p w14:paraId="4DCEC7A5"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ובהקדם מ"ש בשיחת ש"פ ראה מבה"ח אלול תשל"ה, בנוגע למ"ש הרמב"ם "וילחם </w:t>
      </w:r>
      <w:r w:rsidRPr="00657259">
        <w:rPr>
          <w:rFonts w:ascii="FbFrankReal" w:hAnsi="FbFrankReal" w:cs="FbFrankReal"/>
          <w:b/>
          <w:bCs/>
          <w:sz w:val="24"/>
          <w:szCs w:val="24"/>
          <w:rtl/>
        </w:rPr>
        <w:t>מלחמות ה"'</w:t>
      </w:r>
      <w:r w:rsidRPr="00657259">
        <w:rPr>
          <w:rFonts w:ascii="FbFrankReal" w:hAnsi="FbFrankReal" w:cs="FbFrankReal"/>
          <w:sz w:val="24"/>
          <w:szCs w:val="24"/>
          <w:rtl/>
        </w:rPr>
        <w:t xml:space="preserve">. דהנה 'מלחמה' סתם הכוונה הוא למלחמת הארץ, וכאן אומר </w:t>
      </w:r>
      <w:r w:rsidRPr="00657259">
        <w:rPr>
          <w:rFonts w:ascii="FbFrankReal" w:hAnsi="FbFrankReal" w:cs="FbFrankReal"/>
          <w:b/>
          <w:bCs/>
          <w:sz w:val="24"/>
          <w:szCs w:val="24"/>
          <w:rtl/>
        </w:rPr>
        <w:t>'מלחמות ה'</w:t>
      </w:r>
      <w:r w:rsidRPr="00657259">
        <w:rPr>
          <w:rFonts w:ascii="FbFrankReal" w:hAnsi="FbFrankReal" w:cs="FbFrankReal"/>
          <w:sz w:val="24"/>
          <w:szCs w:val="24"/>
          <w:rtl/>
        </w:rPr>
        <w:t>', דלכאו' אינו מובן למה אומר ''מלחמות ה"' בשעה שגבי מלחמת גוג ומגוג אומר רק 'מלחמה' סתם [בפי"ב ה"ב]? - אלא שכאן אינו נוגע לו שטח זה או שטח אחר, אלא שנוגע לו 'מלחמות ה'', מה שהקב"ה הבטיח בברית בין הבתרים 'לזרעך נתתי את הארץ הזאת', וזה יהי' ל'אחוזת עולם'...</w:t>
      </w:r>
    </w:p>
    <w:p w14:paraId="10CDDFE8"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"משיח יהי' בשר ודם, ויהי' מבית דוד, וילמד תורה כמו דוד המלך שלמד תורה ושלח את יואב בן צרוי' - שר הצבא - למלחמה. דלכאו' הרי דוד הי' מלך, א"כ הי' צריך להיות מקומו ב'מטה הכללי' ולתכנן תוכניות וכו'? </w:t>
      </w:r>
    </w:p>
    <w:p w14:paraId="45138E63"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lastRenderedPageBreak/>
        <w:t xml:space="preserve">"אעפ"כ רואים דמתי שיואב הי' בחזית התעסק דוד בלימוד התורה, לטהר אשה לבעלה (ברכות ד, א) וכו', </w:t>
      </w:r>
      <w:r w:rsidRPr="00657259">
        <w:rPr>
          <w:rFonts w:ascii="FbFrankReal" w:hAnsi="FbFrankReal" w:cs="FbFrankReal"/>
          <w:b/>
          <w:bCs/>
          <w:sz w:val="24"/>
          <w:szCs w:val="24"/>
          <w:rtl/>
        </w:rPr>
        <w:t>וע"י שדוד עסק בלימוד התורה, זה נתן כח ליואב שינצח במלחמות</w:t>
      </w:r>
      <w:r w:rsidRPr="00657259">
        <w:rPr>
          <w:rFonts w:ascii="FbFrankReal" w:hAnsi="FbFrankReal" w:cs="FbFrankReal"/>
          <w:sz w:val="24"/>
          <w:szCs w:val="24"/>
          <w:rtl/>
        </w:rPr>
        <w:t xml:space="preserve"> [עי' סנהדרין מט, א. ב"ק יז, א], ע"ש. </w:t>
      </w:r>
    </w:p>
    <w:p w14:paraId="1A4A5445"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וראה גם 'תורת מנחם' חלק נא (ע' 72 ואילך) בשיחת ו' תשרי תשכ"ח, </w:t>
      </w:r>
      <w:r w:rsidRPr="00657259">
        <w:rPr>
          <w:rFonts w:ascii="FbFrankReal" w:hAnsi="FbFrankReal" w:cs="FbFrankReal"/>
          <w:b/>
          <w:bCs/>
          <w:sz w:val="24"/>
          <w:szCs w:val="24"/>
          <w:rtl/>
        </w:rPr>
        <w:t xml:space="preserve">דלולי לימוד התורה של דוד לא הי' יכול יואב לנצח במלחמה </w:t>
      </w:r>
      <w:r w:rsidRPr="00657259">
        <w:rPr>
          <w:rFonts w:ascii="FbFrankReal" w:hAnsi="FbFrankReal" w:cs="FbFrankReal"/>
          <w:sz w:val="24"/>
          <w:szCs w:val="24"/>
          <w:rtl/>
        </w:rPr>
        <w:t xml:space="preserve">ע"ש. - וב'תורת מנחם' חלק נ (ע' 199 ואילך) בשיחת י"ב תמוז תשכ"ז מבואר איך נצח דוד במלחמה, אמרו חז"ל שיואב בן צרוי' הי' על הצבא, ולמה הוא ניצח? היינו מפני שדוד ישב ולמד.. וזה מורה לנו הדרך דוד מלך ישראל, שאותו מתארים למנצח המלחמה - 'לוחם מלחמות ה'', ואומרים עליו 'דם רב שפכת', והיינו דזה שנשפך הדם ע"י יואב בן צרוי', הי' זה דוקא ע"י לימוד התורה ע"י דוד מלך ישראל, וה"נ יאמר על השאלה: "אפשר איז דאס משיח?", הסימן הראשון הוא, שצריכים להתבונן אחריו, האם </w:t>
      </w:r>
      <w:r w:rsidRPr="00657259">
        <w:rPr>
          <w:rFonts w:ascii="FbFrankReal" w:hAnsi="FbFrankReal" w:cs="FbFrankReal"/>
          <w:b/>
          <w:bCs/>
          <w:sz w:val="24"/>
          <w:szCs w:val="24"/>
          <w:rtl/>
        </w:rPr>
        <w:t xml:space="preserve">'הוגה </w:t>
      </w:r>
      <w:r w:rsidRPr="00657259">
        <w:rPr>
          <w:rFonts w:ascii="FbFrankReal" w:hAnsi="FbFrankReal" w:cs="FbFrankReal"/>
          <w:sz w:val="24"/>
          <w:szCs w:val="24"/>
          <w:rtl/>
        </w:rPr>
        <w:t xml:space="preserve">בתורה כדוד אביו' וכו' ע"ש. </w:t>
      </w:r>
    </w:p>
    <w:p w14:paraId="308F888D"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ומעתה יבואר היטב למה הרמב"ם והמבי"ט משתמשים דוקא בההגדרה של</w:t>
      </w:r>
      <w:r w:rsidRPr="00657259">
        <w:rPr>
          <w:rFonts w:ascii="FbFrankReal" w:hAnsi="FbFrankReal" w:cs="FbFrankReal"/>
          <w:b/>
          <w:bCs/>
          <w:sz w:val="24"/>
          <w:szCs w:val="24"/>
          <w:rtl/>
        </w:rPr>
        <w:t xml:space="preserve"> 'הוגה</w:t>
      </w:r>
      <w:r w:rsidRPr="00657259">
        <w:rPr>
          <w:rFonts w:ascii="FbFrankReal" w:hAnsi="FbFrankReal" w:cs="FbFrankReal"/>
          <w:sz w:val="24"/>
          <w:szCs w:val="24"/>
          <w:rtl/>
        </w:rPr>
        <w:t xml:space="preserve">' - רש"י, הוא </w:t>
      </w:r>
      <w:r w:rsidRPr="00657259">
        <w:rPr>
          <w:rFonts w:ascii="FbFrankReal" w:hAnsi="FbFrankReal" w:cs="FbFrankReal"/>
          <w:b/>
          <w:bCs/>
          <w:sz w:val="24"/>
          <w:szCs w:val="24"/>
          <w:rtl/>
        </w:rPr>
        <w:t>הקול תורה שמבטל ידי עשיו</w:t>
      </w:r>
      <w:r w:rsidRPr="00657259">
        <w:rPr>
          <w:rFonts w:ascii="FbFrankReal" w:hAnsi="FbFrankReal" w:cs="FbFrankReal"/>
          <w:sz w:val="24"/>
          <w:szCs w:val="24"/>
          <w:rtl/>
        </w:rPr>
        <w:t xml:space="preserve"> - כמ"ש בפרדר"א הנ"ל, א"כ זהו עיקר ההכנה </w:t>
      </w:r>
      <w:r w:rsidRPr="00657259">
        <w:rPr>
          <w:rFonts w:ascii="FbFrankReal" w:hAnsi="FbFrankReal" w:cs="FbFrankReal"/>
          <w:b/>
          <w:bCs/>
          <w:sz w:val="24"/>
          <w:szCs w:val="24"/>
          <w:rtl/>
        </w:rPr>
        <w:t>ל"ילחם מלחמות ה'"</w:t>
      </w:r>
      <w:r w:rsidRPr="00657259">
        <w:rPr>
          <w:rFonts w:ascii="FbFrankReal" w:hAnsi="FbFrankReal" w:cs="FbFrankReal"/>
          <w:sz w:val="24"/>
          <w:szCs w:val="24"/>
          <w:rtl/>
        </w:rPr>
        <w:t xml:space="preserve">, שגדרו הוא שלומד באופן של </w:t>
      </w:r>
      <w:r w:rsidRPr="00657259">
        <w:rPr>
          <w:rFonts w:ascii="FbFrankReal" w:hAnsi="FbFrankReal" w:cs="FbFrankReal"/>
          <w:b/>
          <w:bCs/>
          <w:sz w:val="24"/>
          <w:szCs w:val="24"/>
          <w:rtl/>
        </w:rPr>
        <w:t xml:space="preserve">'הגיון </w:t>
      </w:r>
      <w:r w:rsidRPr="00657259">
        <w:rPr>
          <w:rFonts w:ascii="FbFrankReal" w:hAnsi="FbFrankReal" w:cs="FbFrankReal"/>
          <w:sz w:val="24"/>
          <w:szCs w:val="24"/>
          <w:rtl/>
        </w:rPr>
        <w:t xml:space="preserve">תורה' . . </w:t>
      </w:r>
      <w:r w:rsidRPr="00657259">
        <w:rPr>
          <w:rFonts w:ascii="FbFrankReal" w:hAnsi="FbFrankReal" w:cs="FbFrankReal"/>
          <w:b/>
          <w:bCs/>
          <w:sz w:val="24"/>
          <w:szCs w:val="24"/>
          <w:rtl/>
        </w:rPr>
        <w:t xml:space="preserve">וזהו הגורם האמיתי לנצחון המלחמה ע"י אנשי הצבא ומפקדיו, ועל 'הגיון תורה' שלו אומרים 'דם רב שפכת', ולא על אנשי הצבא, כי לולי ה'הגיון תורה' שלו לא יכולים כלל אנשי הצבא בחזית לנצח, </w:t>
      </w:r>
      <w:r w:rsidRPr="00657259">
        <w:rPr>
          <w:rFonts w:ascii="FbFrankReal" w:hAnsi="FbFrankReal" w:cs="FbFrankReal"/>
          <w:sz w:val="24"/>
          <w:szCs w:val="24"/>
          <w:rtl/>
        </w:rPr>
        <w:t xml:space="preserve">וא"כ א"ש מדוע הרמב"ם כותב </w:t>
      </w:r>
      <w:r w:rsidRPr="00657259">
        <w:rPr>
          <w:rFonts w:ascii="FbFrankReal" w:hAnsi="FbFrankReal" w:cs="FbFrankReal"/>
          <w:b/>
          <w:bCs/>
          <w:sz w:val="24"/>
          <w:szCs w:val="24"/>
          <w:rtl/>
        </w:rPr>
        <w:t>'הוגה</w:t>
      </w:r>
      <w:r w:rsidRPr="00657259">
        <w:rPr>
          <w:rFonts w:ascii="FbFrankReal" w:hAnsi="FbFrankReal" w:cs="FbFrankReal"/>
          <w:sz w:val="24"/>
          <w:szCs w:val="24"/>
          <w:rtl/>
        </w:rPr>
        <w:t xml:space="preserve"> בתורה' דייקא, וההגדרה של 'ילחם מלחמות ה'' הוא, ש'בחזקת משיח' יושב </w:t>
      </w:r>
      <w:r w:rsidRPr="00657259">
        <w:rPr>
          <w:rFonts w:ascii="FbFrankReal" w:hAnsi="FbFrankReal" w:cs="FbFrankReal"/>
          <w:b/>
          <w:bCs/>
          <w:sz w:val="24"/>
          <w:szCs w:val="24"/>
          <w:rtl/>
        </w:rPr>
        <w:t>והוגה בתורה כמו דוד המלך כנ"ל</w:t>
      </w:r>
      <w:r w:rsidRPr="00657259">
        <w:rPr>
          <w:rFonts w:ascii="FbFrankReal" w:hAnsi="FbFrankReal" w:cs="FbFrankReal"/>
          <w:sz w:val="24"/>
          <w:szCs w:val="24"/>
          <w:rtl/>
        </w:rPr>
        <w:t>. ומטרת ה'מלחמות ה'' הוא "כדי שיהיו פנויין בתורה ובחכמתה ולא יהי' להם נוגש ומבטל" (לשון הרמב"ם שם פי"ב ה"ד) - "ועיקרה של מלחמה זו אינה בשביל כיבוש ארץ ישראל", כמ"ש בלקוטי שיחות' חלק כד (ע' 19 הערה 58).</w:t>
      </w:r>
    </w:p>
    <w:p w14:paraId="0D764684"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והשתא א"ש מדוע נאמר בפסוק דוקא גבי </w:t>
      </w:r>
      <w:r w:rsidRPr="00657259">
        <w:rPr>
          <w:rFonts w:ascii="FbFrankReal" w:hAnsi="FbFrankReal" w:cs="FbFrankReal"/>
          <w:b/>
          <w:bCs/>
          <w:sz w:val="24"/>
          <w:szCs w:val="24"/>
          <w:rtl/>
        </w:rPr>
        <w:t>'תורתו' -</w:t>
      </w:r>
      <w:r w:rsidRPr="00657259">
        <w:rPr>
          <w:rFonts w:ascii="FbFrankReal" w:hAnsi="FbFrankReal" w:cs="FbFrankReal"/>
          <w:sz w:val="24"/>
          <w:szCs w:val="24"/>
          <w:rtl/>
        </w:rPr>
        <w:t xml:space="preserve"> </w:t>
      </w:r>
      <w:r w:rsidRPr="00657259">
        <w:rPr>
          <w:rFonts w:ascii="FbFrankReal" w:hAnsi="FbFrankReal" w:cs="FbFrankReal"/>
          <w:b/>
          <w:bCs/>
          <w:sz w:val="24"/>
          <w:szCs w:val="24"/>
          <w:rtl/>
        </w:rPr>
        <w:t>תושבע"פ</w:t>
      </w:r>
      <w:r w:rsidRPr="00657259">
        <w:rPr>
          <w:rFonts w:ascii="FbFrankReal" w:hAnsi="FbFrankReal" w:cs="FbFrankReal"/>
          <w:sz w:val="24"/>
          <w:szCs w:val="24"/>
          <w:rtl/>
        </w:rPr>
        <w:t xml:space="preserve"> </w:t>
      </w:r>
      <w:r w:rsidRPr="00657259">
        <w:rPr>
          <w:rFonts w:ascii="FbFrankReal" w:hAnsi="FbFrankReal" w:cs="FbFrankReal"/>
          <w:b/>
          <w:bCs/>
          <w:sz w:val="24"/>
          <w:szCs w:val="24"/>
          <w:rtl/>
        </w:rPr>
        <w:t>"יהגה</w:t>
      </w:r>
      <w:r w:rsidRPr="00657259">
        <w:rPr>
          <w:rFonts w:ascii="FbFrankReal" w:hAnsi="FbFrankReal" w:cs="FbFrankReal"/>
          <w:sz w:val="24"/>
          <w:szCs w:val="24"/>
          <w:rtl/>
        </w:rPr>
        <w:t xml:space="preserve"> יומם ולילה" - כי הגיון ["יעיין בתלמודו לדמות מילתא למילתא, להקשות ולתרץ - רש"י" - דהיינו לחדש חידושי תורה] שייך דייקא לתושבע"פ בלבד כנ"ל, משא"כ גדרו של לימוד תושב"כ הוא כמ"ש רבנו הזקן נ"ע ב'הלכות תלמוד תורה' (פ"ב הי"ב):</w:t>
      </w:r>
    </w:p>
    <w:p w14:paraId="0D7BFFC3" w14:textId="77777777" w:rsidR="00657259" w:rsidRPr="00657259" w:rsidRDefault="00657259" w:rsidP="00657259">
      <w:pPr>
        <w:bidi/>
        <w:spacing w:line="276" w:lineRule="auto"/>
        <w:ind w:firstLine="720"/>
        <w:jc w:val="both"/>
        <w:rPr>
          <w:rFonts w:ascii="FbFrankReal" w:hAnsi="FbFrankReal" w:cs="FbFrankReal"/>
          <w:b/>
          <w:bCs/>
          <w:sz w:val="24"/>
          <w:szCs w:val="24"/>
          <w:rtl/>
        </w:rPr>
      </w:pPr>
      <w:r w:rsidRPr="00657259">
        <w:rPr>
          <w:rFonts w:ascii="FbFrankReal" w:hAnsi="FbFrankReal" w:cs="FbFrankReal"/>
          <w:sz w:val="24"/>
          <w:szCs w:val="24"/>
          <w:rtl/>
        </w:rPr>
        <w:t>"וכל אדם צריך ליזהר להוציא בשפתיו ולהשמיע לאזניו</w:t>
      </w:r>
      <w:r w:rsidRPr="00657259">
        <w:rPr>
          <w:rFonts w:ascii="Cambria" w:hAnsi="Cambria" w:cs="Cambria"/>
          <w:sz w:val="24"/>
          <w:szCs w:val="24"/>
        </w:rPr>
        <w:t> </w:t>
      </w:r>
      <w:r w:rsidRPr="00657259">
        <w:rPr>
          <w:rFonts w:ascii="FbFrankReal" w:hAnsi="FbFrankReal" w:cs="FbFrankReal"/>
          <w:sz w:val="24"/>
          <w:szCs w:val="24"/>
          <w:rtl/>
        </w:rPr>
        <w:t>כל מה שלומד בין במקרא משנה ותלמוד</w:t>
      </w:r>
      <w:r w:rsidRPr="00657259">
        <w:rPr>
          <w:rFonts w:ascii="Cambria" w:hAnsi="Cambria" w:cs="Cambria"/>
          <w:sz w:val="24"/>
          <w:szCs w:val="24"/>
        </w:rPr>
        <w:t> </w:t>
      </w:r>
      <w:r w:rsidRPr="00657259">
        <w:rPr>
          <w:rFonts w:ascii="FbFrankReal" w:hAnsi="FbFrankReal" w:cs="FbFrankReal"/>
          <w:sz w:val="24"/>
          <w:szCs w:val="24"/>
          <w:rtl/>
        </w:rPr>
        <w:t>אלא אם כן בשעת עיון להבין דבר מתוך דבר</w:t>
      </w:r>
      <w:r w:rsidRPr="00657259">
        <w:rPr>
          <w:rFonts w:ascii="Cambria" w:hAnsi="Cambria" w:cs="Cambria"/>
          <w:sz w:val="24"/>
          <w:szCs w:val="24"/>
        </w:rPr>
        <w:t> </w:t>
      </w:r>
      <w:r w:rsidRPr="00657259">
        <w:rPr>
          <w:rFonts w:ascii="FbFrankReal" w:hAnsi="FbFrankReal" w:cs="FbFrankReal"/>
          <w:sz w:val="24"/>
          <w:szCs w:val="24"/>
          <w:rtl/>
        </w:rPr>
        <w:t>וכל מה שלומד בהרהור לבד ואפשר לו להוציא בשפתיו</w:t>
      </w:r>
      <w:r w:rsidRPr="00657259">
        <w:rPr>
          <w:rFonts w:ascii="FbFrankReal" w:hAnsi="FbFrankReal" w:cs="FbFrankReal"/>
          <w:sz w:val="24"/>
          <w:szCs w:val="24"/>
        </w:rPr>
        <w:t xml:space="preserve"> </w:t>
      </w:r>
      <w:r w:rsidRPr="00657259">
        <w:rPr>
          <w:rFonts w:ascii="FbFrankReal" w:hAnsi="FbFrankReal" w:cs="FbFrankReal"/>
          <w:sz w:val="24"/>
          <w:szCs w:val="24"/>
          <w:rtl/>
        </w:rPr>
        <w:t>ואינו מוציא אינו יוצא בלימוד זה</w:t>
      </w:r>
      <w:r w:rsidRPr="00657259">
        <w:rPr>
          <w:rFonts w:ascii="Cambria" w:hAnsi="Cambria" w:cs="Cambria"/>
          <w:sz w:val="24"/>
          <w:szCs w:val="24"/>
        </w:rPr>
        <w:t> </w:t>
      </w:r>
      <w:r w:rsidRPr="00657259">
        <w:rPr>
          <w:rFonts w:ascii="FbFrankReal" w:hAnsi="FbFrankReal" w:cs="FbFrankReal"/>
          <w:sz w:val="24"/>
          <w:szCs w:val="24"/>
          <w:rtl/>
        </w:rPr>
        <w:t>ידי חובת מצות ולמדתם אותם וכמ"ש</w:t>
      </w:r>
      <w:r w:rsidRPr="00657259">
        <w:rPr>
          <w:rFonts w:ascii="Cambria" w:hAnsi="Cambria" w:cs="Cambria"/>
          <w:sz w:val="24"/>
          <w:szCs w:val="24"/>
        </w:rPr>
        <w:t> </w:t>
      </w:r>
      <w:r w:rsidRPr="00657259">
        <w:rPr>
          <w:rFonts w:ascii="FbFrankReal" w:hAnsi="FbFrankReal" w:cs="FbFrankReal"/>
          <w:sz w:val="24"/>
          <w:szCs w:val="24"/>
          <w:rtl/>
        </w:rPr>
        <w:t>לא ימוש ספר התורה הזה מפיך והגית בו וגו' וכמו בכל המצות התלויות בדבור שאינו יוצא בהן ידי חובתו בהרהור</w:t>
      </w:r>
      <w:r w:rsidRPr="00657259">
        <w:rPr>
          <w:rFonts w:ascii="Cambria" w:hAnsi="Cambria" w:cs="Cambria"/>
          <w:sz w:val="24"/>
          <w:szCs w:val="24"/>
        </w:rPr>
        <w:t> </w:t>
      </w:r>
      <w:r w:rsidRPr="00657259">
        <w:rPr>
          <w:rFonts w:ascii="FbFrankReal" w:hAnsi="FbFrankReal" w:cs="FbFrankReal"/>
          <w:sz w:val="24"/>
          <w:szCs w:val="24"/>
          <w:rtl/>
        </w:rPr>
        <w:t>אלא אם כן שומע מפי המדבר שהשומע כעונה בפיו</w:t>
      </w:r>
      <w:r w:rsidRPr="00657259">
        <w:rPr>
          <w:rFonts w:ascii="FbFrankReal" w:hAnsi="FbFrankReal" w:cs="FbFrankReal"/>
          <w:sz w:val="24"/>
          <w:szCs w:val="24"/>
        </w:rPr>
        <w:t>.</w:t>
      </w:r>
      <w:r w:rsidRPr="00657259">
        <w:rPr>
          <w:rFonts w:ascii="FbFrankReal" w:hAnsi="FbFrankReal" w:cs="FbFrankReal"/>
          <w:sz w:val="24"/>
          <w:szCs w:val="24"/>
          <w:rtl/>
        </w:rPr>
        <w:t xml:space="preserve"> </w:t>
      </w:r>
      <w:r w:rsidRPr="00657259">
        <w:rPr>
          <w:rFonts w:ascii="FbFrankReal" w:hAnsi="FbFrankReal" w:cs="FbFrankReal"/>
          <w:b/>
          <w:bCs/>
          <w:sz w:val="24"/>
          <w:szCs w:val="24"/>
          <w:rtl/>
        </w:rPr>
        <w:t xml:space="preserve">אך אם מוציא בשפתיו אף על פי שאינו מבין אפילו </w:t>
      </w:r>
      <w:r w:rsidRPr="00657259">
        <w:rPr>
          <w:rFonts w:ascii="FbFrankReal" w:hAnsi="FbFrankReal" w:cs="FbFrankReal"/>
          <w:b/>
          <w:bCs/>
          <w:sz w:val="24"/>
          <w:szCs w:val="24"/>
          <w:rtl/>
        </w:rPr>
        <w:lastRenderedPageBreak/>
        <w:t>פירוש המלות מפני שהוא עם הארץ הרי זה מקיים מצות ולמדתם ולפיכך כל עם הארץ מברך ברכת התורה בשחר לפני הפסוקים</w:t>
      </w:r>
      <w:r w:rsidRPr="00657259">
        <w:rPr>
          <w:rFonts w:ascii="Cambria" w:hAnsi="Cambria" w:cs="Cambria"/>
          <w:b/>
          <w:bCs/>
          <w:sz w:val="24"/>
          <w:szCs w:val="24"/>
        </w:rPr>
        <w:t> </w:t>
      </w:r>
      <w:r w:rsidRPr="00657259">
        <w:rPr>
          <w:rFonts w:ascii="FbFrankReal" w:hAnsi="FbFrankReal" w:cs="FbFrankReal"/>
          <w:b/>
          <w:bCs/>
          <w:sz w:val="24"/>
          <w:szCs w:val="24"/>
          <w:rtl/>
        </w:rPr>
        <w:t xml:space="preserve">וכן כשעולה לספר תורה". </w:t>
      </w:r>
    </w:p>
    <w:p w14:paraId="690F8C17"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וממשיך בהי"ג:</w:t>
      </w:r>
      <w:r w:rsidRPr="00657259">
        <w:rPr>
          <w:rFonts w:ascii="FbFrankReal" w:eastAsia="Times New Roman" w:hAnsi="FbFrankReal" w:cs="FbFrankReal"/>
          <w:b/>
          <w:bCs/>
          <w:color w:val="555555"/>
          <w:sz w:val="24"/>
          <w:szCs w:val="24"/>
          <w:rtl/>
        </w:rPr>
        <w:t xml:space="preserve"> </w:t>
      </w:r>
      <w:r w:rsidRPr="00657259">
        <w:rPr>
          <w:rFonts w:ascii="FbFrankReal" w:hAnsi="FbFrankReal" w:cs="FbFrankReal"/>
          <w:b/>
          <w:bCs/>
          <w:sz w:val="24"/>
          <w:szCs w:val="24"/>
          <w:rtl/>
        </w:rPr>
        <w:t>"</w:t>
      </w:r>
      <w:r w:rsidRPr="00657259">
        <w:rPr>
          <w:rFonts w:ascii="FbFrankReal" w:hAnsi="FbFrankReal" w:cs="FbFrankReal"/>
          <w:sz w:val="24"/>
          <w:szCs w:val="24"/>
          <w:rtl/>
        </w:rPr>
        <w:t xml:space="preserve">במה דברים אמורים </w:t>
      </w:r>
      <w:r w:rsidRPr="00657259">
        <w:rPr>
          <w:rFonts w:ascii="FbFrankReal" w:hAnsi="FbFrankReal" w:cs="FbFrankReal"/>
          <w:b/>
          <w:bCs/>
          <w:sz w:val="24"/>
          <w:szCs w:val="24"/>
          <w:rtl/>
        </w:rPr>
        <w:t>בתורה שבכתב</w:t>
      </w:r>
      <w:r w:rsidRPr="00657259">
        <w:rPr>
          <w:rFonts w:ascii="Cambria" w:hAnsi="Cambria" w:cs="Cambria"/>
          <w:b/>
          <w:bCs/>
          <w:sz w:val="24"/>
          <w:szCs w:val="24"/>
        </w:rPr>
        <w:t> </w:t>
      </w:r>
      <w:r w:rsidRPr="00657259">
        <w:rPr>
          <w:rFonts w:ascii="FbFrankReal" w:hAnsi="FbFrankReal" w:cs="FbFrankReal"/>
          <w:b/>
          <w:bCs/>
          <w:sz w:val="24"/>
          <w:szCs w:val="24"/>
          <w:rtl/>
        </w:rPr>
        <w:t>אבל בתורה שבע"פ אם אינו מבין הפירוש אינו נחשב לימוד כלל</w:t>
      </w:r>
      <w:r w:rsidRPr="00657259">
        <w:rPr>
          <w:rFonts w:ascii="FbFrankReal" w:hAnsi="FbFrankReal" w:cs="FbFrankReal"/>
          <w:b/>
          <w:bCs/>
          <w:sz w:val="24"/>
          <w:szCs w:val="24"/>
        </w:rPr>
        <w:t>.</w:t>
      </w:r>
      <w:r w:rsidRPr="00657259">
        <w:rPr>
          <w:rFonts w:ascii="FbFrankReal" w:hAnsi="FbFrankReal" w:cs="FbFrankReal"/>
          <w:b/>
          <w:bCs/>
          <w:sz w:val="24"/>
          <w:szCs w:val="24"/>
          <w:rtl/>
        </w:rPr>
        <w:t xml:space="preserve"> </w:t>
      </w:r>
      <w:r w:rsidRPr="00657259">
        <w:rPr>
          <w:rFonts w:ascii="FbFrankReal" w:hAnsi="FbFrankReal" w:cs="FbFrankReal"/>
          <w:sz w:val="24"/>
          <w:szCs w:val="24"/>
          <w:rtl/>
        </w:rPr>
        <w:t>ואף על פי כן יש לאדם לעסוק בכל התורה גם בדברים שלא יוכל להבין</w:t>
      </w:r>
      <w:r w:rsidRPr="00657259">
        <w:rPr>
          <w:rFonts w:ascii="Cambria" w:hAnsi="Cambria" w:cs="Cambria"/>
          <w:sz w:val="24"/>
          <w:szCs w:val="24"/>
        </w:rPr>
        <w:t> </w:t>
      </w:r>
      <w:r w:rsidRPr="00657259">
        <w:rPr>
          <w:rFonts w:ascii="FbFrankReal" w:hAnsi="FbFrankReal" w:cs="FbFrankReal"/>
          <w:sz w:val="24"/>
          <w:szCs w:val="24"/>
          <w:rtl/>
        </w:rPr>
        <w:t>ולעתיד לבא יזכה להבין ולהשיג כל התורה שעסק בה בעולם הזה ולא השיגה מקוצר דעתו". הרי שהגיון של תורה שייך בעיקר בתושבע"פ.</w:t>
      </w:r>
    </w:p>
    <w:p w14:paraId="147E4DA9" w14:textId="77777777" w:rsidR="00657259" w:rsidRP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בד"ה באתי לגני תשל"ב (סי"א) נאמר: "</w:t>
      </w:r>
      <w:r w:rsidRPr="00657259">
        <w:rPr>
          <w:rFonts w:ascii="FbFrankReal" w:hAnsi="FbFrankReal" w:cs="FbFrankReal"/>
          <w:b/>
          <w:bCs/>
          <w:sz w:val="24"/>
          <w:szCs w:val="24"/>
          <w:rtl/>
        </w:rPr>
        <w:t xml:space="preserve">וחפץ הוא </w:t>
      </w:r>
      <w:bookmarkStart w:id="194" w:name="_Hlk73550034"/>
      <w:r w:rsidRPr="00657259">
        <w:rPr>
          <w:rFonts w:ascii="FbFrankReal" w:hAnsi="FbFrankReal" w:cs="FbFrankReal"/>
          <w:b/>
          <w:bCs/>
          <w:sz w:val="24"/>
          <w:szCs w:val="24"/>
          <w:rtl/>
        </w:rPr>
        <w:t>פנימיות הרצון,</w:t>
      </w:r>
      <w:r w:rsidRPr="00657259">
        <w:rPr>
          <w:rFonts w:ascii="FbFrankReal" w:hAnsi="FbFrankReal" w:cs="FbFrankReal"/>
          <w:sz w:val="24"/>
          <w:szCs w:val="24"/>
          <w:rtl/>
        </w:rPr>
        <w:t xml:space="preserve"> </w:t>
      </w:r>
      <w:bookmarkEnd w:id="194"/>
      <w:r w:rsidRPr="00657259">
        <w:rPr>
          <w:rFonts w:ascii="FbFrankReal" w:hAnsi="FbFrankReal" w:cs="FbFrankReal"/>
          <w:sz w:val="24"/>
          <w:szCs w:val="24"/>
          <w:rtl/>
        </w:rPr>
        <w:t xml:space="preserve">כי רצון יש לו גם </w:t>
      </w:r>
      <w:r w:rsidRPr="00657259">
        <w:rPr>
          <w:rFonts w:ascii="FbFrankReal" w:hAnsi="FbFrankReal" w:cs="FbFrankReal"/>
          <w:b/>
          <w:bCs/>
          <w:sz w:val="24"/>
          <w:szCs w:val="24"/>
          <w:rtl/>
        </w:rPr>
        <w:t xml:space="preserve">בהגילוים דסדר ההשתלשלות, </w:t>
      </w:r>
      <w:r w:rsidRPr="00657259">
        <w:rPr>
          <w:rFonts w:ascii="FbFrankReal" w:hAnsi="FbFrankReal" w:cs="FbFrankReal"/>
          <w:sz w:val="24"/>
          <w:szCs w:val="24"/>
          <w:rtl/>
        </w:rPr>
        <w:t xml:space="preserve">אלא </w:t>
      </w:r>
      <w:r w:rsidRPr="00657259">
        <w:rPr>
          <w:rFonts w:ascii="FbFrankReal" w:hAnsi="FbFrankReal" w:cs="FbFrankReal"/>
          <w:b/>
          <w:bCs/>
          <w:sz w:val="24"/>
          <w:szCs w:val="24"/>
          <w:rtl/>
        </w:rPr>
        <w:t>שהחפץ שלו - פנימיות הרצון</w:t>
      </w:r>
      <w:r w:rsidRPr="00657259">
        <w:rPr>
          <w:rFonts w:ascii="FbFrankReal" w:hAnsi="FbFrankReal" w:cs="FbFrankReal"/>
          <w:sz w:val="24"/>
          <w:szCs w:val="24"/>
          <w:rtl/>
        </w:rPr>
        <w:t xml:space="preserve"> </w:t>
      </w:r>
      <w:r w:rsidRPr="00657259">
        <w:rPr>
          <w:rFonts w:ascii="FbFrankReal" w:hAnsi="FbFrankReal" w:cs="FbFrankReal"/>
          <w:b/>
          <w:bCs/>
          <w:sz w:val="24"/>
          <w:szCs w:val="24"/>
          <w:rtl/>
        </w:rPr>
        <w:t>הוא בעצמות אוא"ס</w:t>
      </w:r>
      <w:r w:rsidRPr="00657259">
        <w:rPr>
          <w:rFonts w:ascii="FbFrankReal" w:hAnsi="FbFrankReal" w:cs="FbFrankReal"/>
          <w:sz w:val="24"/>
          <w:szCs w:val="24"/>
          <w:rtl/>
        </w:rPr>
        <w:t xml:space="preserve">. וזהו הדיוק למה אומר דוקא </w:t>
      </w:r>
      <w:r w:rsidRPr="00657259">
        <w:rPr>
          <w:rFonts w:ascii="FbFrankReal" w:hAnsi="FbFrankReal" w:cs="FbFrankReal"/>
          <w:b/>
          <w:bCs/>
          <w:sz w:val="24"/>
          <w:szCs w:val="24"/>
          <w:rtl/>
        </w:rPr>
        <w:t>'ועמך לא חפצתי', ולא לא רציתי</w:t>
      </w:r>
      <w:r w:rsidRPr="00657259">
        <w:rPr>
          <w:rFonts w:ascii="FbFrankReal" w:hAnsi="FbFrankReal" w:cs="FbFrankReal"/>
          <w:sz w:val="24"/>
          <w:szCs w:val="24"/>
          <w:rtl/>
        </w:rPr>
        <w:t>".</w:t>
      </w:r>
    </w:p>
    <w:p w14:paraId="4C76172C" w14:textId="0C21E77E" w:rsidR="00657259" w:rsidRDefault="00657259" w:rsidP="00657259">
      <w:pPr>
        <w:bidi/>
        <w:spacing w:line="276" w:lineRule="auto"/>
        <w:ind w:firstLine="720"/>
        <w:jc w:val="both"/>
        <w:rPr>
          <w:rFonts w:ascii="FbFrankReal" w:hAnsi="FbFrankReal" w:cs="FbFrankReal"/>
          <w:sz w:val="24"/>
          <w:szCs w:val="24"/>
          <w:rtl/>
        </w:rPr>
      </w:pPr>
      <w:r w:rsidRPr="00657259">
        <w:rPr>
          <w:rFonts w:ascii="FbFrankReal" w:hAnsi="FbFrankReal" w:cs="FbFrankReal"/>
          <w:sz w:val="24"/>
          <w:szCs w:val="24"/>
          <w:rtl/>
        </w:rPr>
        <w:t xml:space="preserve">ועפ"ז יבואר מדוע גבי </w:t>
      </w:r>
      <w:r w:rsidRPr="00657259">
        <w:rPr>
          <w:rFonts w:ascii="FbFrankReal" w:hAnsi="FbFrankReal" w:cs="FbFrankReal"/>
          <w:b/>
          <w:bCs/>
          <w:sz w:val="24"/>
          <w:szCs w:val="24"/>
          <w:rtl/>
        </w:rPr>
        <w:t>"תורת ה'"</w:t>
      </w:r>
      <w:r w:rsidRPr="00657259">
        <w:rPr>
          <w:rFonts w:ascii="FbFrankReal" w:hAnsi="FbFrankReal" w:cs="FbFrankReal"/>
          <w:sz w:val="24"/>
          <w:szCs w:val="24"/>
          <w:rtl/>
        </w:rPr>
        <w:t xml:space="preserve"> </w:t>
      </w:r>
      <w:r w:rsidRPr="00657259">
        <w:rPr>
          <w:rFonts w:ascii="FbFrankReal" w:hAnsi="FbFrankReal" w:cs="FbFrankReal"/>
          <w:b/>
          <w:bCs/>
          <w:sz w:val="24"/>
          <w:szCs w:val="24"/>
          <w:rtl/>
        </w:rPr>
        <w:t>- תושב"כ</w:t>
      </w:r>
      <w:r w:rsidRPr="00657259">
        <w:rPr>
          <w:rFonts w:ascii="FbFrankReal" w:hAnsi="FbFrankReal" w:cs="FbFrankReal"/>
          <w:sz w:val="24"/>
          <w:szCs w:val="24"/>
          <w:rtl/>
        </w:rPr>
        <w:t xml:space="preserve"> נאמר בפסוק </w:t>
      </w:r>
      <w:r w:rsidRPr="00657259">
        <w:rPr>
          <w:rFonts w:ascii="FbFrankReal" w:hAnsi="FbFrankReal" w:cs="FbFrankReal"/>
          <w:b/>
          <w:bCs/>
          <w:sz w:val="24"/>
          <w:szCs w:val="24"/>
          <w:rtl/>
        </w:rPr>
        <w:t>'חפץ'</w:t>
      </w:r>
      <w:r w:rsidRPr="00657259">
        <w:rPr>
          <w:rFonts w:ascii="FbFrankReal" w:hAnsi="FbFrankReal" w:cs="FbFrankReal"/>
          <w:sz w:val="24"/>
          <w:szCs w:val="24"/>
          <w:rtl/>
        </w:rPr>
        <w:t xml:space="preserve">. כי תושב"כ שייך לפנימיות הרצון </w:t>
      </w:r>
      <w:r w:rsidRPr="00657259">
        <w:rPr>
          <w:rFonts w:ascii="FbFrankReal" w:hAnsi="FbFrankReal" w:cs="FbFrankReal"/>
          <w:b/>
          <w:bCs/>
          <w:sz w:val="24"/>
          <w:szCs w:val="24"/>
          <w:rtl/>
        </w:rPr>
        <w:t>שהיא קבלת עול - 'כי תורה שבכתב הוא מופלא ומכוסה טמיר ונעלם ואינו מתגלה אלא בתורה שבע"פ</w:t>
      </w:r>
      <w:r w:rsidRPr="00657259">
        <w:rPr>
          <w:rFonts w:ascii="FbFrankReal" w:hAnsi="FbFrankReal" w:cs="FbFrankReal"/>
          <w:sz w:val="24"/>
          <w:szCs w:val="24"/>
          <w:rtl/>
        </w:rPr>
        <w:t>', ואין שם הרצון הגלוי והעונג כמו שיש בתושבע"פ, וא"ש.</w:t>
      </w:r>
    </w:p>
    <w:p w14:paraId="0F8DC05A" w14:textId="46C0EB56" w:rsidR="00657259" w:rsidRPr="0072178A" w:rsidRDefault="0072178A" w:rsidP="00492226">
      <w:pPr>
        <w:pStyle w:val="M"/>
        <w:rPr>
          <w:rtl/>
        </w:rPr>
      </w:pPr>
      <w:r>
        <w:rPr>
          <w:noProof/>
        </w:rPr>
        <w:drawing>
          <wp:inline distT="0" distB="0" distL="0" distR="0" wp14:anchorId="7609485E" wp14:editId="5D2A222D">
            <wp:extent cx="875763" cy="23404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C18FA36" w14:textId="77777777" w:rsidR="00657259" w:rsidRPr="00F31BF5" w:rsidRDefault="00657259" w:rsidP="00657259">
      <w:pPr>
        <w:pStyle w:val="a0"/>
        <w:rPr>
          <w:rFonts w:ascii="Times New Roman" w:hAnsi="Times New Roman" w:cs="Times New Roman"/>
          <w:sz w:val="24"/>
          <w:szCs w:val="24"/>
        </w:rPr>
      </w:pPr>
      <w:r w:rsidRPr="00F31BF5">
        <w:rPr>
          <w:rFonts w:ascii="Cambria" w:hAnsi="Cambria" w:cs="Cambria" w:hint="cs"/>
          <w:rtl/>
        </w:rPr>
        <w:t> </w:t>
      </w:r>
      <w:bookmarkStart w:id="195" w:name="_Toc81540441"/>
      <w:r w:rsidRPr="00F31BF5">
        <w:rPr>
          <w:rFonts w:hint="cs"/>
          <w:rtl/>
        </w:rPr>
        <w:t>להתפלל</w:t>
      </w:r>
      <w:r w:rsidRPr="00F31BF5">
        <w:rPr>
          <w:rtl/>
        </w:rPr>
        <w:t xml:space="preserve"> </w:t>
      </w:r>
      <w:r w:rsidRPr="00F31BF5">
        <w:rPr>
          <w:rFonts w:hint="cs"/>
          <w:rtl/>
        </w:rPr>
        <w:t>על</w:t>
      </w:r>
      <w:r w:rsidRPr="00F31BF5">
        <w:rPr>
          <w:rtl/>
        </w:rPr>
        <w:t xml:space="preserve"> </w:t>
      </w:r>
      <w:r w:rsidRPr="00F31BF5">
        <w:rPr>
          <w:rFonts w:hint="cs"/>
          <w:rtl/>
        </w:rPr>
        <w:t>דברים</w:t>
      </w:r>
      <w:r w:rsidRPr="00F31BF5">
        <w:rPr>
          <w:rtl/>
        </w:rPr>
        <w:t xml:space="preserve"> </w:t>
      </w:r>
      <w:r w:rsidRPr="00F31BF5">
        <w:rPr>
          <w:rFonts w:hint="cs"/>
          <w:rtl/>
        </w:rPr>
        <w:t>ש</w:t>
      </w:r>
      <w:r w:rsidRPr="00F31BF5">
        <w:rPr>
          <w:rtl/>
        </w:rPr>
        <w:t>הם נגד הטבע</w:t>
      </w:r>
      <w:bookmarkEnd w:id="195"/>
    </w:p>
    <w:p w14:paraId="35AD5922" w14:textId="77777777" w:rsidR="00657259" w:rsidRPr="00F31BF5" w:rsidRDefault="00657259" w:rsidP="0046124A">
      <w:pPr>
        <w:pStyle w:val="a"/>
        <w:rPr>
          <w:rFonts w:ascii="Times New Roman" w:hAnsi="Times New Roman" w:cs="Times New Roman"/>
          <w:sz w:val="24"/>
          <w:szCs w:val="24"/>
        </w:rPr>
      </w:pPr>
      <w:bookmarkStart w:id="196" w:name="_Toc81540442"/>
      <w:r w:rsidRPr="00F31BF5">
        <w:rPr>
          <w:rtl/>
        </w:rPr>
        <w:t>הרה"ג גמליאל הכהן רבינוביץ שליט"א</w:t>
      </w:r>
      <w:bookmarkEnd w:id="196"/>
    </w:p>
    <w:p w14:paraId="7543C853" w14:textId="15B3D967" w:rsidR="00657259" w:rsidRPr="00657259" w:rsidRDefault="00657259" w:rsidP="00657259">
      <w:pPr>
        <w:pStyle w:val="a1"/>
        <w:rPr>
          <w:rFonts w:ascii="Times New Roman" w:hAnsi="Times New Roman" w:cs="Times New Roman"/>
          <w:sz w:val="24"/>
          <w:szCs w:val="24"/>
          <w:rtl/>
        </w:rPr>
      </w:pPr>
      <w:r w:rsidRPr="00F31BF5">
        <w:rPr>
          <w:rtl/>
        </w:rPr>
        <w:t>מח"ס "גם אני אודך"</w:t>
      </w:r>
    </w:p>
    <w:p w14:paraId="446908C5" w14:textId="77777777" w:rsidR="00657259" w:rsidRPr="00341C90" w:rsidRDefault="00657259" w:rsidP="00E60D97">
      <w:pPr>
        <w:pStyle w:val="a3"/>
      </w:pPr>
      <w:r w:rsidRPr="00341C90">
        <w:rPr>
          <w:rtl/>
        </w:rPr>
        <w:t>בפרשת כי תבוא כתוב: יצו ה' אתך את הברכה באסמיך ובכל משלח ידיך (דברים כ"ח, ח')</w:t>
      </w:r>
    </w:p>
    <w:p w14:paraId="0C8247B5" w14:textId="77777777" w:rsidR="00657259" w:rsidRPr="00657259" w:rsidRDefault="00657259" w:rsidP="00E60D97">
      <w:pPr>
        <w:pStyle w:val="a3"/>
        <w:rPr>
          <w:rtl/>
        </w:rPr>
      </w:pPr>
      <w:r w:rsidRPr="00657259">
        <w:rPr>
          <w:rtl/>
        </w:rPr>
        <w:t>בספר מרפסין איגרי בפרשתנו כתבו להקשות, וז"ל: במסכת בבא מציעא (מ"ב ע"א) מובא: "תנו רבנן: ההולך למוד את גרנו, אומר: יהי רצון מלפניך ה' אלוקינו שתשלח ברכה במעשה ידינו. התחיל למוד, אומר: ברוך השולח ברכה בכרי הזה. מדד ואחר כך בירך - הרי זה תפילת שוא, לפי שאין הברכה מצויה לא בדבר השקול ולא בדבר המדוד ולא בדבר המנוי, אלא בדבר הסמוי מן העין, שנאמר: 'יצו ה' אתך את הברכה באסמיך'".</w:t>
      </w:r>
    </w:p>
    <w:p w14:paraId="7D05B1EF" w14:textId="77777777" w:rsidR="00657259" w:rsidRPr="00657259" w:rsidRDefault="00657259" w:rsidP="00E60D97">
      <w:pPr>
        <w:pStyle w:val="a3"/>
        <w:rPr>
          <w:rtl/>
        </w:rPr>
      </w:pPr>
      <w:r w:rsidRPr="00657259">
        <w:rPr>
          <w:rtl/>
        </w:rPr>
        <w:t>מבואר בזה, כי כל זמן שאין הדבר ניכר לעין - יכול אדם לבקש ולהתפלל גם על דברים שהם נגד הטבע, כגון שמסאה אחת יהיו שני סאים.</w:t>
      </w:r>
    </w:p>
    <w:p w14:paraId="5E880D17" w14:textId="77777777" w:rsidR="00657259" w:rsidRPr="00657259" w:rsidRDefault="00657259" w:rsidP="00E60D97">
      <w:pPr>
        <w:pStyle w:val="a3"/>
        <w:rPr>
          <w:rtl/>
        </w:rPr>
      </w:pPr>
      <w:r w:rsidRPr="00657259">
        <w:rPr>
          <w:rtl/>
        </w:rPr>
        <w:t xml:space="preserve">קשה: במסכת ברכות (נ"ד ע"א) מובא: "הייתה אשתו מעוברת, ואומר: יהי רצון שתלד אשתי זכר - הרי זו תפילת שוא", לפי שאם אשתו מעוברת נקבה, הרי שהוא </w:t>
      </w:r>
      <w:r w:rsidRPr="00657259">
        <w:rPr>
          <w:rtl/>
        </w:rPr>
        <w:lastRenderedPageBreak/>
        <w:t>מתפלל על שינוי נגד הטבע.</w:t>
      </w:r>
    </w:p>
    <w:p w14:paraId="246B2185" w14:textId="77777777" w:rsidR="00657259" w:rsidRPr="00657259" w:rsidRDefault="00657259" w:rsidP="00E60D97">
      <w:pPr>
        <w:pStyle w:val="a3"/>
        <w:rPr>
          <w:rtl/>
        </w:rPr>
      </w:pPr>
      <w:r w:rsidRPr="00657259">
        <w:rPr>
          <w:rtl/>
        </w:rPr>
        <w:t>ועל אף שאין ניכר לעין אם היא מעוברת זכר או נקבה, מכל מקום "הרי זו תפילת שוא" לפי שהוא מתפלל על שינוי נגד הטבע.</w:t>
      </w:r>
    </w:p>
    <w:p w14:paraId="1EF7E5CE" w14:textId="43CFCFFD" w:rsidR="00657259" w:rsidRPr="00657259" w:rsidRDefault="00657259" w:rsidP="00E60D97">
      <w:pPr>
        <w:pStyle w:val="a3"/>
        <w:rPr>
          <w:rtl/>
        </w:rPr>
      </w:pPr>
      <w:r w:rsidRPr="00657259">
        <w:rPr>
          <w:rtl/>
        </w:rPr>
        <w:t>ואם כן, כיצד יכול אדם להתפלל שהתבואה תתרבה, והלא המתפלל על שינוי נגד הטבע - "הרי זו תפילת שוא" ? ע"כ.</w:t>
      </w:r>
    </w:p>
    <w:p w14:paraId="2737D239" w14:textId="2D9B8F74" w:rsidR="00657259" w:rsidRPr="00657259" w:rsidRDefault="00657259" w:rsidP="00E60D97">
      <w:pPr>
        <w:pStyle w:val="a3"/>
      </w:pPr>
      <w:r>
        <w:rPr>
          <w:rFonts w:hint="cs"/>
          <w:rtl/>
        </w:rPr>
        <w:t xml:space="preserve">א. </w:t>
      </w:r>
      <w:r w:rsidRPr="00657259">
        <w:rPr>
          <w:rtl/>
        </w:rPr>
        <w:t>תירצו שם בשם הרה"ג רבי ג. כהן שליט"א, וז"ל: המתפלל</w:t>
      </w:r>
      <w:r w:rsidRPr="00657259">
        <w:rPr>
          <w:rFonts w:ascii="Cambria" w:hAnsi="Cambria" w:cs="Cambria" w:hint="cs"/>
          <w:rtl/>
        </w:rPr>
        <w:t> </w:t>
      </w:r>
      <w:r w:rsidRPr="00657259">
        <w:rPr>
          <w:rtl/>
        </w:rPr>
        <w:t xml:space="preserve"> "</w:t>
      </w:r>
      <w:r w:rsidRPr="00657259">
        <w:rPr>
          <w:rFonts w:hint="cs"/>
          <w:rtl/>
        </w:rPr>
        <w:t>יהי</w:t>
      </w:r>
      <w:r w:rsidRPr="00657259">
        <w:rPr>
          <w:rtl/>
        </w:rPr>
        <w:t xml:space="preserve"> </w:t>
      </w:r>
      <w:r w:rsidRPr="00657259">
        <w:rPr>
          <w:rFonts w:hint="cs"/>
          <w:rtl/>
        </w:rPr>
        <w:t>רצון</w:t>
      </w:r>
      <w:r w:rsidRPr="00657259">
        <w:rPr>
          <w:rtl/>
        </w:rPr>
        <w:t xml:space="preserve"> </w:t>
      </w:r>
      <w:r w:rsidRPr="00657259">
        <w:rPr>
          <w:rFonts w:hint="cs"/>
          <w:rtl/>
        </w:rPr>
        <w:t>שתשלח</w:t>
      </w:r>
      <w:r w:rsidRPr="00657259">
        <w:rPr>
          <w:rtl/>
        </w:rPr>
        <w:t xml:space="preserve"> </w:t>
      </w:r>
      <w:r w:rsidRPr="00657259">
        <w:rPr>
          <w:rFonts w:hint="cs"/>
          <w:rtl/>
        </w:rPr>
        <w:t>ברכה</w:t>
      </w:r>
      <w:r w:rsidRPr="00657259">
        <w:rPr>
          <w:rtl/>
        </w:rPr>
        <w:t xml:space="preserve"> </w:t>
      </w:r>
      <w:r w:rsidRPr="00657259">
        <w:rPr>
          <w:rFonts w:hint="cs"/>
          <w:rtl/>
        </w:rPr>
        <w:t>במעשה</w:t>
      </w:r>
      <w:r w:rsidRPr="00657259">
        <w:rPr>
          <w:rtl/>
        </w:rPr>
        <w:t xml:space="preserve"> </w:t>
      </w:r>
      <w:r w:rsidRPr="00657259">
        <w:rPr>
          <w:rFonts w:hint="cs"/>
          <w:rtl/>
        </w:rPr>
        <w:t>ידינו</w:t>
      </w:r>
      <w:r w:rsidRPr="00657259">
        <w:rPr>
          <w:rtl/>
        </w:rPr>
        <w:t xml:space="preserve">", </w:t>
      </w:r>
      <w:r w:rsidRPr="00657259">
        <w:rPr>
          <w:rFonts w:hint="cs"/>
          <w:rtl/>
        </w:rPr>
        <w:t>ושהכרי</w:t>
      </w:r>
      <w:r w:rsidRPr="00657259">
        <w:rPr>
          <w:rtl/>
        </w:rPr>
        <w:t xml:space="preserve"> </w:t>
      </w:r>
      <w:r w:rsidRPr="00657259">
        <w:rPr>
          <w:rFonts w:hint="cs"/>
          <w:rtl/>
        </w:rPr>
        <w:t>יתן</w:t>
      </w:r>
      <w:r w:rsidRPr="00657259">
        <w:rPr>
          <w:rtl/>
        </w:rPr>
        <w:t xml:space="preserve"> </w:t>
      </w:r>
      <w:r w:rsidRPr="00657259">
        <w:rPr>
          <w:rFonts w:hint="cs"/>
          <w:rtl/>
        </w:rPr>
        <w:t>כפול</w:t>
      </w:r>
      <w:r w:rsidRPr="00657259">
        <w:rPr>
          <w:rtl/>
        </w:rPr>
        <w:t xml:space="preserve"> </w:t>
      </w:r>
      <w:r w:rsidRPr="00657259">
        <w:rPr>
          <w:rFonts w:hint="cs"/>
          <w:rtl/>
        </w:rPr>
        <w:t>ממה</w:t>
      </w:r>
      <w:r w:rsidRPr="00657259">
        <w:rPr>
          <w:rtl/>
        </w:rPr>
        <w:t xml:space="preserve"> </w:t>
      </w:r>
      <w:r w:rsidRPr="00657259">
        <w:rPr>
          <w:rFonts w:hint="cs"/>
          <w:rtl/>
        </w:rPr>
        <w:t>שהוא</w:t>
      </w:r>
      <w:r w:rsidRPr="00657259">
        <w:rPr>
          <w:rtl/>
        </w:rPr>
        <w:t xml:space="preserve"> </w:t>
      </w:r>
      <w:r w:rsidRPr="00657259">
        <w:rPr>
          <w:rFonts w:hint="cs"/>
          <w:rtl/>
        </w:rPr>
        <w:t>עכשיו</w:t>
      </w:r>
      <w:r w:rsidRPr="00657259">
        <w:rPr>
          <w:rtl/>
        </w:rPr>
        <w:t xml:space="preserve">, </w:t>
      </w:r>
      <w:r w:rsidRPr="00657259">
        <w:rPr>
          <w:rFonts w:hint="cs"/>
          <w:rtl/>
        </w:rPr>
        <w:t>אף</w:t>
      </w:r>
      <w:r w:rsidRPr="00657259">
        <w:rPr>
          <w:rtl/>
        </w:rPr>
        <w:t xml:space="preserve"> </w:t>
      </w:r>
      <w:r w:rsidRPr="00657259">
        <w:rPr>
          <w:rFonts w:hint="cs"/>
          <w:rtl/>
        </w:rPr>
        <w:t>שהתרבות</w:t>
      </w:r>
      <w:r w:rsidRPr="00657259">
        <w:rPr>
          <w:rtl/>
        </w:rPr>
        <w:t xml:space="preserve"> </w:t>
      </w:r>
      <w:r w:rsidRPr="00657259">
        <w:rPr>
          <w:rFonts w:hint="cs"/>
          <w:rtl/>
        </w:rPr>
        <w:t>זו</w:t>
      </w:r>
      <w:r w:rsidRPr="00657259">
        <w:rPr>
          <w:rtl/>
        </w:rPr>
        <w:t xml:space="preserve"> </w:t>
      </w:r>
      <w:r w:rsidRPr="00657259">
        <w:rPr>
          <w:rFonts w:hint="cs"/>
          <w:rtl/>
        </w:rPr>
        <w:t>של</w:t>
      </w:r>
      <w:r w:rsidRPr="00657259">
        <w:rPr>
          <w:rtl/>
        </w:rPr>
        <w:t xml:space="preserve"> </w:t>
      </w:r>
      <w:r w:rsidRPr="00657259">
        <w:rPr>
          <w:rFonts w:hint="cs"/>
          <w:rtl/>
        </w:rPr>
        <w:t>תבואה</w:t>
      </w:r>
      <w:r w:rsidRPr="00657259">
        <w:rPr>
          <w:rtl/>
        </w:rPr>
        <w:t xml:space="preserve"> </w:t>
      </w:r>
      <w:r w:rsidRPr="00657259">
        <w:rPr>
          <w:rFonts w:hint="cs"/>
          <w:rtl/>
        </w:rPr>
        <w:t>היא</w:t>
      </w:r>
      <w:r w:rsidRPr="00657259">
        <w:rPr>
          <w:rtl/>
        </w:rPr>
        <w:t xml:space="preserve"> </w:t>
      </w:r>
      <w:r w:rsidRPr="00657259">
        <w:rPr>
          <w:rFonts w:hint="cs"/>
          <w:rtl/>
        </w:rPr>
        <w:t>בניגוד</w:t>
      </w:r>
      <w:r w:rsidRPr="00657259">
        <w:rPr>
          <w:rtl/>
        </w:rPr>
        <w:t xml:space="preserve"> </w:t>
      </w:r>
      <w:r w:rsidRPr="00657259">
        <w:rPr>
          <w:rFonts w:hint="cs"/>
          <w:rtl/>
        </w:rPr>
        <w:t>לטבע</w:t>
      </w:r>
      <w:r w:rsidRPr="00657259">
        <w:rPr>
          <w:rtl/>
        </w:rPr>
        <w:t xml:space="preserve">, </w:t>
      </w:r>
      <w:r w:rsidRPr="00657259">
        <w:rPr>
          <w:rFonts w:hint="cs"/>
          <w:rtl/>
        </w:rPr>
        <w:t>מכל</w:t>
      </w:r>
      <w:r w:rsidRPr="00657259">
        <w:rPr>
          <w:rtl/>
        </w:rPr>
        <w:t xml:space="preserve"> </w:t>
      </w:r>
      <w:r w:rsidRPr="00657259">
        <w:rPr>
          <w:rFonts w:hint="cs"/>
          <w:rtl/>
        </w:rPr>
        <w:t>מקום</w:t>
      </w:r>
      <w:r w:rsidRPr="00657259">
        <w:rPr>
          <w:rtl/>
        </w:rPr>
        <w:t>, זה הוא דבר שנעשה בעולם, ויש מקרים שהקדוש ברוך הוא הבטיח שתחול ברכה כזו בתבואה. וכגון בהבטחתו למי שיעשר את תבואתו, שהוא יתעשר ובתבואה שלו תהיה ברכה.</w:t>
      </w:r>
    </w:p>
    <w:p w14:paraId="2388AC00" w14:textId="77777777" w:rsidR="00657259" w:rsidRPr="00657259" w:rsidRDefault="00657259" w:rsidP="00E60D97">
      <w:pPr>
        <w:pStyle w:val="a3"/>
        <w:rPr>
          <w:rtl/>
        </w:rPr>
      </w:pPr>
      <w:r w:rsidRPr="00657259">
        <w:rPr>
          <w:rtl/>
        </w:rPr>
        <w:t>תפילה כזו אינה נחשבת ל"תפילת שוא", כיון שהיא תפילה על דבר שקורה בעולם, ואינו בגדר נס ממש. אלא שבכל זאת ברכה זו יכולה לחול רק בדבר הסמוי מן העין, ולא בדבר שקול או מדוד.</w:t>
      </w:r>
    </w:p>
    <w:p w14:paraId="4D3B46EE" w14:textId="77777777" w:rsidR="00657259" w:rsidRPr="00657259" w:rsidRDefault="00657259" w:rsidP="00E60D97">
      <w:pPr>
        <w:pStyle w:val="a3"/>
        <w:rPr>
          <w:rtl/>
        </w:rPr>
      </w:pPr>
      <w:r w:rsidRPr="00657259">
        <w:rPr>
          <w:rtl/>
        </w:rPr>
        <w:t>מה שאין כן, במתפלל על אשתו המעוברת שיהיה העובר זכר, נס זה לא מצאנו שהקדוש ברוך</w:t>
      </w:r>
      <w:r w:rsidRPr="00657259">
        <w:rPr>
          <w:rFonts w:hint="cs"/>
          <w:rtl/>
        </w:rPr>
        <w:t xml:space="preserve"> הוא</w:t>
      </w:r>
      <w:r w:rsidRPr="00657259">
        <w:rPr>
          <w:rtl/>
        </w:rPr>
        <w:t xml:space="preserve"> הנהיג אותו בעולמו, והרי זה מתפלל על דבר שמעולם לא קרה, ותפילתו "תפילת שוא". עכ"ל.</w:t>
      </w:r>
      <w:r w:rsidRPr="00657259">
        <w:rPr>
          <w:rFonts w:ascii="Cambria" w:hAnsi="Cambria" w:cs="Cambria" w:hint="cs"/>
          <w:rtl/>
        </w:rPr>
        <w:t> </w:t>
      </w:r>
    </w:p>
    <w:p w14:paraId="761CE483" w14:textId="3C1C3F08" w:rsidR="00657259" w:rsidRPr="00657259" w:rsidRDefault="00657259" w:rsidP="00E60D97">
      <w:pPr>
        <w:pStyle w:val="a3"/>
        <w:rPr>
          <w:rtl/>
        </w:rPr>
      </w:pPr>
      <w:r>
        <w:rPr>
          <w:rFonts w:hint="cs"/>
          <w:rtl/>
        </w:rPr>
        <w:t xml:space="preserve">ב. </w:t>
      </w:r>
      <w:r w:rsidRPr="00657259">
        <w:rPr>
          <w:rtl/>
        </w:rPr>
        <w:t>עוד י"ל בס"ד ע"פ השיטה שאיתא בירושלמי ברכות (פרק ט' הלכה ג') שאפשר כן להתפלל שאשתו תלד זכר, ואין ז</w:t>
      </w:r>
      <w:r w:rsidRPr="00657259">
        <w:rPr>
          <w:rFonts w:hint="cs"/>
          <w:rtl/>
        </w:rPr>
        <w:t>ה</w:t>
      </w:r>
      <w:r w:rsidRPr="00657259">
        <w:rPr>
          <w:rtl/>
        </w:rPr>
        <w:t xml:space="preserve"> תפילת שוא, כי אנחנו כחומר ביד היוצר. ע"ש.</w:t>
      </w:r>
    </w:p>
    <w:p w14:paraId="4D775D71" w14:textId="72110C91" w:rsidR="00657259" w:rsidRDefault="00657259" w:rsidP="00E60D97">
      <w:pPr>
        <w:pStyle w:val="a3"/>
        <w:rPr>
          <w:rtl/>
        </w:rPr>
      </w:pPr>
      <w:r w:rsidRPr="00657259">
        <w:rPr>
          <w:rtl/>
        </w:rPr>
        <w:br/>
        <w:t>ולפי זה לא קשה מידי. והבן.</w:t>
      </w:r>
    </w:p>
    <w:p w14:paraId="131C1E13" w14:textId="38BA7B12" w:rsidR="0072178A" w:rsidRPr="00657259" w:rsidRDefault="0072178A" w:rsidP="00492226">
      <w:pPr>
        <w:pStyle w:val="M"/>
        <w:rPr>
          <w:rtl/>
        </w:rPr>
      </w:pPr>
      <w:r>
        <w:rPr>
          <w:noProof/>
        </w:rPr>
        <w:drawing>
          <wp:inline distT="0" distB="0" distL="0" distR="0" wp14:anchorId="651035E8" wp14:editId="39F0F35A">
            <wp:extent cx="875763" cy="23404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7488898" w14:textId="77777777" w:rsidR="00657259" w:rsidRPr="00657259" w:rsidRDefault="00657259" w:rsidP="00E60D97">
      <w:pPr>
        <w:pStyle w:val="a3"/>
        <w:bidi w:val="0"/>
      </w:pPr>
    </w:p>
    <w:p w14:paraId="6963D776" w14:textId="77777777" w:rsidR="00657259" w:rsidRPr="00657259" w:rsidRDefault="00657259" w:rsidP="00E60D97">
      <w:pPr>
        <w:pStyle w:val="a3"/>
      </w:pPr>
    </w:p>
    <w:p w14:paraId="364DB9F6" w14:textId="77777777" w:rsidR="00657259" w:rsidRPr="00657259" w:rsidRDefault="00657259" w:rsidP="00E60D97">
      <w:pPr>
        <w:pStyle w:val="a3"/>
        <w:rPr>
          <w:rtl/>
        </w:rPr>
      </w:pPr>
    </w:p>
    <w:p w14:paraId="5EE3E204" w14:textId="77777777" w:rsidR="00657259" w:rsidRPr="00657259" w:rsidRDefault="00657259" w:rsidP="00E60D97">
      <w:pPr>
        <w:pStyle w:val="a3"/>
      </w:pPr>
    </w:p>
    <w:p w14:paraId="7DF5E86D" w14:textId="189FE9C0" w:rsidR="00C04AAB" w:rsidRPr="007D73B5" w:rsidRDefault="00C04AAB" w:rsidP="007D73B5">
      <w:pPr>
        <w:pStyle w:val="a3"/>
        <w:ind w:firstLine="0"/>
        <w:rPr>
          <w:rFonts w:eastAsia="Times New Roman"/>
          <w:rtl/>
        </w:rPr>
      </w:pPr>
    </w:p>
    <w:sectPr w:rsidR="00C04AAB" w:rsidRPr="007D73B5"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BF3E1" w14:textId="77777777" w:rsidR="00CE3412" w:rsidRDefault="00CE3412" w:rsidP="006D006C">
      <w:pPr>
        <w:spacing w:after="0" w:line="240" w:lineRule="auto"/>
      </w:pPr>
      <w:r>
        <w:separator/>
      </w:r>
    </w:p>
  </w:endnote>
  <w:endnote w:type="continuationSeparator" w:id="0">
    <w:p w14:paraId="4513AC51" w14:textId="77777777" w:rsidR="00CE3412" w:rsidRDefault="00CE3412"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NarkisTam">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FbVilna Bold">
    <w:panose1 w:val="02020803050405020304"/>
    <w:charset w:val="00"/>
    <w:family w:val="roman"/>
    <w:pitch w:val="variable"/>
    <w:sig w:usb0="80000827" w:usb1="50000000" w:usb2="00000000" w:usb3="00000000" w:csb0="00000021" w:csb1="00000000"/>
  </w:font>
  <w:font w:name="SimSun">
    <w:altName w:val="宋体"/>
    <w:panose1 w:val="02010600030101010101"/>
    <w:charset w:val="86"/>
    <w:family w:val="auto"/>
    <w:pitch w:val="variable"/>
    <w:sig w:usb0="00000003" w:usb1="288F0000" w:usb2="00000016" w:usb3="00000000" w:csb0="00040001" w:csb1="00000000"/>
  </w:font>
  <w:font w:name="SfaradyMedium">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37FDB" w14:textId="77777777" w:rsidR="00CE3412" w:rsidRPr="004F5980" w:rsidRDefault="00CE3412" w:rsidP="004F5980">
      <w:pPr>
        <w:pStyle w:val="Footer"/>
        <w:bidi/>
        <w:spacing w:after="40"/>
      </w:pPr>
      <w:r>
        <w:rPr>
          <w:rtl/>
        </w:rPr>
        <w:t>_________</w:t>
      </w:r>
    </w:p>
  </w:footnote>
  <w:footnote w:type="continuationSeparator" w:id="0">
    <w:p w14:paraId="1F27FE4B" w14:textId="77777777" w:rsidR="00CE3412" w:rsidRDefault="00CE3412" w:rsidP="00D422FF">
      <w:pPr>
        <w:pStyle w:val="Footer"/>
        <w:bidi/>
        <w:rPr>
          <w:rtl/>
        </w:rPr>
      </w:pPr>
      <w:r>
        <w:rPr>
          <w:rtl/>
        </w:rPr>
        <w:t>_________</w:t>
      </w:r>
    </w:p>
    <w:p w14:paraId="5C533A51" w14:textId="77777777" w:rsidR="00CE3412" w:rsidRPr="00D422FF" w:rsidRDefault="00CE3412" w:rsidP="00D422FF">
      <w:pPr>
        <w:pStyle w:val="Footer"/>
      </w:pPr>
    </w:p>
  </w:footnote>
  <w:footnote w:id="1">
    <w:p w14:paraId="12C44BD3" w14:textId="7BC6755A"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שבת לא, א.</w:t>
      </w:r>
    </w:p>
  </w:footnote>
  <w:footnote w:id="2">
    <w:p w14:paraId="0F9D8A63" w14:textId="77F738DE" w:rsidR="00304B8E" w:rsidRPr="00122C83" w:rsidRDefault="00304B8E" w:rsidP="00122C83">
      <w:pPr>
        <w:pStyle w:val="FootnoteText"/>
        <w:rPr>
          <w:rtl/>
        </w:rPr>
      </w:pPr>
      <w:r w:rsidRPr="00122C83">
        <w:rPr>
          <w:rStyle w:val="FootnoteReference"/>
          <w:vertAlign w:val="baseline"/>
        </w:rPr>
        <w:footnoteRef/>
      </w:r>
      <w:r>
        <w:rPr>
          <w:rFonts w:hint="cs"/>
          <w:rtl/>
        </w:rPr>
        <w:t>)</w:t>
      </w:r>
      <w:r>
        <w:rPr>
          <w:rFonts w:hint="cs"/>
        </w:rPr>
        <w:t xml:space="preserve"> </w:t>
      </w:r>
      <w:r w:rsidRPr="00122C83">
        <w:rPr>
          <w:rFonts w:hint="cs"/>
          <w:rtl/>
        </w:rPr>
        <w:t>הלכות מלכים רפי"א.</w:t>
      </w:r>
    </w:p>
  </w:footnote>
  <w:footnote w:id="3">
    <w:p w14:paraId="29D2BC4D" w14:textId="1E468841" w:rsidR="00304B8E" w:rsidRPr="00122C83" w:rsidRDefault="00304B8E" w:rsidP="00122C83">
      <w:pPr>
        <w:pStyle w:val="FootnoteText"/>
        <w:rPr>
          <w:rtl/>
        </w:rPr>
      </w:pPr>
      <w:r w:rsidRPr="00122C83">
        <w:rPr>
          <w:rStyle w:val="FootnoteReference"/>
          <w:vertAlign w:val="baseline"/>
        </w:rPr>
        <w:footnoteRef/>
      </w:r>
      <w:r>
        <w:rPr>
          <w:rFonts w:hint="cs"/>
          <w:rtl/>
        </w:rPr>
        <w:t>)</w:t>
      </w:r>
      <w:r>
        <w:rPr>
          <w:rFonts w:hint="cs"/>
        </w:rPr>
        <w:t xml:space="preserve"> </w:t>
      </w:r>
      <w:r w:rsidRPr="00122C83">
        <w:rPr>
          <w:rFonts w:hint="cs"/>
          <w:rtl/>
        </w:rPr>
        <w:t>וראה גם מה שליקט בזה הרב מ.ש. שי' בגליון א'נו, וגליון א'נח.</w:t>
      </w:r>
    </w:p>
  </w:footnote>
  <w:footnote w:id="4">
    <w:p w14:paraId="148EA2A1" w14:textId="7407F19E" w:rsidR="00304B8E" w:rsidRPr="00122C83" w:rsidRDefault="00304B8E" w:rsidP="00122C83">
      <w:pPr>
        <w:pStyle w:val="FootnoteText"/>
        <w:rPr>
          <w:rtl/>
        </w:rPr>
      </w:pPr>
      <w:r w:rsidRPr="00122C83">
        <w:rPr>
          <w:rStyle w:val="FootnoteReference"/>
          <w:vertAlign w:val="baseline"/>
        </w:rPr>
        <w:footnoteRef/>
      </w:r>
      <w:r>
        <w:rPr>
          <w:rFonts w:hint="cs"/>
          <w:rtl/>
        </w:rPr>
        <w:t>)</w:t>
      </w:r>
      <w:r>
        <w:rPr>
          <w:rFonts w:hint="cs"/>
        </w:rPr>
        <w:t xml:space="preserve"> </w:t>
      </w:r>
      <w:r w:rsidRPr="00122C83">
        <w:rPr>
          <w:rFonts w:hint="cs"/>
          <w:rtl/>
        </w:rPr>
        <w:t>כמבואר בארוכה בלקו"ש חכ"ח ע' 136.</w:t>
      </w:r>
    </w:p>
  </w:footnote>
  <w:footnote w:id="5">
    <w:p w14:paraId="3F01A6FF" w14:textId="70FFF63F"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 xml:space="preserve">וכן נמצא באתר </w:t>
      </w:r>
      <w:r w:rsidRPr="00122C83">
        <w:t>moshiachlinks.com</w:t>
      </w:r>
      <w:r w:rsidRPr="00122C83">
        <w:rPr>
          <w:rFonts w:hint="cs"/>
          <w:rtl/>
        </w:rPr>
        <w:t xml:space="preserve"> ב"ילקוט ביאורי מאמרי חז"ל על משיח",</w:t>
      </w:r>
      <w:r w:rsidRPr="00122C83">
        <w:rPr>
          <w:rFonts w:hint="cs"/>
        </w:rPr>
        <w:t xml:space="preserve"> </w:t>
      </w:r>
      <w:r w:rsidRPr="00122C83">
        <w:rPr>
          <w:rFonts w:hint="cs"/>
          <w:rtl/>
        </w:rPr>
        <w:t>על דברי הגמרא האלו.</w:t>
      </w:r>
    </w:p>
  </w:footnote>
  <w:footnote w:id="6">
    <w:p w14:paraId="3D705A6E" w14:textId="0DAD16BC"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נדה ו, ב.</w:t>
      </w:r>
    </w:p>
  </w:footnote>
  <w:footnote w:id="7">
    <w:p w14:paraId="1A4A06FA" w14:textId="3E4ED57B"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שבת יב ב. וראה יומא פ, ב.</w:t>
      </w:r>
    </w:p>
  </w:footnote>
  <w:footnote w:id="8">
    <w:p w14:paraId="24FA7692" w14:textId="295C66AD"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סנהדרין יא, א.</w:t>
      </w:r>
    </w:p>
  </w:footnote>
  <w:footnote w:id="9">
    <w:p w14:paraId="37A37909" w14:textId="0DFB9CDB" w:rsidR="00304B8E" w:rsidRPr="00122C83" w:rsidRDefault="00304B8E" w:rsidP="00122C83">
      <w:pPr>
        <w:pStyle w:val="FootnoteText"/>
        <w:rPr>
          <w:rtl/>
        </w:rPr>
      </w:pPr>
      <w:r w:rsidRPr="00122C83">
        <w:rPr>
          <w:rStyle w:val="FootnoteReference"/>
          <w:vertAlign w:val="baseline"/>
        </w:rPr>
        <w:footnoteRef/>
      </w:r>
      <w:r>
        <w:rPr>
          <w:rFonts w:hint="cs"/>
          <w:rtl/>
        </w:rPr>
        <w:t>)</w:t>
      </w:r>
      <w:r>
        <w:rPr>
          <w:rFonts w:hint="cs"/>
        </w:rPr>
        <w:t xml:space="preserve"> </w:t>
      </w:r>
      <w:r w:rsidRPr="00122C83">
        <w:rPr>
          <w:rFonts w:hint="cs"/>
          <w:rtl/>
        </w:rPr>
        <w:t>וראה גם שאילת יעב"ץ ח"א סי' פ"ט.</w:t>
      </w:r>
    </w:p>
  </w:footnote>
  <w:footnote w:id="10">
    <w:p w14:paraId="15671860" w14:textId="23D6462D" w:rsidR="00304B8E" w:rsidRPr="00122C83" w:rsidRDefault="00304B8E" w:rsidP="00122C83">
      <w:pPr>
        <w:pStyle w:val="FootnoteText"/>
        <w:rPr>
          <w:rtl/>
        </w:rPr>
      </w:pPr>
      <w:r w:rsidRPr="00122C83">
        <w:rPr>
          <w:rStyle w:val="FootnoteReference"/>
          <w:vertAlign w:val="baseline"/>
        </w:rPr>
        <w:footnoteRef/>
      </w:r>
      <w:r>
        <w:rPr>
          <w:rFonts w:hint="cs"/>
          <w:rtl/>
        </w:rPr>
        <w:t xml:space="preserve">) </w:t>
      </w:r>
      <w:r w:rsidRPr="00122C83">
        <w:rPr>
          <w:rFonts w:hint="cs"/>
          <w:rtl/>
        </w:rPr>
        <w:t>סוטה כ, א.</w:t>
      </w:r>
    </w:p>
  </w:footnote>
  <w:footnote w:id="11">
    <w:p w14:paraId="4E3E97A8" w14:textId="51672A7E" w:rsidR="00304B8E" w:rsidRPr="00631F2A" w:rsidRDefault="00304B8E" w:rsidP="0072178A">
      <w:pPr>
        <w:pStyle w:val="FootnoteText"/>
      </w:pPr>
      <w:r w:rsidRPr="00631F2A">
        <w:footnoteRef/>
      </w:r>
      <w:r>
        <w:rPr>
          <w:rFonts w:hint="cs"/>
          <w:rtl/>
        </w:rPr>
        <w:t xml:space="preserve">) </w:t>
      </w:r>
      <w:r w:rsidRPr="00631F2A">
        <w:rPr>
          <w:rtl/>
          <w:lang w:val="he-IL"/>
        </w:rPr>
        <w:t>מ</w:t>
      </w:r>
      <w:r w:rsidRPr="00631F2A">
        <w:rPr>
          <w:rtl/>
        </w:rPr>
        <w:t>.</w:t>
      </w:r>
      <w:r w:rsidRPr="00631F2A">
        <w:rPr>
          <w:rtl/>
          <w:lang w:val="he-IL"/>
        </w:rPr>
        <w:t>מ</w:t>
      </w:r>
      <w:r w:rsidRPr="00631F2A">
        <w:rPr>
          <w:rtl/>
        </w:rPr>
        <w:t>.</w:t>
      </w:r>
      <w:r w:rsidRPr="00631F2A">
        <w:rPr>
          <w:rtl/>
          <w:lang w:val="he-IL"/>
        </w:rPr>
        <w:t>ל</w:t>
      </w:r>
      <w:r w:rsidRPr="00631F2A">
        <w:rPr>
          <w:rtl/>
        </w:rPr>
        <w:t xml:space="preserve">. </w:t>
      </w:r>
      <w:r w:rsidRPr="00631F2A">
        <w:rPr>
          <w:rtl/>
          <w:lang w:val="he-IL"/>
        </w:rPr>
        <w:t>ב׳התקשרות׳</w:t>
      </w:r>
      <w:r w:rsidRPr="00631F2A">
        <w:rPr>
          <w:rtl/>
        </w:rPr>
        <w:t xml:space="preserve"> </w:t>
      </w:r>
      <w:r w:rsidRPr="00631F2A">
        <w:rPr>
          <w:rtl/>
          <w:lang w:val="he-IL"/>
        </w:rPr>
        <w:t>גיליון</w:t>
      </w:r>
      <w:r w:rsidRPr="00631F2A">
        <w:rPr>
          <w:rFonts w:ascii="Cambria" w:hAnsi="Cambria" w:cs="Cambria"/>
        </w:rPr>
        <w:t> </w:t>
      </w:r>
      <w:r w:rsidRPr="00631F2A">
        <w:t>692</w:t>
      </w:r>
      <w:r w:rsidRPr="00631F2A">
        <w:rPr>
          <w:rtl/>
          <w:lang w:val="he-IL"/>
        </w:rPr>
        <w:t>.</w:t>
      </w:r>
      <w:r w:rsidRPr="00631F2A">
        <w:rPr>
          <w:rtl/>
        </w:rPr>
        <w:t xml:space="preserve"> </w:t>
      </w:r>
    </w:p>
    <w:p w14:paraId="524CF31A" w14:textId="77777777" w:rsidR="00304B8E" w:rsidRPr="00631F2A" w:rsidRDefault="00304B8E" w:rsidP="0072178A">
      <w:pPr>
        <w:pStyle w:val="FootnoteText"/>
      </w:pPr>
      <w:r w:rsidRPr="00631F2A">
        <w:rPr>
          <w:rtl/>
          <w:lang w:val="he-IL"/>
        </w:rPr>
        <w:t>י</w:t>
      </w:r>
      <w:r w:rsidRPr="00631F2A">
        <w:rPr>
          <w:rtl/>
        </w:rPr>
        <w:t>.</w:t>
      </w:r>
      <w:r w:rsidRPr="00631F2A">
        <w:rPr>
          <w:rtl/>
          <w:lang w:val="he-IL"/>
        </w:rPr>
        <w:t>ג</w:t>
      </w:r>
      <w:r w:rsidRPr="00631F2A">
        <w:rPr>
          <w:rtl/>
        </w:rPr>
        <w:t xml:space="preserve">. </w:t>
      </w:r>
      <w:r w:rsidRPr="00631F2A">
        <w:rPr>
          <w:rtl/>
          <w:lang w:val="he-IL"/>
        </w:rPr>
        <w:t>בשיעורים</w:t>
      </w:r>
      <w:r w:rsidRPr="00631F2A">
        <w:rPr>
          <w:rtl/>
        </w:rPr>
        <w:t xml:space="preserve"> </w:t>
      </w:r>
      <w:r w:rsidRPr="00631F2A">
        <w:rPr>
          <w:rtl/>
          <w:lang w:val="he-IL"/>
        </w:rPr>
        <w:t>והתוועדויות</w:t>
      </w:r>
      <w:r w:rsidRPr="00631F2A">
        <w:rPr>
          <w:rtl/>
        </w:rPr>
        <w:t xml:space="preserve"> </w:t>
      </w:r>
      <w:r w:rsidRPr="00631F2A">
        <w:rPr>
          <w:rtl/>
          <w:lang w:val="he-IL"/>
        </w:rPr>
        <w:t>תשע״ד</w:t>
      </w:r>
      <w:r w:rsidRPr="00631F2A">
        <w:rPr>
          <w:rtl/>
        </w:rPr>
        <w:t xml:space="preserve"> </w:t>
      </w:r>
      <w:r w:rsidRPr="00631F2A">
        <w:rPr>
          <w:rtl/>
          <w:lang w:val="he-IL"/>
        </w:rPr>
        <w:t>ח״ג</w:t>
      </w:r>
      <w:r w:rsidRPr="00631F2A">
        <w:rPr>
          <w:rtl/>
        </w:rPr>
        <w:t xml:space="preserve"> </w:t>
      </w:r>
      <w:r w:rsidRPr="00631F2A">
        <w:rPr>
          <w:rtl/>
          <w:lang w:val="he-IL"/>
        </w:rPr>
        <w:t>ע</w:t>
      </w:r>
      <w:r w:rsidRPr="00631F2A">
        <w:rPr>
          <w:rtl/>
        </w:rPr>
        <w:t xml:space="preserve">’ </w:t>
      </w:r>
      <w:r w:rsidRPr="00631F2A">
        <w:rPr>
          <w:rtl/>
          <w:lang w:val="he-IL"/>
        </w:rPr>
        <w:t>תכ</w:t>
      </w:r>
      <w:r w:rsidRPr="00631F2A">
        <w:rPr>
          <w:rtl/>
        </w:rPr>
        <w:t>.</w:t>
      </w:r>
      <w:r w:rsidRPr="00631F2A">
        <w:rPr>
          <w:rtl/>
          <w:lang w:val="he-IL"/>
        </w:rPr>
        <w:t xml:space="preserve"> כתב: ברור</w:t>
      </w:r>
      <w:r w:rsidRPr="00631F2A">
        <w:rPr>
          <w:rtl/>
        </w:rPr>
        <w:t xml:space="preserve"> </w:t>
      </w:r>
      <w:r w:rsidRPr="00631F2A">
        <w:rPr>
          <w:rtl/>
          <w:lang w:val="he-IL"/>
        </w:rPr>
        <w:t>מהוראת</w:t>
      </w:r>
      <w:r w:rsidRPr="00631F2A">
        <w:rPr>
          <w:rtl/>
        </w:rPr>
        <w:t xml:space="preserve"> </w:t>
      </w:r>
      <w:r w:rsidRPr="00631F2A">
        <w:rPr>
          <w:rtl/>
          <w:lang w:val="he-IL"/>
        </w:rPr>
        <w:t>הרבי</w:t>
      </w:r>
      <w:r w:rsidRPr="00631F2A">
        <w:rPr>
          <w:rtl/>
        </w:rPr>
        <w:t xml:space="preserve"> </w:t>
      </w:r>
      <w:r w:rsidRPr="00631F2A">
        <w:rPr>
          <w:rtl/>
          <w:lang w:val="he-IL"/>
        </w:rPr>
        <w:t>שכבר</w:t>
      </w:r>
      <w:r w:rsidRPr="00631F2A">
        <w:rPr>
          <w:rtl/>
        </w:rPr>
        <w:t xml:space="preserve"> </w:t>
      </w:r>
      <w:r w:rsidRPr="00631F2A">
        <w:rPr>
          <w:rtl/>
          <w:lang w:val="he-IL"/>
        </w:rPr>
        <w:t>לא</w:t>
      </w:r>
      <w:r w:rsidRPr="00631F2A">
        <w:rPr>
          <w:rtl/>
        </w:rPr>
        <w:t xml:space="preserve"> </w:t>
      </w:r>
      <w:r w:rsidRPr="00631F2A">
        <w:rPr>
          <w:rtl/>
          <w:lang w:val="he-IL"/>
        </w:rPr>
        <w:t>תקפה</w:t>
      </w:r>
      <w:r w:rsidRPr="00631F2A">
        <w:rPr>
          <w:rtl/>
        </w:rPr>
        <w:t xml:space="preserve"> </w:t>
      </w:r>
      <w:r w:rsidRPr="00631F2A">
        <w:rPr>
          <w:rtl/>
          <w:lang w:val="he-IL"/>
        </w:rPr>
        <w:t>הקביעה</w:t>
      </w:r>
      <w:r w:rsidRPr="00631F2A">
        <w:rPr>
          <w:rtl/>
        </w:rPr>
        <w:t xml:space="preserve"> </w:t>
      </w:r>
      <w:r w:rsidRPr="00631F2A">
        <w:rPr>
          <w:rtl/>
          <w:lang w:val="he-IL"/>
        </w:rPr>
        <w:t>שצריכים</w:t>
      </w:r>
      <w:r w:rsidRPr="00631F2A">
        <w:rPr>
          <w:rtl/>
        </w:rPr>
        <w:t xml:space="preserve"> </w:t>
      </w:r>
      <w:r w:rsidRPr="00631F2A">
        <w:rPr>
          <w:rtl/>
          <w:lang w:val="he-IL"/>
        </w:rPr>
        <w:t>להנזר</w:t>
      </w:r>
      <w:r w:rsidRPr="00631F2A">
        <w:rPr>
          <w:rtl/>
        </w:rPr>
        <w:t xml:space="preserve"> </w:t>
      </w:r>
      <w:r w:rsidRPr="00631F2A">
        <w:rPr>
          <w:rtl/>
          <w:lang w:val="he-IL"/>
        </w:rPr>
        <w:t>ממלחמת</w:t>
      </w:r>
      <w:r w:rsidRPr="00631F2A">
        <w:rPr>
          <w:rtl/>
        </w:rPr>
        <w:t xml:space="preserve"> </w:t>
      </w:r>
      <w:r w:rsidRPr="00631F2A">
        <w:rPr>
          <w:rtl/>
          <w:lang w:val="he-IL"/>
        </w:rPr>
        <w:t>תנופה.</w:t>
      </w:r>
      <w:r w:rsidRPr="00631F2A">
        <w:rPr>
          <w:rtl/>
        </w:rPr>
        <w:t xml:space="preserve"> </w:t>
      </w:r>
      <w:r w:rsidRPr="00631F2A">
        <w:rPr>
          <w:rtl/>
          <w:lang w:val="he-IL"/>
        </w:rPr>
        <w:t>יש</w:t>
      </w:r>
      <w:r w:rsidRPr="00631F2A">
        <w:rPr>
          <w:rtl/>
        </w:rPr>
        <w:t xml:space="preserve"> </w:t>
      </w:r>
      <w:r w:rsidRPr="00631F2A">
        <w:rPr>
          <w:rtl/>
          <w:lang w:val="he-IL"/>
        </w:rPr>
        <w:t>עוד</w:t>
      </w:r>
      <w:r w:rsidRPr="00631F2A">
        <w:rPr>
          <w:rtl/>
        </w:rPr>
        <w:t xml:space="preserve"> </w:t>
      </w:r>
      <w:r w:rsidRPr="00631F2A">
        <w:rPr>
          <w:rtl/>
          <w:lang w:val="he-IL"/>
        </w:rPr>
        <w:t>דוגמאות</w:t>
      </w:r>
      <w:r w:rsidRPr="00631F2A">
        <w:rPr>
          <w:rtl/>
        </w:rPr>
        <w:t xml:space="preserve"> </w:t>
      </w:r>
      <w:r w:rsidRPr="00631F2A">
        <w:rPr>
          <w:rtl/>
          <w:lang w:val="he-IL"/>
        </w:rPr>
        <w:t>לדברים</w:t>
      </w:r>
      <w:r w:rsidRPr="00631F2A">
        <w:rPr>
          <w:rtl/>
        </w:rPr>
        <w:t xml:space="preserve"> </w:t>
      </w:r>
      <w:r w:rsidRPr="00631F2A">
        <w:rPr>
          <w:rtl/>
          <w:lang w:val="he-IL"/>
        </w:rPr>
        <w:t>שהשתנו</w:t>
      </w:r>
      <w:r w:rsidRPr="00631F2A">
        <w:rPr>
          <w:rtl/>
        </w:rPr>
        <w:t xml:space="preserve"> </w:t>
      </w:r>
      <w:r w:rsidRPr="00631F2A">
        <w:rPr>
          <w:rtl/>
          <w:lang w:val="he-IL"/>
        </w:rPr>
        <w:t>כמו</w:t>
      </w:r>
      <w:r w:rsidRPr="00631F2A">
        <w:rPr>
          <w:rtl/>
        </w:rPr>
        <w:t xml:space="preserve"> </w:t>
      </w:r>
      <w:r w:rsidRPr="00631F2A">
        <w:rPr>
          <w:rtl/>
          <w:lang w:val="he-IL"/>
        </w:rPr>
        <w:t>שתמיד</w:t>
      </w:r>
      <w:r w:rsidRPr="00631F2A">
        <w:rPr>
          <w:rtl/>
        </w:rPr>
        <w:t xml:space="preserve"> </w:t>
      </w:r>
      <w:r w:rsidRPr="00631F2A">
        <w:rPr>
          <w:rtl/>
          <w:lang w:val="he-IL"/>
        </w:rPr>
        <w:t>מזכירים</w:t>
      </w:r>
      <w:r w:rsidRPr="00631F2A">
        <w:rPr>
          <w:rtl/>
        </w:rPr>
        <w:t xml:space="preserve"> </w:t>
      </w:r>
      <w:r w:rsidRPr="00631F2A">
        <w:rPr>
          <w:rtl/>
          <w:lang w:val="he-IL"/>
        </w:rPr>
        <w:t>שכתוב</w:t>
      </w:r>
      <w:r w:rsidRPr="00631F2A">
        <w:rPr>
          <w:rtl/>
        </w:rPr>
        <w:t xml:space="preserve"> </w:t>
      </w:r>
      <w:r w:rsidRPr="00631F2A">
        <w:rPr>
          <w:rtl/>
          <w:lang w:val="he-IL"/>
        </w:rPr>
        <w:t>בלוח</w:t>
      </w:r>
      <w:r w:rsidRPr="00631F2A">
        <w:rPr>
          <w:rtl/>
        </w:rPr>
        <w:t xml:space="preserve"> </w:t>
      </w:r>
      <w:r w:rsidRPr="00631F2A">
        <w:rPr>
          <w:rtl/>
          <w:lang w:val="he-IL"/>
        </w:rPr>
        <w:t>היום</w:t>
      </w:r>
      <w:r w:rsidRPr="00631F2A">
        <w:rPr>
          <w:rtl/>
        </w:rPr>
        <w:t xml:space="preserve"> </w:t>
      </w:r>
      <w:r w:rsidRPr="00631F2A">
        <w:rPr>
          <w:rtl/>
          <w:lang w:val="he-IL"/>
        </w:rPr>
        <w:t>יום</w:t>
      </w:r>
      <w:r w:rsidRPr="00631F2A">
        <w:rPr>
          <w:rtl/>
        </w:rPr>
        <w:t xml:space="preserve"> </w:t>
      </w:r>
      <w:r w:rsidRPr="00631F2A">
        <w:rPr>
          <w:rtl/>
          <w:lang w:val="he-IL"/>
        </w:rPr>
        <w:t>שהעבודה</w:t>
      </w:r>
      <w:r w:rsidRPr="00631F2A">
        <w:rPr>
          <w:rtl/>
        </w:rPr>
        <w:t xml:space="preserve"> </w:t>
      </w:r>
      <w:r w:rsidRPr="00631F2A">
        <w:rPr>
          <w:rtl/>
          <w:lang w:val="he-IL"/>
        </w:rPr>
        <w:t>של</w:t>
      </w:r>
      <w:r w:rsidRPr="00631F2A">
        <w:rPr>
          <w:rtl/>
        </w:rPr>
        <w:t xml:space="preserve"> </w:t>
      </w:r>
      <w:r w:rsidRPr="00631F2A">
        <w:rPr>
          <w:rtl/>
          <w:lang w:val="he-IL"/>
        </w:rPr>
        <w:t>חסיד</w:t>
      </w:r>
      <w:r w:rsidRPr="00631F2A">
        <w:rPr>
          <w:rtl/>
        </w:rPr>
        <w:t xml:space="preserve"> </w:t>
      </w:r>
      <w:r w:rsidRPr="00631F2A">
        <w:rPr>
          <w:rtl/>
          <w:lang w:val="he-IL"/>
        </w:rPr>
        <w:t>היא</w:t>
      </w:r>
      <w:r w:rsidRPr="00631F2A">
        <w:rPr>
          <w:rtl/>
        </w:rPr>
        <w:t xml:space="preserve"> </w:t>
      </w:r>
      <w:r w:rsidRPr="00631F2A">
        <w:rPr>
          <w:rtl/>
          <w:lang w:val="he-IL"/>
        </w:rPr>
        <w:t>לא</w:t>
      </w:r>
      <w:r w:rsidRPr="00631F2A">
        <w:rPr>
          <w:rtl/>
        </w:rPr>
        <w:t xml:space="preserve"> </w:t>
      </w:r>
      <w:r w:rsidRPr="00631F2A">
        <w:rPr>
          <w:rtl/>
          <w:lang w:val="he-IL"/>
        </w:rPr>
        <w:t>להפוך</w:t>
      </w:r>
      <w:r w:rsidRPr="00631F2A">
        <w:rPr>
          <w:rtl/>
        </w:rPr>
        <w:t xml:space="preserve"> </w:t>
      </w:r>
      <w:r w:rsidRPr="00631F2A">
        <w:rPr>
          <w:rtl/>
          <w:lang w:val="he-IL"/>
        </w:rPr>
        <w:t>את</w:t>
      </w:r>
      <w:r w:rsidRPr="00631F2A">
        <w:rPr>
          <w:rtl/>
        </w:rPr>
        <w:t xml:space="preserve"> </w:t>
      </w:r>
      <w:r w:rsidRPr="00631F2A">
        <w:rPr>
          <w:rtl/>
          <w:lang w:val="he-IL"/>
        </w:rPr>
        <w:t>העולם</w:t>
      </w:r>
      <w:r w:rsidRPr="00631F2A">
        <w:rPr>
          <w:rtl/>
        </w:rPr>
        <w:t xml:space="preserve"> </w:t>
      </w:r>
      <w:r w:rsidRPr="00631F2A">
        <w:rPr>
          <w:rtl/>
          <w:lang w:val="he-IL"/>
        </w:rPr>
        <w:t>אלא</w:t>
      </w:r>
      <w:r w:rsidRPr="00631F2A">
        <w:rPr>
          <w:rtl/>
        </w:rPr>
        <w:t xml:space="preserve"> </w:t>
      </w:r>
      <w:r w:rsidRPr="00631F2A">
        <w:rPr>
          <w:rtl/>
          <w:lang w:val="he-IL"/>
        </w:rPr>
        <w:t>לומר</w:t>
      </w:r>
      <w:r w:rsidRPr="00631F2A">
        <w:rPr>
          <w:rtl/>
        </w:rPr>
        <w:t xml:space="preserve"> </w:t>
      </w:r>
      <w:r w:rsidRPr="00631F2A">
        <w:rPr>
          <w:rtl/>
          <w:lang w:val="he-IL"/>
        </w:rPr>
        <w:t>ברכה</w:t>
      </w:r>
      <w:r w:rsidRPr="00631F2A">
        <w:rPr>
          <w:rtl/>
        </w:rPr>
        <w:t xml:space="preserve"> </w:t>
      </w:r>
      <w:r w:rsidRPr="00631F2A">
        <w:rPr>
          <w:rtl/>
          <w:lang w:val="he-IL"/>
        </w:rPr>
        <w:t>בכוונה</w:t>
      </w:r>
      <w:r w:rsidRPr="00631F2A">
        <w:rPr>
          <w:rtl/>
        </w:rPr>
        <w:t xml:space="preserve"> </w:t>
      </w:r>
      <w:r w:rsidRPr="00631F2A">
        <w:rPr>
          <w:rtl/>
          <w:lang w:val="he-IL"/>
        </w:rPr>
        <w:t>וכו</w:t>
      </w:r>
      <w:r w:rsidRPr="00631F2A">
        <w:t>'</w:t>
      </w:r>
      <w:r w:rsidRPr="00631F2A">
        <w:rPr>
          <w:rtl/>
          <w:lang w:val="he-IL"/>
        </w:rPr>
        <w:t>,</w:t>
      </w:r>
      <w:r w:rsidRPr="00631F2A">
        <w:rPr>
          <w:rtl/>
        </w:rPr>
        <w:t xml:space="preserve"> </w:t>
      </w:r>
      <w:r w:rsidRPr="00631F2A">
        <w:rPr>
          <w:rtl/>
          <w:lang w:val="he-IL"/>
        </w:rPr>
        <w:t>הרבי</w:t>
      </w:r>
      <w:r w:rsidRPr="00631F2A">
        <w:rPr>
          <w:rtl/>
        </w:rPr>
        <w:t xml:space="preserve"> </w:t>
      </w:r>
      <w:r w:rsidRPr="00631F2A">
        <w:rPr>
          <w:rtl/>
          <w:lang w:val="he-IL"/>
        </w:rPr>
        <w:t>יודע</w:t>
      </w:r>
      <w:r w:rsidRPr="00631F2A">
        <w:rPr>
          <w:rtl/>
        </w:rPr>
        <w:t xml:space="preserve"> </w:t>
      </w:r>
      <w:r w:rsidRPr="00631F2A">
        <w:rPr>
          <w:rtl/>
          <w:lang w:val="he-IL"/>
        </w:rPr>
        <w:t>היטב</w:t>
      </w:r>
      <w:r w:rsidRPr="00631F2A">
        <w:rPr>
          <w:rtl/>
        </w:rPr>
        <w:t xml:space="preserve"> </w:t>
      </w:r>
      <w:r w:rsidRPr="00631F2A">
        <w:rPr>
          <w:rtl/>
          <w:lang w:val="he-IL"/>
        </w:rPr>
        <w:t>שזה</w:t>
      </w:r>
      <w:r w:rsidRPr="00631F2A">
        <w:rPr>
          <w:rtl/>
        </w:rPr>
        <w:t xml:space="preserve"> </w:t>
      </w:r>
      <w:r w:rsidRPr="00631F2A">
        <w:rPr>
          <w:rtl/>
          <w:lang w:val="he-IL"/>
        </w:rPr>
        <w:t>כתוב</w:t>
      </w:r>
      <w:r w:rsidRPr="00631F2A">
        <w:rPr>
          <w:rtl/>
        </w:rPr>
        <w:t xml:space="preserve"> </w:t>
      </w:r>
      <w:r w:rsidRPr="00631F2A">
        <w:rPr>
          <w:rtl/>
          <w:lang w:val="he-IL"/>
        </w:rPr>
        <w:t>הרי</w:t>
      </w:r>
      <w:r w:rsidRPr="00631F2A">
        <w:rPr>
          <w:rtl/>
        </w:rPr>
        <w:t xml:space="preserve"> </w:t>
      </w:r>
      <w:r w:rsidRPr="00631F2A">
        <w:rPr>
          <w:rtl/>
          <w:lang w:val="he-IL"/>
        </w:rPr>
        <w:t>הוא</w:t>
      </w:r>
      <w:r w:rsidRPr="00631F2A">
        <w:rPr>
          <w:rtl/>
        </w:rPr>
        <w:t xml:space="preserve"> </w:t>
      </w:r>
      <w:r w:rsidRPr="00631F2A">
        <w:rPr>
          <w:rtl/>
          <w:lang w:val="he-IL"/>
        </w:rPr>
        <w:t>סדר</w:t>
      </w:r>
      <w:r w:rsidRPr="00631F2A">
        <w:rPr>
          <w:rtl/>
        </w:rPr>
        <w:t xml:space="preserve"> </w:t>
      </w:r>
      <w:r w:rsidRPr="00631F2A">
        <w:rPr>
          <w:rtl/>
          <w:lang w:val="he-IL"/>
        </w:rPr>
        <w:t>את</w:t>
      </w:r>
      <w:r w:rsidRPr="00631F2A">
        <w:rPr>
          <w:rtl/>
        </w:rPr>
        <w:t xml:space="preserve"> </w:t>
      </w:r>
      <w:r w:rsidRPr="00631F2A">
        <w:rPr>
          <w:rtl/>
          <w:lang w:val="he-IL"/>
        </w:rPr>
        <w:t>לוח</w:t>
      </w:r>
      <w:r w:rsidRPr="00631F2A">
        <w:rPr>
          <w:rtl/>
        </w:rPr>
        <w:t xml:space="preserve"> </w:t>
      </w:r>
      <w:r w:rsidRPr="00631F2A">
        <w:rPr>
          <w:rtl/>
          <w:lang w:val="he-IL"/>
        </w:rPr>
        <w:t>היום</w:t>
      </w:r>
      <w:r w:rsidRPr="00631F2A">
        <w:rPr>
          <w:rtl/>
        </w:rPr>
        <w:t xml:space="preserve"> </w:t>
      </w:r>
      <w:r w:rsidRPr="00631F2A">
        <w:rPr>
          <w:rtl/>
          <w:lang w:val="he-IL"/>
        </w:rPr>
        <w:t>יום</w:t>
      </w:r>
      <w:r w:rsidRPr="00631F2A">
        <w:rPr>
          <w:rtl/>
        </w:rPr>
        <w:t xml:space="preserve"> </w:t>
      </w:r>
      <w:r w:rsidRPr="00631F2A">
        <w:rPr>
          <w:rtl/>
          <w:lang w:val="he-IL"/>
        </w:rPr>
        <w:t>ואף</w:t>
      </w:r>
      <w:r w:rsidRPr="00631F2A">
        <w:rPr>
          <w:rtl/>
        </w:rPr>
        <w:t xml:space="preserve"> </w:t>
      </w:r>
      <w:r w:rsidRPr="00631F2A">
        <w:rPr>
          <w:rtl/>
          <w:lang w:val="he-IL"/>
        </w:rPr>
        <w:t>על</w:t>
      </w:r>
      <w:r w:rsidRPr="00631F2A">
        <w:rPr>
          <w:rtl/>
        </w:rPr>
        <w:t xml:space="preserve"> </w:t>
      </w:r>
      <w:r w:rsidRPr="00631F2A">
        <w:rPr>
          <w:rtl/>
          <w:lang w:val="he-IL"/>
        </w:rPr>
        <w:t>פי</w:t>
      </w:r>
      <w:r w:rsidRPr="00631F2A">
        <w:rPr>
          <w:rtl/>
        </w:rPr>
        <w:t xml:space="preserve"> </w:t>
      </w:r>
      <w:r w:rsidRPr="00631F2A">
        <w:rPr>
          <w:rtl/>
          <w:lang w:val="he-IL"/>
        </w:rPr>
        <w:t>כן</w:t>
      </w:r>
      <w:r w:rsidRPr="00631F2A">
        <w:rPr>
          <w:rtl/>
        </w:rPr>
        <w:t xml:space="preserve"> </w:t>
      </w:r>
      <w:r w:rsidRPr="00631F2A">
        <w:rPr>
          <w:rtl/>
          <w:lang w:val="he-IL"/>
        </w:rPr>
        <w:t>הוא</w:t>
      </w:r>
      <w:r w:rsidRPr="00631F2A">
        <w:rPr>
          <w:rtl/>
        </w:rPr>
        <w:t xml:space="preserve"> </w:t>
      </w:r>
      <w:r w:rsidRPr="00631F2A">
        <w:rPr>
          <w:rtl/>
          <w:lang w:val="he-IL"/>
        </w:rPr>
        <w:t>אומר</w:t>
      </w:r>
      <w:r w:rsidRPr="00631F2A">
        <w:rPr>
          <w:rtl/>
        </w:rPr>
        <w:t xml:space="preserve"> </w:t>
      </w:r>
      <w:r w:rsidRPr="00631F2A">
        <w:rPr>
          <w:rtl/>
          <w:lang w:val="he-IL"/>
        </w:rPr>
        <w:t>וצועק</w:t>
      </w:r>
      <w:r w:rsidRPr="00631F2A">
        <w:rPr>
          <w:rtl/>
        </w:rPr>
        <w:t xml:space="preserve"> </w:t>
      </w:r>
      <w:r w:rsidRPr="00631F2A">
        <w:rPr>
          <w:rtl/>
          <w:lang w:val="he-IL"/>
        </w:rPr>
        <w:t>קבל</w:t>
      </w:r>
      <w:r w:rsidRPr="00631F2A">
        <w:rPr>
          <w:rtl/>
        </w:rPr>
        <w:t xml:space="preserve"> </w:t>
      </w:r>
      <w:r w:rsidRPr="00631F2A">
        <w:rPr>
          <w:rtl/>
          <w:lang w:val="he-IL"/>
        </w:rPr>
        <w:t>עם</w:t>
      </w:r>
      <w:r w:rsidRPr="00631F2A">
        <w:rPr>
          <w:rtl/>
        </w:rPr>
        <w:t xml:space="preserve"> </w:t>
      </w:r>
      <w:r w:rsidRPr="00631F2A">
        <w:rPr>
          <w:rtl/>
          <w:lang w:val="he-IL"/>
        </w:rPr>
        <w:t>ועדה,</w:t>
      </w:r>
      <w:r w:rsidRPr="00631F2A">
        <w:rPr>
          <w:rtl/>
        </w:rPr>
        <w:t xml:space="preserve"> '</w:t>
      </w:r>
      <w:r w:rsidRPr="00631F2A">
        <w:rPr>
          <w:rtl/>
          <w:lang w:val="he-IL"/>
        </w:rPr>
        <w:t>קער</w:t>
      </w:r>
      <w:r w:rsidRPr="00631F2A">
        <w:rPr>
          <w:rtl/>
        </w:rPr>
        <w:t xml:space="preserve"> </w:t>
      </w:r>
      <w:r w:rsidRPr="00631F2A">
        <w:rPr>
          <w:rtl/>
          <w:lang w:val="he-IL"/>
        </w:rPr>
        <w:t>א</w:t>
      </w:r>
      <w:r w:rsidRPr="00631F2A">
        <w:rPr>
          <w:rtl/>
        </w:rPr>
        <w:t xml:space="preserve"> </w:t>
      </w:r>
      <w:r w:rsidRPr="00631F2A">
        <w:rPr>
          <w:rtl/>
          <w:lang w:val="he-IL"/>
        </w:rPr>
        <w:t>וועלט</w:t>
      </w:r>
      <w:r w:rsidRPr="00631F2A">
        <w:rPr>
          <w:rtl/>
        </w:rPr>
        <w:t xml:space="preserve"> </w:t>
      </w:r>
      <w:r w:rsidRPr="00631F2A">
        <w:rPr>
          <w:rtl/>
          <w:lang w:val="he-IL"/>
        </w:rPr>
        <w:t>היינט',</w:t>
      </w:r>
      <w:r w:rsidRPr="00631F2A">
        <w:rPr>
          <w:rtl/>
        </w:rPr>
        <w:t xml:space="preserve"> </w:t>
      </w:r>
      <w:r w:rsidRPr="00631F2A">
        <w:rPr>
          <w:rtl/>
          <w:lang w:val="he-IL"/>
        </w:rPr>
        <w:t>שהיום</w:t>
      </w:r>
      <w:r w:rsidRPr="00631F2A">
        <w:rPr>
          <w:rtl/>
        </w:rPr>
        <w:t xml:space="preserve"> </w:t>
      </w:r>
      <w:r w:rsidRPr="00631F2A">
        <w:rPr>
          <w:rtl/>
          <w:lang w:val="he-IL"/>
        </w:rPr>
        <w:t>כבר</w:t>
      </w:r>
      <w:r w:rsidRPr="00631F2A">
        <w:rPr>
          <w:rtl/>
        </w:rPr>
        <w:t xml:space="preserve"> </w:t>
      </w:r>
      <w:r w:rsidRPr="00631F2A">
        <w:rPr>
          <w:rtl/>
          <w:lang w:val="he-IL"/>
        </w:rPr>
        <w:t>צריך</w:t>
      </w:r>
      <w:r w:rsidRPr="00631F2A">
        <w:rPr>
          <w:rtl/>
        </w:rPr>
        <w:t xml:space="preserve"> </w:t>
      </w:r>
      <w:r w:rsidRPr="00631F2A">
        <w:rPr>
          <w:rtl/>
          <w:lang w:val="he-IL"/>
        </w:rPr>
        <w:t>להפוך</w:t>
      </w:r>
      <w:r w:rsidRPr="00631F2A">
        <w:rPr>
          <w:rtl/>
        </w:rPr>
        <w:t xml:space="preserve"> </w:t>
      </w:r>
      <w:r w:rsidRPr="00631F2A">
        <w:rPr>
          <w:rtl/>
          <w:lang w:val="he-IL"/>
        </w:rPr>
        <w:t>את</w:t>
      </w:r>
      <w:r w:rsidRPr="00631F2A">
        <w:rPr>
          <w:rtl/>
        </w:rPr>
        <w:t xml:space="preserve"> </w:t>
      </w:r>
      <w:r w:rsidRPr="00631F2A">
        <w:rPr>
          <w:rtl/>
          <w:lang w:val="he-IL"/>
        </w:rPr>
        <w:t>העולם,</w:t>
      </w:r>
      <w:r w:rsidRPr="00631F2A">
        <w:rPr>
          <w:rtl/>
        </w:rPr>
        <w:t xml:space="preserve"> </w:t>
      </w:r>
      <w:r w:rsidRPr="00631F2A">
        <w:rPr>
          <w:rtl/>
          <w:lang w:val="he-IL"/>
        </w:rPr>
        <w:t>להפוך</w:t>
      </w:r>
      <w:r w:rsidRPr="00631F2A">
        <w:rPr>
          <w:rtl/>
        </w:rPr>
        <w:t xml:space="preserve"> </w:t>
      </w:r>
      <w:r w:rsidRPr="00631F2A">
        <w:rPr>
          <w:rtl/>
          <w:lang w:val="he-IL"/>
        </w:rPr>
        <w:t>את</w:t>
      </w:r>
      <w:r w:rsidRPr="00631F2A">
        <w:rPr>
          <w:rtl/>
        </w:rPr>
        <w:t xml:space="preserve"> </w:t>
      </w:r>
      <w:r w:rsidRPr="00631F2A">
        <w:rPr>
          <w:rtl/>
          <w:lang w:val="he-IL"/>
        </w:rPr>
        <w:t>העולם</w:t>
      </w:r>
      <w:r w:rsidRPr="00631F2A">
        <w:rPr>
          <w:rtl/>
        </w:rPr>
        <w:t xml:space="preserve"> </w:t>
      </w:r>
      <w:r w:rsidRPr="00631F2A">
        <w:rPr>
          <w:rtl/>
          <w:lang w:val="he-IL"/>
        </w:rPr>
        <w:t>ומלחמת</w:t>
      </w:r>
      <w:r w:rsidRPr="00631F2A">
        <w:rPr>
          <w:rtl/>
        </w:rPr>
        <w:t xml:space="preserve"> </w:t>
      </w:r>
      <w:r w:rsidRPr="00631F2A">
        <w:rPr>
          <w:rtl/>
          <w:lang w:val="he-IL"/>
        </w:rPr>
        <w:t>תנופה</w:t>
      </w:r>
      <w:r w:rsidRPr="00631F2A">
        <w:rPr>
          <w:rtl/>
        </w:rPr>
        <w:t xml:space="preserve"> </w:t>
      </w:r>
      <w:r w:rsidRPr="00631F2A">
        <w:rPr>
          <w:rtl/>
          <w:lang w:val="he-IL"/>
        </w:rPr>
        <w:t>הם</w:t>
      </w:r>
      <w:r w:rsidRPr="00631F2A">
        <w:rPr>
          <w:rtl/>
        </w:rPr>
        <w:t xml:space="preserve"> </w:t>
      </w:r>
      <w:r w:rsidRPr="00631F2A">
        <w:rPr>
          <w:rtl/>
          <w:lang w:val="he-IL"/>
        </w:rPr>
        <w:t>די</w:t>
      </w:r>
      <w:r w:rsidRPr="00631F2A">
        <w:rPr>
          <w:rtl/>
        </w:rPr>
        <w:t xml:space="preserve"> </w:t>
      </w:r>
      <w:r w:rsidRPr="00631F2A">
        <w:rPr>
          <w:rtl/>
          <w:lang w:val="he-IL"/>
        </w:rPr>
        <w:t>קרובים,</w:t>
      </w:r>
      <w:r w:rsidRPr="00631F2A">
        <w:rPr>
          <w:rtl/>
        </w:rPr>
        <w:t xml:space="preserve"> </w:t>
      </w:r>
      <w:r w:rsidRPr="00631F2A">
        <w:rPr>
          <w:rtl/>
          <w:lang w:val="he-IL"/>
        </w:rPr>
        <w:t>איך</w:t>
      </w:r>
      <w:r w:rsidRPr="00631F2A">
        <w:rPr>
          <w:rtl/>
        </w:rPr>
        <w:t xml:space="preserve"> </w:t>
      </w:r>
      <w:r w:rsidRPr="00631F2A">
        <w:rPr>
          <w:rtl/>
          <w:lang w:val="he-IL"/>
        </w:rPr>
        <w:t>הופכים</w:t>
      </w:r>
      <w:r w:rsidRPr="00631F2A">
        <w:rPr>
          <w:rtl/>
        </w:rPr>
        <w:t xml:space="preserve"> </w:t>
      </w:r>
      <w:r w:rsidRPr="00631F2A">
        <w:rPr>
          <w:rtl/>
          <w:lang w:val="he-IL"/>
        </w:rPr>
        <w:t>את</w:t>
      </w:r>
      <w:r w:rsidRPr="00631F2A">
        <w:rPr>
          <w:rtl/>
        </w:rPr>
        <w:t xml:space="preserve"> </w:t>
      </w:r>
      <w:r w:rsidRPr="00631F2A">
        <w:rPr>
          <w:rtl/>
          <w:lang w:val="he-IL"/>
        </w:rPr>
        <w:t>העולם</w:t>
      </w:r>
      <w:r w:rsidRPr="00631F2A">
        <w:rPr>
          <w:rtl/>
        </w:rPr>
        <w:t xml:space="preserve"> </w:t>
      </w:r>
      <w:r w:rsidRPr="00631F2A">
        <w:rPr>
          <w:rtl/>
          <w:lang w:val="he-IL"/>
        </w:rPr>
        <w:t>בלי</w:t>
      </w:r>
      <w:r w:rsidRPr="00631F2A">
        <w:rPr>
          <w:rtl/>
        </w:rPr>
        <w:t xml:space="preserve"> </w:t>
      </w:r>
      <w:r w:rsidRPr="00631F2A">
        <w:rPr>
          <w:rtl/>
          <w:lang w:val="he-IL"/>
        </w:rPr>
        <w:t>מלחמה</w:t>
      </w:r>
      <w:r w:rsidRPr="00631F2A">
        <w:rPr>
          <w:rtl/>
        </w:rPr>
        <w:t xml:space="preserve"> </w:t>
      </w:r>
      <w:r w:rsidRPr="00631F2A">
        <w:rPr>
          <w:rtl/>
          <w:lang w:val="he-IL"/>
        </w:rPr>
        <w:t>לשם</w:t>
      </w:r>
      <w:r w:rsidRPr="00631F2A">
        <w:rPr>
          <w:rtl/>
        </w:rPr>
        <w:t xml:space="preserve"> </w:t>
      </w:r>
      <w:r w:rsidRPr="00631F2A">
        <w:rPr>
          <w:rtl/>
          <w:lang w:val="he-IL"/>
        </w:rPr>
        <w:t>כך?״</w:t>
      </w:r>
    </w:p>
  </w:footnote>
  <w:footnote w:id="12">
    <w:p w14:paraId="6D171BF0" w14:textId="7DD60733"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בשיעורים</w:t>
      </w:r>
      <w:r w:rsidRPr="00631F2A">
        <w:rPr>
          <w:rtl/>
        </w:rPr>
        <w:t xml:space="preserve"> </w:t>
      </w:r>
      <w:r w:rsidRPr="00631F2A">
        <w:rPr>
          <w:rtl/>
          <w:lang w:val="he-IL"/>
        </w:rPr>
        <w:t>והתוועדויות</w:t>
      </w:r>
      <w:r w:rsidRPr="00631F2A">
        <w:rPr>
          <w:rtl/>
        </w:rPr>
        <w:t xml:space="preserve"> </w:t>
      </w:r>
      <w:r w:rsidRPr="00631F2A">
        <w:rPr>
          <w:rtl/>
          <w:lang w:val="he-IL"/>
        </w:rPr>
        <w:t>שם</w:t>
      </w:r>
      <w:r w:rsidRPr="00631F2A">
        <w:rPr>
          <w:rtl/>
        </w:rPr>
        <w:t>.</w:t>
      </w:r>
    </w:p>
  </w:footnote>
  <w:footnote w:id="13">
    <w:p w14:paraId="2A97AAD1" w14:textId="16DF3128"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בהעו״ב אה״ת רנד ע’ 21.</w:t>
      </w:r>
    </w:p>
  </w:footnote>
  <w:footnote w:id="14">
    <w:p w14:paraId="1780EBAB" w14:textId="0B6D884D"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תו״מ</w:t>
      </w:r>
      <w:r w:rsidRPr="00631F2A">
        <w:rPr>
          <w:rtl/>
        </w:rPr>
        <w:t xml:space="preserve"> </w:t>
      </w:r>
      <w:r w:rsidRPr="00631F2A">
        <w:rPr>
          <w:rtl/>
          <w:lang w:val="he-IL"/>
        </w:rPr>
        <w:t>חי״ח</w:t>
      </w:r>
      <w:r w:rsidRPr="00631F2A">
        <w:rPr>
          <w:rtl/>
        </w:rPr>
        <w:t xml:space="preserve"> </w:t>
      </w:r>
      <w:r w:rsidRPr="00631F2A">
        <w:rPr>
          <w:rtl/>
          <w:lang w:val="he-IL"/>
        </w:rPr>
        <w:t>ע</w:t>
      </w:r>
      <w:r w:rsidRPr="00631F2A">
        <w:rPr>
          <w:rtl/>
        </w:rPr>
        <w:t xml:space="preserve">’ </w:t>
      </w:r>
      <w:r w:rsidRPr="00631F2A">
        <w:t>61.</w:t>
      </w:r>
    </w:p>
  </w:footnote>
  <w:footnote w:id="15">
    <w:p w14:paraId="47DDCD7F" w14:textId="0412B15E"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תו״מ חנ״א ע’ 203.</w:t>
      </w:r>
    </w:p>
  </w:footnote>
  <w:footnote w:id="16">
    <w:p w14:paraId="23215AD4" w14:textId="5C2B09E3"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אג״ק חי״ד ע׳ רסג. חכ״ג ע׳ חי. ראה גם ד״ה בראשית ברא תש״ג.</w:t>
      </w:r>
    </w:p>
  </w:footnote>
  <w:footnote w:id="17">
    <w:p w14:paraId="51A63AC0" w14:textId="7A271FC7"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כפי</w:t>
      </w:r>
      <w:r w:rsidRPr="00631F2A">
        <w:rPr>
          <w:rtl/>
        </w:rPr>
        <w:t xml:space="preserve"> </w:t>
      </w:r>
      <w:r w:rsidRPr="00631F2A">
        <w:rPr>
          <w:rtl/>
          <w:lang w:val="he-IL"/>
        </w:rPr>
        <w:t>שציין</w:t>
      </w:r>
      <w:r w:rsidRPr="00631F2A">
        <w:rPr>
          <w:rtl/>
        </w:rPr>
        <w:t xml:space="preserve"> </w:t>
      </w:r>
      <w:r w:rsidRPr="00631F2A">
        <w:rPr>
          <w:rtl/>
          <w:lang w:val="he-IL"/>
        </w:rPr>
        <w:t>רבינו</w:t>
      </w:r>
      <w:r w:rsidRPr="00631F2A">
        <w:rPr>
          <w:rtl/>
        </w:rPr>
        <w:t xml:space="preserve"> </w:t>
      </w:r>
      <w:r w:rsidRPr="00631F2A">
        <w:rPr>
          <w:rtl/>
          <w:lang w:val="he-IL"/>
        </w:rPr>
        <w:t>זי״ע</w:t>
      </w:r>
      <w:r w:rsidRPr="00631F2A">
        <w:rPr>
          <w:rtl/>
        </w:rPr>
        <w:t>.</w:t>
      </w:r>
    </w:p>
  </w:footnote>
  <w:footnote w:id="18">
    <w:p w14:paraId="7128B961" w14:textId="49FB1F16" w:rsidR="00304B8E" w:rsidRPr="00631F2A" w:rsidRDefault="00304B8E" w:rsidP="0072178A">
      <w:pPr>
        <w:pStyle w:val="FootnoteText"/>
      </w:pPr>
      <w:r w:rsidRPr="00631F2A">
        <w:footnoteRef/>
      </w:r>
      <w:r>
        <w:rPr>
          <w:rFonts w:hint="cs"/>
          <w:rtl/>
        </w:rPr>
        <w:t>)</w:t>
      </w:r>
      <w:r w:rsidRPr="00631F2A">
        <w:rPr>
          <w:rtl/>
        </w:rPr>
        <w:t xml:space="preserve"> </w:t>
      </w:r>
      <w:r w:rsidRPr="00631F2A">
        <w:rPr>
          <w:rtl/>
          <w:lang w:val="he-IL"/>
        </w:rPr>
        <w:t>נדפס</w:t>
      </w:r>
      <w:r w:rsidRPr="00631F2A">
        <w:rPr>
          <w:rtl/>
        </w:rPr>
        <w:t xml:space="preserve"> </w:t>
      </w:r>
      <w:r w:rsidRPr="00631F2A">
        <w:rPr>
          <w:rtl/>
          <w:lang w:val="he-IL"/>
        </w:rPr>
        <w:t>באג</w:t>
      </w:r>
      <w:r w:rsidRPr="00631F2A">
        <w:rPr>
          <w:lang w:val="ru-RU"/>
        </w:rPr>
        <w:t>"</w:t>
      </w:r>
      <w:r w:rsidRPr="00631F2A">
        <w:rPr>
          <w:rtl/>
          <w:lang w:val="he-IL"/>
        </w:rPr>
        <w:t>ק</w:t>
      </w:r>
      <w:r w:rsidRPr="00631F2A">
        <w:rPr>
          <w:rtl/>
        </w:rPr>
        <w:t xml:space="preserve"> </w:t>
      </w:r>
      <w:r w:rsidRPr="00631F2A">
        <w:rPr>
          <w:rtl/>
          <w:lang w:val="he-IL"/>
        </w:rPr>
        <w:t>ח</w:t>
      </w:r>
      <w:r w:rsidRPr="00631F2A">
        <w:rPr>
          <w:lang w:val="ru-RU"/>
        </w:rPr>
        <w:t>"</w:t>
      </w:r>
      <w:r w:rsidRPr="00631F2A">
        <w:rPr>
          <w:rtl/>
          <w:lang w:val="he-IL"/>
        </w:rPr>
        <w:t>ה</w:t>
      </w:r>
      <w:r w:rsidRPr="00631F2A">
        <w:rPr>
          <w:rtl/>
        </w:rPr>
        <w:t xml:space="preserve"> </w:t>
      </w:r>
      <w:r w:rsidRPr="00631F2A">
        <w:rPr>
          <w:rtl/>
          <w:lang w:val="he-IL"/>
        </w:rPr>
        <w:t>ע</w:t>
      </w:r>
      <w:r w:rsidRPr="00631F2A">
        <w:rPr>
          <w:lang w:val="ru-RU"/>
        </w:rPr>
        <w:t xml:space="preserve">' </w:t>
      </w:r>
      <w:r w:rsidRPr="00631F2A">
        <w:rPr>
          <w:rtl/>
          <w:lang w:val="he-IL"/>
        </w:rPr>
        <w:t>רפה</w:t>
      </w:r>
      <w:r w:rsidRPr="00631F2A">
        <w:rPr>
          <w:rtl/>
        </w:rPr>
        <w:t>.</w:t>
      </w:r>
    </w:p>
  </w:footnote>
  <w:footnote w:id="19">
    <w:p w14:paraId="425CB214" w14:textId="455B5DAF" w:rsidR="00304B8E" w:rsidRPr="00631F2A" w:rsidRDefault="00304B8E" w:rsidP="0072178A">
      <w:pPr>
        <w:pStyle w:val="FootnoteText"/>
      </w:pPr>
      <w:r w:rsidRPr="00631F2A">
        <w:footnoteRef/>
      </w:r>
      <w:r>
        <w:rPr>
          <w:rFonts w:eastAsia="Arial Unicode MS" w:hint="cs"/>
          <w:rtl/>
        </w:rPr>
        <w:t xml:space="preserve">) </w:t>
      </w:r>
      <w:r w:rsidRPr="00631F2A">
        <w:rPr>
          <w:rFonts w:eastAsia="Arial Unicode MS"/>
          <w:rtl/>
          <w:lang w:val="he-IL"/>
        </w:rPr>
        <w:t xml:space="preserve">וכפי שפירשו בהיום </w:t>
      </w:r>
      <w:r w:rsidRPr="00631F2A">
        <w:rPr>
          <w:rStyle w:val="FootnoteTextChar"/>
          <w:rFonts w:hint="cs"/>
          <w:rtl/>
        </w:rPr>
        <w:t>יום</w:t>
      </w:r>
      <w:r w:rsidRPr="00631F2A">
        <w:rPr>
          <w:rStyle w:val="FootnoteTextChar"/>
          <w:rtl/>
        </w:rPr>
        <w:t xml:space="preserve"> </w:t>
      </w:r>
      <w:r w:rsidRPr="00631F2A">
        <w:rPr>
          <w:rStyle w:val="FootnoteTextChar"/>
          <w:rFonts w:hint="cs"/>
          <w:rtl/>
        </w:rPr>
        <w:t>המבואר</w:t>
      </w:r>
      <w:r w:rsidRPr="00631F2A">
        <w:rPr>
          <w:rStyle w:val="FootnoteTextChar"/>
          <w:rtl/>
        </w:rPr>
        <w:t xml:space="preserve">: </w:t>
      </w:r>
      <w:r w:rsidRPr="00631F2A">
        <w:rPr>
          <w:rStyle w:val="FootnoteTextChar"/>
          <w:rFonts w:hint="cs"/>
          <w:rtl/>
        </w:rPr>
        <w:t>ישנם</w:t>
      </w:r>
      <w:r w:rsidRPr="00631F2A">
        <w:rPr>
          <w:rStyle w:val="FootnoteTextChar"/>
          <w:rtl/>
        </w:rPr>
        <w:t xml:space="preserve"> </w:t>
      </w:r>
      <w:r w:rsidRPr="00631F2A">
        <w:rPr>
          <w:rStyle w:val="FootnoteTextChar"/>
          <w:rFonts w:hint="cs"/>
          <w:rtl/>
        </w:rPr>
        <w:t>הרבה</w:t>
      </w:r>
      <w:r w:rsidRPr="00631F2A">
        <w:rPr>
          <w:rStyle w:val="FootnoteTextChar"/>
          <w:rtl/>
        </w:rPr>
        <w:t xml:space="preserve"> </w:t>
      </w:r>
      <w:r w:rsidRPr="00631F2A">
        <w:rPr>
          <w:rStyle w:val="FootnoteTextChar"/>
          <w:rFonts w:hint="cs"/>
          <w:rtl/>
        </w:rPr>
        <w:t>מלחמות</w:t>
      </w:r>
      <w:r w:rsidRPr="00631F2A">
        <w:rPr>
          <w:rStyle w:val="FootnoteTextChar"/>
          <w:rtl/>
        </w:rPr>
        <w:t xml:space="preserve"> </w:t>
      </w:r>
      <w:r w:rsidRPr="00631F2A">
        <w:rPr>
          <w:rStyle w:val="FootnoteTextChar"/>
          <w:rFonts w:hint="cs"/>
          <w:rtl/>
        </w:rPr>
        <w:t>צודקות</w:t>
      </w:r>
      <w:r w:rsidRPr="00631F2A">
        <w:rPr>
          <w:rStyle w:val="FootnoteTextChar"/>
          <w:rtl/>
        </w:rPr>
        <w:t xml:space="preserve"> </w:t>
      </w:r>
      <w:r w:rsidRPr="00631F2A">
        <w:rPr>
          <w:rStyle w:val="FootnoteTextChar"/>
          <w:rFonts w:hint="cs"/>
          <w:rtl/>
        </w:rPr>
        <w:t>הנקראות</w:t>
      </w:r>
      <w:r w:rsidRPr="00631F2A">
        <w:rPr>
          <w:rStyle w:val="FootnoteTextChar"/>
          <w:rtl/>
        </w:rPr>
        <w:t xml:space="preserve"> </w:t>
      </w:r>
      <w:r w:rsidRPr="00631F2A">
        <w:rPr>
          <w:rStyle w:val="FootnoteTextChar"/>
          <w:rFonts w:hint="cs"/>
          <w:rtl/>
        </w:rPr>
        <w:t>בשם</w:t>
      </w:r>
      <w:r w:rsidRPr="00631F2A">
        <w:rPr>
          <w:rStyle w:val="FootnoteTextChar"/>
          <w:rtl/>
        </w:rPr>
        <w:t xml:space="preserve"> </w:t>
      </w:r>
      <w:r w:rsidRPr="00631F2A">
        <w:rPr>
          <w:rStyle w:val="FootnoteTextChar"/>
          <w:rFonts w:hint="cs"/>
          <w:rtl/>
        </w:rPr>
        <w:t>מלחמת</w:t>
      </w:r>
      <w:r w:rsidRPr="00631F2A">
        <w:rPr>
          <w:rStyle w:val="FootnoteTextChar"/>
          <w:rtl/>
        </w:rPr>
        <w:t xml:space="preserve"> </w:t>
      </w:r>
      <w:r w:rsidRPr="00631F2A">
        <w:rPr>
          <w:rStyle w:val="FootnoteTextChar"/>
          <w:rFonts w:hint="cs"/>
          <w:rtl/>
        </w:rPr>
        <w:t>תנופה</w:t>
      </w:r>
      <w:r w:rsidRPr="00631F2A">
        <w:rPr>
          <w:rStyle w:val="FootnoteTextChar"/>
          <w:rtl/>
        </w:rPr>
        <w:t xml:space="preserve">, </w:t>
      </w:r>
      <w:r w:rsidRPr="00631F2A">
        <w:rPr>
          <w:rStyle w:val="FootnoteTextChar"/>
          <w:rFonts w:hint="cs"/>
          <w:rtl/>
        </w:rPr>
        <w:t>למשל</w:t>
      </w:r>
      <w:r w:rsidRPr="00631F2A">
        <w:rPr>
          <w:rStyle w:val="FootnoteTextChar"/>
          <w:rtl/>
        </w:rPr>
        <w:t xml:space="preserve">: </w:t>
      </w:r>
      <w:r w:rsidRPr="00631F2A">
        <w:rPr>
          <w:rStyle w:val="FootnoteTextChar"/>
          <w:rFonts w:hint="cs"/>
          <w:rtl/>
        </w:rPr>
        <w:t>להלחם</w:t>
      </w:r>
      <w:r w:rsidRPr="00631F2A">
        <w:rPr>
          <w:rStyle w:val="FootnoteTextChar"/>
          <w:rtl/>
        </w:rPr>
        <w:t xml:space="preserve"> </w:t>
      </w:r>
      <w:r w:rsidRPr="00631F2A">
        <w:rPr>
          <w:rStyle w:val="FootnoteTextChar"/>
          <w:rFonts w:hint="cs"/>
          <w:rtl/>
        </w:rPr>
        <w:t>נגד</w:t>
      </w:r>
      <w:r w:rsidRPr="00631F2A">
        <w:rPr>
          <w:rStyle w:val="FootnoteTextChar"/>
          <w:rtl/>
        </w:rPr>
        <w:t xml:space="preserve"> </w:t>
      </w:r>
      <w:r w:rsidRPr="00631F2A">
        <w:rPr>
          <w:rStyle w:val="FootnoteTextChar"/>
          <w:rFonts w:hint="cs"/>
          <w:rtl/>
        </w:rPr>
        <w:t>חילולי</w:t>
      </w:r>
      <w:r w:rsidRPr="00631F2A">
        <w:rPr>
          <w:rStyle w:val="FootnoteTextChar"/>
          <w:rtl/>
        </w:rPr>
        <w:t xml:space="preserve"> </w:t>
      </w:r>
      <w:r w:rsidRPr="00631F2A">
        <w:rPr>
          <w:rStyle w:val="FootnoteTextChar"/>
          <w:rFonts w:hint="cs"/>
          <w:rtl/>
        </w:rPr>
        <w:t>שבת</w:t>
      </w:r>
      <w:r w:rsidRPr="00631F2A">
        <w:rPr>
          <w:rStyle w:val="FootnoteTextChar"/>
          <w:rtl/>
        </w:rPr>
        <w:t xml:space="preserve"> </w:t>
      </w:r>
      <w:r w:rsidRPr="00631F2A">
        <w:rPr>
          <w:rStyle w:val="FootnoteTextChar"/>
          <w:rFonts w:hint="cs"/>
          <w:rtl/>
        </w:rPr>
        <w:t>אכילת</w:t>
      </w:r>
      <w:r w:rsidRPr="00631F2A">
        <w:rPr>
          <w:rStyle w:val="FootnoteTextChar"/>
          <w:rtl/>
        </w:rPr>
        <w:t xml:space="preserve"> </w:t>
      </w:r>
      <w:r w:rsidRPr="00631F2A">
        <w:rPr>
          <w:rStyle w:val="FootnoteTextChar"/>
          <w:rFonts w:hint="cs"/>
          <w:rtl/>
        </w:rPr>
        <w:t>טרפה</w:t>
      </w:r>
      <w:r w:rsidRPr="00631F2A">
        <w:rPr>
          <w:rStyle w:val="FootnoteTextChar"/>
          <w:rtl/>
        </w:rPr>
        <w:t xml:space="preserve"> </w:t>
      </w:r>
      <w:r w:rsidRPr="00631F2A">
        <w:rPr>
          <w:rStyle w:val="FootnoteTextChar"/>
          <w:rFonts w:hint="cs"/>
          <w:rtl/>
        </w:rPr>
        <w:t>וכיוצא</w:t>
      </w:r>
      <w:r w:rsidRPr="00631F2A">
        <w:rPr>
          <w:rStyle w:val="FootnoteTextChar"/>
          <w:rtl/>
        </w:rPr>
        <w:t xml:space="preserve"> </w:t>
      </w:r>
      <w:r w:rsidRPr="00631F2A">
        <w:rPr>
          <w:rStyle w:val="FootnoteTextChar"/>
          <w:rFonts w:hint="cs"/>
          <w:rtl/>
        </w:rPr>
        <w:t>בזה</w:t>
      </w:r>
      <w:r w:rsidRPr="00631F2A">
        <w:rPr>
          <w:rStyle w:val="FootnoteTextChar"/>
          <w:rtl/>
        </w:rPr>
        <w:t xml:space="preserve">, </w:t>
      </w:r>
      <w:r w:rsidRPr="00631F2A">
        <w:rPr>
          <w:rStyle w:val="FootnoteTextChar"/>
          <w:rFonts w:hint="cs"/>
          <w:rtl/>
        </w:rPr>
        <w:t>ובכן</w:t>
      </w:r>
      <w:r w:rsidRPr="00631F2A">
        <w:rPr>
          <w:rStyle w:val="FootnoteTextChar"/>
          <w:rtl/>
        </w:rPr>
        <w:t xml:space="preserve"> </w:t>
      </w:r>
      <w:r w:rsidRPr="00631F2A">
        <w:rPr>
          <w:rStyle w:val="FootnoteTextChar"/>
          <w:rFonts w:hint="cs"/>
          <w:rtl/>
        </w:rPr>
        <w:t>מורה</w:t>
      </w:r>
      <w:r w:rsidRPr="00631F2A">
        <w:rPr>
          <w:rStyle w:val="FootnoteTextChar"/>
          <w:rtl/>
        </w:rPr>
        <w:t xml:space="preserve"> </w:t>
      </w:r>
      <w:r w:rsidRPr="00631F2A">
        <w:rPr>
          <w:rStyle w:val="FootnoteTextChar"/>
          <w:rFonts w:hint="cs"/>
          <w:rtl/>
        </w:rPr>
        <w:t>אדמו</w:t>
      </w:r>
      <w:r w:rsidRPr="00631F2A">
        <w:rPr>
          <w:rStyle w:val="FootnoteTextChar"/>
        </w:rPr>
        <w:t>"</w:t>
      </w:r>
      <w:r w:rsidRPr="00631F2A">
        <w:rPr>
          <w:rStyle w:val="FootnoteTextChar"/>
          <w:rFonts w:hint="cs"/>
          <w:rtl/>
        </w:rPr>
        <w:t>ר</w:t>
      </w:r>
      <w:r w:rsidRPr="00631F2A">
        <w:rPr>
          <w:rStyle w:val="FootnoteTextChar"/>
          <w:rtl/>
        </w:rPr>
        <w:t xml:space="preserve"> </w:t>
      </w:r>
      <w:r w:rsidRPr="00631F2A">
        <w:rPr>
          <w:rStyle w:val="FootnoteTextChar"/>
          <w:rFonts w:hint="cs"/>
          <w:rtl/>
        </w:rPr>
        <w:t>מוהרש</w:t>
      </w:r>
      <w:r w:rsidRPr="00631F2A">
        <w:rPr>
          <w:rStyle w:val="FootnoteTextChar"/>
        </w:rPr>
        <w:t>"</w:t>
      </w:r>
      <w:r w:rsidRPr="00631F2A">
        <w:rPr>
          <w:rStyle w:val="FootnoteTextChar"/>
          <w:rFonts w:hint="cs"/>
          <w:rtl/>
        </w:rPr>
        <w:t>ב</w:t>
      </w:r>
      <w:r w:rsidRPr="00631F2A">
        <w:rPr>
          <w:rStyle w:val="FootnoteTextChar"/>
          <w:rtl/>
        </w:rPr>
        <w:t xml:space="preserve"> </w:t>
      </w:r>
      <w:r w:rsidRPr="00631F2A">
        <w:rPr>
          <w:rStyle w:val="FootnoteTextChar"/>
          <w:rFonts w:hint="cs"/>
          <w:rtl/>
        </w:rPr>
        <w:t>שאף</w:t>
      </w:r>
      <w:r w:rsidRPr="00631F2A">
        <w:rPr>
          <w:rStyle w:val="FootnoteTextChar"/>
          <w:rtl/>
        </w:rPr>
        <w:t xml:space="preserve"> </w:t>
      </w:r>
      <w:r w:rsidRPr="00631F2A">
        <w:rPr>
          <w:rStyle w:val="FootnoteTextChar"/>
          <w:rFonts w:hint="cs"/>
          <w:rtl/>
        </w:rPr>
        <w:t>שאם</w:t>
      </w:r>
      <w:r w:rsidRPr="00631F2A">
        <w:rPr>
          <w:rStyle w:val="FootnoteTextChar"/>
          <w:rtl/>
        </w:rPr>
        <w:t xml:space="preserve"> </w:t>
      </w:r>
      <w:r w:rsidRPr="00631F2A">
        <w:rPr>
          <w:rStyle w:val="FootnoteTextChar"/>
          <w:rFonts w:hint="cs"/>
          <w:rtl/>
        </w:rPr>
        <w:t>נלחם</w:t>
      </w:r>
      <w:r w:rsidRPr="00631F2A">
        <w:rPr>
          <w:rStyle w:val="FootnoteTextChar"/>
          <w:rtl/>
        </w:rPr>
        <w:t xml:space="preserve"> </w:t>
      </w:r>
      <w:r w:rsidRPr="00631F2A">
        <w:rPr>
          <w:rStyle w:val="FootnoteTextChar"/>
          <w:rFonts w:hint="cs"/>
          <w:rtl/>
        </w:rPr>
        <w:t>יש</w:t>
      </w:r>
      <w:r w:rsidRPr="00631F2A">
        <w:rPr>
          <w:rStyle w:val="FootnoteTextChar"/>
          <w:rtl/>
        </w:rPr>
        <w:t xml:space="preserve"> </w:t>
      </w:r>
      <w:r w:rsidRPr="00631F2A">
        <w:rPr>
          <w:rStyle w:val="FootnoteTextChar"/>
          <w:rFonts w:hint="cs"/>
          <w:rtl/>
        </w:rPr>
        <w:t>לנו</w:t>
      </w:r>
      <w:r w:rsidRPr="00631F2A">
        <w:rPr>
          <w:rStyle w:val="FootnoteTextChar"/>
          <w:rtl/>
        </w:rPr>
        <w:t xml:space="preserve"> </w:t>
      </w:r>
      <w:r w:rsidRPr="00631F2A">
        <w:rPr>
          <w:rStyle w:val="FootnoteTextChar"/>
          <w:rFonts w:hint="cs"/>
          <w:rtl/>
        </w:rPr>
        <w:t>במה</w:t>
      </w:r>
      <w:r w:rsidRPr="00631F2A">
        <w:rPr>
          <w:rStyle w:val="FootnoteTextChar"/>
          <w:rtl/>
        </w:rPr>
        <w:t xml:space="preserve"> </w:t>
      </w:r>
      <w:r w:rsidRPr="00631F2A">
        <w:rPr>
          <w:rStyle w:val="FootnoteTextChar"/>
          <w:rFonts w:hint="cs"/>
          <w:rtl/>
        </w:rPr>
        <w:t>לנצח</w:t>
      </w:r>
      <w:r w:rsidRPr="00631F2A">
        <w:rPr>
          <w:rStyle w:val="FootnoteTextChar"/>
          <w:rtl/>
        </w:rPr>
        <w:t xml:space="preserve">, </w:t>
      </w:r>
      <w:r w:rsidRPr="00631F2A">
        <w:rPr>
          <w:rStyle w:val="FootnoteTextChar"/>
          <w:rFonts w:hint="cs"/>
          <w:rtl/>
        </w:rPr>
        <w:t>אך</w:t>
      </w:r>
      <w:r w:rsidRPr="00631F2A">
        <w:rPr>
          <w:rStyle w:val="FootnoteTextChar"/>
          <w:rtl/>
        </w:rPr>
        <w:t xml:space="preserve"> </w:t>
      </w:r>
      <w:r w:rsidRPr="00631F2A">
        <w:rPr>
          <w:rStyle w:val="FootnoteTextChar"/>
          <w:rFonts w:hint="cs"/>
          <w:rtl/>
        </w:rPr>
        <w:t>אין</w:t>
      </w:r>
      <w:r w:rsidRPr="00631F2A">
        <w:rPr>
          <w:rStyle w:val="FootnoteTextChar"/>
          <w:rtl/>
        </w:rPr>
        <w:t xml:space="preserve"> </w:t>
      </w:r>
      <w:r w:rsidRPr="00631F2A">
        <w:rPr>
          <w:rStyle w:val="FootnoteTextChar"/>
          <w:rFonts w:hint="cs"/>
          <w:rtl/>
        </w:rPr>
        <w:t>ענייננו</w:t>
      </w:r>
      <w:r w:rsidRPr="00631F2A">
        <w:rPr>
          <w:rStyle w:val="FootnoteTextChar"/>
          <w:rtl/>
        </w:rPr>
        <w:t xml:space="preserve"> </w:t>
      </w:r>
      <w:r w:rsidRPr="00631F2A">
        <w:rPr>
          <w:rStyle w:val="FootnoteTextChar"/>
          <w:rFonts w:hint="cs"/>
          <w:rtl/>
        </w:rPr>
        <w:t>במלחמות</w:t>
      </w:r>
      <w:r w:rsidRPr="00631F2A">
        <w:rPr>
          <w:rStyle w:val="FootnoteTextChar"/>
          <w:rtl/>
        </w:rPr>
        <w:t xml:space="preserve"> </w:t>
      </w:r>
      <w:r w:rsidRPr="00631F2A">
        <w:rPr>
          <w:rStyle w:val="FootnoteTextChar"/>
          <w:rFonts w:hint="cs"/>
          <w:rtl/>
        </w:rPr>
        <w:t>תנופה</w:t>
      </w:r>
      <w:r w:rsidRPr="00631F2A">
        <w:rPr>
          <w:rStyle w:val="FootnoteTextChar"/>
          <w:rtl/>
        </w:rPr>
        <w:t xml:space="preserve">, </w:t>
      </w:r>
      <w:r w:rsidRPr="00631F2A">
        <w:rPr>
          <w:rStyle w:val="FootnoteTextChar"/>
          <w:rFonts w:hint="cs"/>
          <w:rtl/>
        </w:rPr>
        <w:t>כי</w:t>
      </w:r>
      <w:r w:rsidRPr="00631F2A">
        <w:rPr>
          <w:rStyle w:val="FootnoteTextChar"/>
          <w:rtl/>
        </w:rPr>
        <w:t xml:space="preserve"> </w:t>
      </w:r>
      <w:r w:rsidRPr="00631F2A">
        <w:rPr>
          <w:rStyle w:val="FootnoteTextChar"/>
          <w:rFonts w:hint="cs"/>
          <w:rtl/>
        </w:rPr>
        <w:t>אם</w:t>
      </w:r>
      <w:r w:rsidRPr="00631F2A">
        <w:rPr>
          <w:rStyle w:val="FootnoteTextChar"/>
          <w:rtl/>
        </w:rPr>
        <w:t xml:space="preserve"> </w:t>
      </w:r>
      <w:r w:rsidRPr="00631F2A">
        <w:rPr>
          <w:rStyle w:val="FootnoteTextChar"/>
          <w:rFonts w:hint="cs"/>
          <w:rtl/>
        </w:rPr>
        <w:t>בעשיה</w:t>
      </w:r>
      <w:r w:rsidRPr="00631F2A">
        <w:rPr>
          <w:rStyle w:val="FootnoteTextChar"/>
          <w:rtl/>
        </w:rPr>
        <w:t xml:space="preserve"> </w:t>
      </w:r>
      <w:r w:rsidRPr="00631F2A">
        <w:rPr>
          <w:rStyle w:val="FootnoteTextChar"/>
          <w:rFonts w:hint="cs"/>
          <w:rtl/>
        </w:rPr>
        <w:t>ובבנין</w:t>
      </w:r>
      <w:r w:rsidRPr="00631F2A">
        <w:rPr>
          <w:rStyle w:val="FootnoteTextChar"/>
          <w:rtl/>
        </w:rPr>
        <w:t xml:space="preserve"> </w:t>
      </w:r>
      <w:r w:rsidRPr="00631F2A">
        <w:rPr>
          <w:rStyle w:val="FootnoteTextChar"/>
          <w:rFonts w:hint="cs"/>
          <w:rtl/>
        </w:rPr>
        <w:t>להרחיב</w:t>
      </w:r>
      <w:r w:rsidRPr="00631F2A">
        <w:rPr>
          <w:rStyle w:val="FootnoteTextChar"/>
          <w:rtl/>
        </w:rPr>
        <w:t xml:space="preserve"> </w:t>
      </w:r>
      <w:r w:rsidRPr="00631F2A">
        <w:rPr>
          <w:rStyle w:val="FootnoteTextChar"/>
          <w:rFonts w:hint="cs"/>
          <w:rtl/>
        </w:rPr>
        <w:t>את</w:t>
      </w:r>
      <w:r w:rsidRPr="00631F2A">
        <w:rPr>
          <w:rStyle w:val="FootnoteTextChar"/>
          <w:rtl/>
        </w:rPr>
        <w:t xml:space="preserve"> </w:t>
      </w:r>
      <w:r w:rsidRPr="00631F2A">
        <w:rPr>
          <w:rStyle w:val="FootnoteTextChar"/>
          <w:rFonts w:hint="cs"/>
          <w:rtl/>
        </w:rPr>
        <w:t>גבולות</w:t>
      </w:r>
      <w:r w:rsidRPr="00631F2A">
        <w:rPr>
          <w:rStyle w:val="FootnoteTextChar"/>
          <w:rtl/>
        </w:rPr>
        <w:t xml:space="preserve"> </w:t>
      </w:r>
      <w:r w:rsidRPr="00631F2A">
        <w:rPr>
          <w:rStyle w:val="FootnoteTextChar"/>
          <w:rFonts w:hint="cs"/>
          <w:rtl/>
        </w:rPr>
        <w:t>הקדושה</w:t>
      </w:r>
      <w:r w:rsidRPr="00631F2A">
        <w:rPr>
          <w:rStyle w:val="FootnoteTextChar"/>
          <w:rtl/>
        </w:rPr>
        <w:t xml:space="preserve">, </w:t>
      </w:r>
      <w:r w:rsidRPr="00631F2A">
        <w:rPr>
          <w:rStyle w:val="FootnoteTextChar"/>
          <w:rFonts w:hint="cs"/>
          <w:rtl/>
        </w:rPr>
        <w:t>ול</w:t>
      </w:r>
      <w:r w:rsidRPr="00631F2A">
        <w:rPr>
          <w:rFonts w:eastAsia="Arial Unicode MS"/>
          <w:rtl/>
          <w:lang w:val="he-IL"/>
        </w:rPr>
        <w:t>בנות</w:t>
      </w:r>
      <w:r w:rsidRPr="00631F2A">
        <w:rPr>
          <w:rFonts w:eastAsia="Arial Unicode MS"/>
          <w:rtl/>
        </w:rPr>
        <w:t xml:space="preserve"> </w:t>
      </w:r>
      <w:r w:rsidRPr="00631F2A">
        <w:rPr>
          <w:rFonts w:eastAsia="Arial Unicode MS"/>
          <w:rtl/>
          <w:lang w:val="he-IL"/>
        </w:rPr>
        <w:t>את</w:t>
      </w:r>
      <w:r w:rsidRPr="00631F2A">
        <w:rPr>
          <w:rFonts w:eastAsia="Arial Unicode MS"/>
          <w:rtl/>
        </w:rPr>
        <w:t xml:space="preserve"> </w:t>
      </w:r>
      <w:r w:rsidRPr="00631F2A">
        <w:rPr>
          <w:rFonts w:eastAsia="Arial Unicode MS"/>
          <w:rtl/>
          <w:lang w:val="he-IL"/>
        </w:rPr>
        <w:t>התורה</w:t>
      </w:r>
      <w:r w:rsidRPr="00631F2A">
        <w:rPr>
          <w:rFonts w:eastAsia="Arial Unicode MS"/>
          <w:rtl/>
        </w:rPr>
        <w:t xml:space="preserve"> </w:t>
      </w:r>
      <w:r w:rsidRPr="00631F2A">
        <w:rPr>
          <w:rFonts w:eastAsia="Arial Unicode MS"/>
          <w:rtl/>
          <w:lang w:val="he-IL"/>
        </w:rPr>
        <w:t>והמצוות.</w:t>
      </w:r>
    </w:p>
  </w:footnote>
  <w:footnote w:id="20">
    <w:p w14:paraId="2AAEB107" w14:textId="28A9F21D" w:rsidR="00304B8E" w:rsidRPr="00631F2A" w:rsidRDefault="00304B8E" w:rsidP="0072178A">
      <w:pPr>
        <w:pStyle w:val="FootnoteText"/>
        <w:rPr>
          <w:rtl/>
        </w:rPr>
      </w:pPr>
      <w:r w:rsidRPr="00631F2A">
        <w:rPr>
          <w:rStyle w:val="FootnoteReference"/>
          <w:vertAlign w:val="baseline"/>
        </w:rPr>
        <w:footnoteRef/>
      </w:r>
      <w:r>
        <w:rPr>
          <w:rFonts w:hint="cs"/>
          <w:rtl/>
        </w:rPr>
        <w:t xml:space="preserve">) </w:t>
      </w:r>
      <w:r w:rsidRPr="00631F2A">
        <w:rPr>
          <w:rtl/>
        </w:rPr>
        <w:t>ד"ה דשלימא. וברש"י לעיל ב, א ד"ה שתים. וכ"ה גירסת חידושי הר"ן (המיוחס לריטב"א). ובשיטת הר"ן לעיל ב, א (וכן ברמב"ן שם לפי מהלך א') מבואר דלמ"ד תחומין דאורייתא ילפינן הגז"ש ולמ"ד תחומין דאורייתא מוקי לה בחול, ע"ש וצ"ע [ועכ"פ מבואר בדבריהם דלא כגירסת ר"ח – אלא דאם הוי בחול ליכא ראיה ממה שנקרא בקרא מלאכה לולא הגז"ש. וכ"ה לפי מש"כ הרמב"ן שם דקרא יתירא הוא לומר דהוי מלאכה ולא רק לאו גרידא, או דהוי מלאכה משום דהיה במשכן וקרא אזהר עלה הדרא לכלל שאר מלאכות וכו'. וראה לקמן סוף הערה 7].</w:t>
      </w:r>
    </w:p>
  </w:footnote>
  <w:footnote w:id="21">
    <w:p w14:paraId="0ACA30B0" w14:textId="2AD4DE30" w:rsidR="00304B8E" w:rsidRPr="00631F2A" w:rsidRDefault="00304B8E" w:rsidP="0072178A">
      <w:pPr>
        <w:pStyle w:val="FootnoteText"/>
        <w:rPr>
          <w:rtl/>
        </w:rPr>
      </w:pPr>
      <w:r w:rsidRPr="00631F2A">
        <w:rPr>
          <w:rStyle w:val="FootnoteReference"/>
          <w:vertAlign w:val="baseline"/>
        </w:rPr>
        <w:footnoteRef/>
      </w:r>
      <w:r>
        <w:rPr>
          <w:rFonts w:hint="cs"/>
          <w:rtl/>
        </w:rPr>
        <w:t xml:space="preserve">) </w:t>
      </w:r>
      <w:r w:rsidRPr="00631F2A">
        <w:rPr>
          <w:rtl/>
        </w:rPr>
        <w:t>בריטב"א החדשים כתב דהוא לאלומי ראיה, ע"ש. וצע"ג בכוונתו דאיך אפשר לומר כן על גז"ש (דא"כ הוא מיותר). וראה מה שתירץ בשפת אמת. ובהגהת "שמואל הלוי" הנדפס על גליון הרשב"א מתרץ דלולא הגז"ש היינו מפרשים כעין והמלאכה היתה דים, ע"ש [אך לא זכיתי להבין, דלעיל מט, ב מבואר דהספק הוא רק בוהמלאכה היתה דים, ואפילו אם אין גז"ש ע"כ ש"אל יעשו עוד מלאכה" הוי מלאכה ממש, דאל"כ ליכא לט פעמים מלאכה].</w:t>
      </w:r>
    </w:p>
  </w:footnote>
  <w:footnote w:id="22">
    <w:p w14:paraId="09BA8CEF" w14:textId="554C0B00"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[וכ"ה שיטת הרמב"ם שבת יב, ח (ראה רשב"א ומ"מ שם).] ולא כתירוץ הרמב"ן הנ"ל הערה 1 בשיטת התוס' דהפסוק הוי לאו בעלמא אך מכיון דאזהר קרא וגם היתה במשכן אהדרה קרא למלאכת המשכן וכו' – דבאדה"ז משמע דמלכתחילה אין הפסוק מתפרש כלאו (וששוב צריכים לומר דאהדרה וכו') אלא שהפסוק הוי גילוי מילתא דנקרא מלאכה, וק"ל.</w:t>
      </w:r>
    </w:p>
  </w:footnote>
  <w:footnote w:id="23">
    <w:p w14:paraId="54BD5AC1" w14:textId="29547C9B"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ועד"ז במהדורה אחרת דסימן שא שנדפס בקובץ יגדיל תורה (נ.י) חוברת י (עמ' כג), ע"ש בסגנון אחר קצת.</w:t>
      </w:r>
    </w:p>
  </w:footnote>
  <w:footnote w:id="24">
    <w:p w14:paraId="7F4F8536" w14:textId="2740F7E9"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ולכאורה הכרחו של אדה"ז (– ולא נאמר דגם לולא הילפותא מהמשכן היתה הוצאה אסורה משום דנקרא מלאכה בקרא [ואין מחלקים בין שבת וכו'] והסמיכות בעינן לשאר מלאכות [או שלא נילף מלאכות אחרות שלא היו בהמשכן, כמ"ש תוס' בריש מכילתין ב, א ד"ה פשט]) הוא מסברא, דמכיון דהוי מלאכה גרועה ואין סברא שתהיה אסורה בשבת (כמ"ש שם בתחילת הסעיף) ע"כ דמה שנקרא מלאכה אינו לענין גדר שבת.</w:t>
      </w:r>
    </w:p>
    <w:p w14:paraId="28B6666C" w14:textId="77777777" w:rsidR="00304B8E" w:rsidRPr="00631F2A" w:rsidRDefault="00304B8E" w:rsidP="00531DED">
      <w:pPr>
        <w:pStyle w:val="FootnoteText"/>
        <w:rPr>
          <w:rtl/>
        </w:rPr>
      </w:pPr>
      <w:r w:rsidRPr="00631F2A">
        <w:rPr>
          <w:rtl/>
        </w:rPr>
        <w:t>ולהעיר דבתוס' לעיל ב, א ד"ה פשט, מבואר (בסוף דבריהם) דהוצאה היתה אסורה אפילו אם לא היתה בהמשכן, ולא איצטריך למיתני שהיתה במשכן אלא כדי שלא נחייב על מלאכות אפילו אם לא היו בהמשכן, ע"ש.</w:t>
      </w:r>
    </w:p>
    <w:p w14:paraId="7884162C" w14:textId="77777777" w:rsidR="00304B8E" w:rsidRPr="00631F2A" w:rsidRDefault="00304B8E" w:rsidP="00531DED">
      <w:pPr>
        <w:pStyle w:val="FootnoteText"/>
        <w:rPr>
          <w:rtl/>
        </w:rPr>
      </w:pPr>
      <w:r w:rsidRPr="00631F2A">
        <w:rPr>
          <w:rtl/>
        </w:rPr>
        <w:t>והנה מדברי התוס' – שהביאו דברי הר"ח בסתמא – לא משמע שחולקים עליו.</w:t>
      </w:r>
    </w:p>
    <w:p w14:paraId="7E53871F" w14:textId="77777777" w:rsidR="00304B8E" w:rsidRPr="00631F2A" w:rsidRDefault="00304B8E" w:rsidP="00531DED">
      <w:pPr>
        <w:pStyle w:val="FootnoteText"/>
        <w:rPr>
          <w:rtl/>
        </w:rPr>
      </w:pPr>
      <w:r w:rsidRPr="00631F2A">
        <w:rPr>
          <w:rtl/>
        </w:rPr>
        <w:t>אך לכאורה הדבר תלוי, דאם נימא דלשיטת הר"ח הוי הוצאה מלאכה אפילו אם לא היה בהמשכן, מדנקרא "מלאכה" בקרא, א"כ דברי התוס' הנ"ל (דהוצאה אסורה אפילו אם אינו בהמשכן) אינם סתירה לשיטת הר"ח.</w:t>
      </w:r>
    </w:p>
    <w:p w14:paraId="6573BB40" w14:textId="77777777" w:rsidR="00304B8E" w:rsidRPr="00631F2A" w:rsidRDefault="00304B8E" w:rsidP="00531DED">
      <w:pPr>
        <w:pStyle w:val="FootnoteText"/>
        <w:spacing w:after="240" w:line="276" w:lineRule="auto"/>
        <w:rPr>
          <w:rtl/>
        </w:rPr>
      </w:pPr>
      <w:r w:rsidRPr="00631F2A">
        <w:rPr>
          <w:rtl/>
        </w:rPr>
        <w:t>אך לפי מה שנתבאר לעיל מתוך דברי אדה"ז (דאם הוצאה לא היתה בהמשכן לא היה נחשב מלאכה לענין שבת הגם דנקרא מלאכה בקרא) ע"כ דמש"כ התוס' אינו בהתאם לשיטת הר"ח (אלא לגירסתנו דישנו ילפותא מפורשת דהוצאה הוי מלאכה, ואסורה אפילו אם אינו בהמשכן), וצ"ע.</w:t>
      </w:r>
    </w:p>
  </w:footnote>
  <w:footnote w:id="25">
    <w:p w14:paraId="23E3845B" w14:textId="3F456BF8"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אפילו לסברת האו"ז י"ל כן (דלענין שבת אינו מלאכה, וכנ"ל בשו"ע אדה"ז – דמשמע שם דס"ל כסברת האו"ז – דממה שנקרא מלאכה אין הכרח דהוי מאלכה לשבת). ולפי מש"כ התוס' דמה לי מרה"י לרה"ר מה לי מרה"י לרה"י וכו' יש לדון עוד דלענין שבת ע"כ שאינו מלאכה, וילע"ע.</w:t>
      </w:r>
    </w:p>
  </w:footnote>
  <w:footnote w:id="26">
    <w:p w14:paraId="02952D04" w14:textId="2CA6ACFA"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 xml:space="preserve">דסוף סוף הוי מלאכה חשובה במשכן (מדקרי לה קרא "מלאכה"), והרי ילפינן דכל מלאכה חשובה במשכן הוי מלאכה לענין שבת (ושונה מבאם ליכא קרא, דאז אמרינן דלא הוי מלאכה כלל, ואינו בכלל הילפותא דלמדים מהמשכן). ורק שהרווחנו לפי דרכינו, דבשו"ע אדה"ז מבואר (חידוש) דגם להר"ח לא היתה הוצאה אסורה אם לא היה ילפותא ללמוד מהמשכן (הגם דנקרא מלאכה בקרא) – וע"כ משום דהגם דישנו מלאכה לענין א' אין הכרח דהוי גדר מלאכה לענין שבת, ועפי"ז אפשר לומר (לפי גירסתינו) דע"כ מה שנקרא מלאכה הוא רק לענין המשכן וכו' ולא לענין שבת ואינו בכלל הילפותא דלמדים המלאכות מהמשכן, כפי שנתבאר בהפנים.וראה שיטה להר"ן שכתב: "פירש הרא"ה . . ועיקר בעיא אי האי קרא ביום קודש או בחול, דאי בחול איכא למימר דלאו מלאכה היא </w:t>
      </w:r>
      <w:r w:rsidRPr="00631F2A">
        <w:rPr>
          <w:b/>
          <w:bCs/>
          <w:rtl/>
        </w:rPr>
        <w:t>משום דהיא גרועה</w:t>
      </w:r>
      <w:r w:rsidRPr="00631F2A">
        <w:rPr>
          <w:rtl/>
        </w:rPr>
        <w:t xml:space="preserve">", ע"ש. וכעין זה ברמב"ן לעיל ב, א (ד"ה מתני' יציאות השבת): "ואיכא דקשיא ליה היכי מנו רבנן הוצאות בשתים . . ובתוס' רבותינו הצרפתים ז"ל אמרו . . והביאו ראיה לדבר . . </w:t>
      </w:r>
      <w:r w:rsidRPr="00631F2A">
        <w:rPr>
          <w:b/>
          <w:bCs/>
          <w:rtl/>
        </w:rPr>
        <w:t>ואמרינן נמי בפרק הזורק ממאי דבשבת קאי דלמא בחול ומשום דשלימא ליה מלאכה, ומסקנא גמר העברה העברה מיוה"פ, אלמא ליכא למיגמר ממשכן אלא צריכה היתה התורה לפורטה</w:t>
      </w:r>
      <w:r w:rsidRPr="00631F2A">
        <w:rPr>
          <w:rtl/>
        </w:rPr>
        <w:t>". ולדרכינו דבריהם מדוייקים עד למאוד – דמכיון דהוי מלאכה גרועה לכן הגם דנקרא "מלאכה" בקרא מ"מ אין לאסור לולא הגז"ש [ודוחק לומר שכוונתם כעין הגהת ר' שמואל הלוי – הנ"ל הערה 2 (חוץ ממה שכבר הקשינו לעיל שם)], ודו"ק.</w:t>
      </w:r>
    </w:p>
  </w:footnote>
  <w:footnote w:id="27">
    <w:p w14:paraId="1EF5009C" w14:textId="11B54318"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וצ"ע מנין דמרה"י לרה"י פטור (ולקמן מט, ב: "מרשות היחיד לרשות היחיד מאי קעביד"), ומאי שנא מהכנסה שנתרבה (לקמן צו, ב) מצד הסברא דמה לי אפוקי מה לי עיולי [ואין לומר דהסברא קלושה יותר ובעינן שתהיה בהמשכן (כמ"ש תוס' דתולדות דהוצאה בעינן שיהיו בהמשכן), שהרי לא כתבו התוס' כן אלא אחרי דקבעו דהוי מלאכה גרועה, אך אם נאמר דגם מרה"י לרה"י חייב (כתולדה עכ"פ) לא הוי מלאכה גרועה לכתחילה והוי כשאר מלאכות דלא בעינן שהתולדה תהיה בהמשכן. ולגופו של דבר לכאורה נראה דהסברא דמה לי מרה"י לרה"ר ומה לי מרה"י לרה"י לא גרע מסברא הנ"ל (ואם הוי סברא קלושה יותר איך אפשר להוכיח ממנו דהוצאה מלאכה גרועה – ואמאי לא נאמר דפטור מרה"י לרה"י משום שאינו דומה ממש). ובין כך יש לדון אם הוצאה מרה"י לרה"י היה בהמשכן – ראה פנ"י ריש פרק הזורק]. ואין לומר שכך קיבלו במשמעות הפסוק (דמקור איסור מלאכת הוצאה) דהאיסור הוא רק מרה"י לרה"ר ולא מרה"י לרה"י (ומרה"ר לרה"י ע"כ שלא היה קבלה ונצטרך למילף מסברא) – דחוץ מהדוחק שבזה, הרי לפי"ז אינו מובן מש"כ התוס' (ובפירוש יותר בתוס' שבועות המובא בפנים. וראה גם תוס' לקמן צו, א – מובא לקמן בהערה) שאין למידים הוצאה מהמשכן משום דלמאכה גרועה היא דמה לי מרה"י לרה"ר וכו', והרי טרם למדנו האיסור מהפסוק (שלא בא ללמד אלא משום דא"א למילף מהמשכן) ומנלן שאין איסור מרה"י לרה"י.</w:t>
      </w:r>
    </w:p>
    <w:p w14:paraId="382516C5" w14:textId="77777777" w:rsidR="00304B8E" w:rsidRPr="00631F2A" w:rsidRDefault="00304B8E" w:rsidP="00531DED">
      <w:pPr>
        <w:pStyle w:val="FootnoteText"/>
        <w:rPr>
          <w:rtl/>
        </w:rPr>
      </w:pPr>
      <w:r w:rsidRPr="00631F2A">
        <w:rPr>
          <w:rtl/>
        </w:rPr>
        <w:t>ובהשקפה ראשונה היה אפשר לתרץ דגם התוס' ס"ל כסברת האו"ז (ח"ב הל' שבת סי' פב) דהוצאה מלאכה שאינה חשובה דמעיקרא חפץ והשתא נמי חפץ וכו' (וראה חי' הר"מ קזיס בסוגיין [ושם גם בנוגע מלאכת צידה]. ולהעיר מתוס' רי"ד לקמן צו, ב ד"ה הוצאה גופא היכא כתיבא, דהוצאה לא הוי מעשה אומנות), ומטעם זה בעינן פסוק להוצאה ואין למדים מהמשכן (כמו שמבאר שם האו"ז), ורק דס"ל לתוס' דאחרי שנתרבה מהפסוק שוב לא הוי מלאכה גרועה [והיינו שהפסוק חידש דאפילו מלאכה 'קל' כזה ג"כ אסור וכו'. אך ראה בחי' הר"מ קזיס שם דגם אחרי שנתרבה הוי מלאכה גרועה מאותה סברא עצמה, ע"ש], ורק משום דמרה"י לרה"י פטור (– להנ"ל ממשמעות הפסוק וכו') לכן הוי מלאכה גרועה שאין ללמוד הימנה וכו' [ולפי"ז מתורץ קושיית המהרש"א אמאי הוכיח תוס' מדישנו שתי פסוקים להוצאה (דלא כתוס' בשבועות שהוכיח מדבעינן אפילו פסוק א' ואין למדים מהמשכן) – דמזה שאין למדים מהמשכן (משום דמצ"ע אינו נחשב מלאכה מסברא) אין הוכחה דהוי מלאכה גרועה (אחרי שנתרבה מהפסוק דאפילו מלאכה קל הזו אסור וכו'), ורק מדבעינן שתי פסוקים מוכח דאפילו אחרי שנתרבה הוי מלאכה גרועה (והיינו משום דמה לי מרה"י לרה"ר וכו')].</w:t>
      </w:r>
    </w:p>
    <w:p w14:paraId="01E762F4" w14:textId="77777777" w:rsidR="00304B8E" w:rsidRPr="00631F2A" w:rsidRDefault="00304B8E" w:rsidP="00531DED">
      <w:pPr>
        <w:pStyle w:val="FootnoteText"/>
        <w:rPr>
          <w:rtl/>
        </w:rPr>
      </w:pPr>
      <w:r w:rsidRPr="00631F2A">
        <w:rPr>
          <w:rtl/>
        </w:rPr>
        <w:t xml:space="preserve">[ולהעיר, שבשו"ע אדה"ז סימן שא סעיף א כתב דמצד הסברא הוצאה והכנסה אינה נקראת בשם מלאכה, ע"ש. ומשמעות דבריו דר"ל כסברת האו"ז הנ"ל דהוצאה מצ"ע לא הוי מלאכה (ובפרט שסתם "מרשות לרשות" – ואי כוונתו לסברת התוס' דהוצאה מלאכה גרועה משום דמה לי מרה"י לרה"ר מה לי מרה"י לרה"י וכו' הו"ל לומר דהוצאה </w:t>
      </w:r>
      <w:r w:rsidRPr="00631F2A">
        <w:rPr>
          <w:b/>
          <w:bCs/>
          <w:rtl/>
        </w:rPr>
        <w:t>מרה"י לרה"ר</w:t>
      </w:r>
      <w:r w:rsidRPr="00631F2A">
        <w:rPr>
          <w:rtl/>
        </w:rPr>
        <w:t xml:space="preserve"> (ועד"ז להסברא שכתבו הראשונים שבאותו רשות מותר לישא משא גדול וכו'), משא"כ לסברת האו"ז אפילו אם מרה"י לרה"י היה חייב הוי מלאכה גרועה </w:t>
      </w:r>
      <w:r w:rsidRPr="00631F2A">
        <w:rPr>
          <w:b/>
          <w:bCs/>
          <w:rtl/>
        </w:rPr>
        <w:t>מצ"ע</w:t>
      </w:r>
      <w:r w:rsidRPr="00631F2A">
        <w:rPr>
          <w:rtl/>
        </w:rPr>
        <w:t>) (ולכאורה סותר מש"כ באגה"ק סוס"י כט, וצ"ע). ובמ"מ שבכת"י (הנדפס במהדורה חדשה דשו"ע אדה"ז) נסמן "תוס' רפ"ק", ולכאורה היכן רמיזא סברא זו בתוס' דידן. ולהנ"ל ניחא (במקצת עכ"פ) דגם תוס' מודים לסברא זו (</w:t>
      </w:r>
      <w:r w:rsidRPr="00631F2A">
        <w:rPr>
          <w:b/>
          <w:bCs/>
          <w:rtl/>
        </w:rPr>
        <w:t>ומוכח</w:t>
      </w:r>
      <w:r w:rsidRPr="00631F2A">
        <w:rPr>
          <w:rtl/>
        </w:rPr>
        <w:t xml:space="preserve"> דס"ל כן מדהוכיח דמלאכה גרועה מדישנו שתי פסוקים כנ"ל)].</w:t>
      </w:r>
    </w:p>
    <w:p w14:paraId="24CBE6E3" w14:textId="77777777" w:rsidR="00304B8E" w:rsidRPr="00631F2A" w:rsidRDefault="00304B8E" w:rsidP="00531DED">
      <w:pPr>
        <w:pStyle w:val="FootnoteText"/>
        <w:rPr>
          <w:rtl/>
        </w:rPr>
      </w:pPr>
      <w:r w:rsidRPr="00631F2A">
        <w:rPr>
          <w:rtl/>
        </w:rPr>
        <w:t xml:space="preserve">אך תירוץ זה לכאורה נסתר ממש"כ תוס' לקמן צו, ב ד"ה הוצאה, שכתבו דא"א למילף הוצאה מהמשכן "לפי שמלאכה גרועה היא </w:t>
      </w:r>
      <w:r w:rsidRPr="00631F2A">
        <w:rPr>
          <w:b/>
          <w:bCs/>
          <w:rtl/>
        </w:rPr>
        <w:t>כדפי' לעיל</w:t>
      </w:r>
      <w:r w:rsidRPr="00631F2A">
        <w:rPr>
          <w:rtl/>
        </w:rPr>
        <w:t xml:space="preserve">". ולכאורה הכוונה לתוס' דידן – והרי בתוס' דידן לא ביארו דהוי מלאכה גרועה אלא משום הסברא דמה לי מרה"י לרה"ר וכו', ולא הזכירו כלל סברת האו"ז (ורק דאולי מוכח מתוך דבריהם דס"ל כן כנ"ל מדהוכיחו מזה שישנו שתי פסוקים וכו' – אך איך מציינים לזה כאילו שכתבו כן במפורש). ועוד יותר מוכח כן </w:t>
      </w:r>
      <w:r w:rsidRPr="00631F2A">
        <w:rPr>
          <w:b/>
          <w:bCs/>
          <w:rtl/>
        </w:rPr>
        <w:t>מהמפורש</w:t>
      </w:r>
      <w:r w:rsidRPr="00631F2A">
        <w:rPr>
          <w:rtl/>
        </w:rPr>
        <w:t xml:space="preserve"> בתוס' שבועות ב, א ד"ה יציאות (שציין המהרש"א הנ"ל), שבתירוץ ר"ת שם כתב ג"כ כתוס' דידן דמה לי מרה"י לרה"ר מה לי מרה"י לרה"י, וממשיך שם ד"תדע דמלאכה גרועה היא" ממה שאין למדים מהמשכן אלא בעינן פסוק וכו' – הרי </w:t>
      </w:r>
      <w:r w:rsidRPr="00631F2A">
        <w:rPr>
          <w:b/>
          <w:bCs/>
          <w:rtl/>
        </w:rPr>
        <w:t>מפורש</w:t>
      </w:r>
      <w:r w:rsidRPr="00631F2A">
        <w:rPr>
          <w:rtl/>
        </w:rPr>
        <w:t xml:space="preserve"> דמה שאין למדים מהמשכן הוא </w:t>
      </w:r>
      <w:r w:rsidRPr="00631F2A">
        <w:rPr>
          <w:b/>
          <w:bCs/>
          <w:rtl/>
        </w:rPr>
        <w:t>מאותו סברא גופא</w:t>
      </w:r>
      <w:r w:rsidRPr="00631F2A">
        <w:rPr>
          <w:rtl/>
        </w:rPr>
        <w:t xml:space="preserve"> דמה לי מרה"י וכו' (ולא מסברת האו"ז הנ"ל. וצ"ע שהאו"ז כ"כ בשם ר"ת).</w:t>
      </w:r>
    </w:p>
    <w:p w14:paraId="3D654771" w14:textId="77777777" w:rsidR="00304B8E" w:rsidRPr="00631F2A" w:rsidRDefault="00304B8E" w:rsidP="00531DED">
      <w:pPr>
        <w:pStyle w:val="FootnoteText"/>
        <w:rPr>
          <w:rtl/>
        </w:rPr>
      </w:pPr>
      <w:r w:rsidRPr="00631F2A">
        <w:rPr>
          <w:rtl/>
        </w:rPr>
        <w:t>ועכצ"ל שהלל"מ הוא שאין איסור מרה"י לרה"י [ולהעיר ממש"כ הרמב"ם שבת יב, ח]. ושפיר כתבו התוס' בשבועות דא"א למילף הוצאה מרה"י לרה"ר מהמשכן דא"כ נמצא דמרה"י לרה"ר אסור ומרה"י לרה"י מותר – והוי מלאכה גרועה [ולפי"ז שוב אין הכרח לפרש בתוס' דידן בשבת דס"ל מסברת האו"ז]. וצ"ע.</w:t>
      </w:r>
    </w:p>
  </w:footnote>
  <w:footnote w:id="28">
    <w:p w14:paraId="717294A3" w14:textId="15242367"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ולכאורה דוחק לומר דהיה לתוס' סברא דרק הוצאה מרה"י לרה"ר נחשב גדר דהוצאה ולא הוצאה מרה"י לרה"י (וא"כ לא הוי מלאכה גרועה).</w:t>
      </w:r>
    </w:p>
  </w:footnote>
  <w:footnote w:id="29">
    <w:p w14:paraId="53BD2235" w14:textId="08DA5323"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ולכאורה דוחק לפרש (בתוס' דידן שהביאו ראיה מדישנו שתי פסוקים) שמביאים ראיה לזה שישנו סברא לחלק בין עני לבעה"ב (דלא כהכנסה. וראה פני יהושע שהקשה מאי שנא וכו') – ומביאים לזה סמוכין מדישנו שתי פסוקים. ואפילו את"ל כן מ"מ תיקשי לתוס' בשבועות שלא כתבו כן (כמ"ש בהפנים).</w:t>
      </w:r>
    </w:p>
  </w:footnote>
  <w:footnote w:id="30">
    <w:p w14:paraId="19D621CC" w14:textId="2CFA5EA9" w:rsidR="00304B8E" w:rsidRPr="00631F2A" w:rsidRDefault="00304B8E" w:rsidP="00531DED">
      <w:pPr>
        <w:pStyle w:val="FootnoteText"/>
        <w:rPr>
          <w:rtl/>
        </w:rPr>
      </w:pPr>
      <w:r w:rsidRPr="00631F2A">
        <w:rPr>
          <w:rStyle w:val="FootnoteReference"/>
          <w:vertAlign w:val="baseline"/>
        </w:rPr>
        <w:footnoteRef/>
      </w:r>
      <w:r>
        <w:rPr>
          <w:rFonts w:hint="cs"/>
          <w:rtl/>
        </w:rPr>
        <w:t xml:space="preserve">) </w:t>
      </w:r>
      <w:r w:rsidRPr="00631F2A">
        <w:rPr>
          <w:rtl/>
        </w:rPr>
        <w:t>דוגמא לדבר, בב"מ צו, א תוד"ה ונשאל, מבואר דפטור שאלה בבעלים הוי חידוש ואין לך בו אלא חידושו, ע"ש. אך לא אמרינן דכל גדר שאלה (אפילו שלא בבעלים וכו') הוא חידוש – אלא הפטור לחוד הוא החידוש (ולא אמרינן ד'מה לי שאלה ע"י בעלים ומה לי שלא ע"י בעלים' – ונוכיח מזה דכל החיוב של שאלה הוי הלכות עקורות וכו').</w:t>
      </w:r>
    </w:p>
  </w:footnote>
  <w:footnote w:id="31">
    <w:p w14:paraId="46DB6115" w14:textId="6A18136F" w:rsidR="00304B8E" w:rsidRPr="00631F2A" w:rsidRDefault="00304B8E" w:rsidP="00631F2A">
      <w:pPr>
        <w:pStyle w:val="FootnoteText"/>
        <w:spacing w:after="0" w:line="276" w:lineRule="auto"/>
        <w:rPr>
          <w:rtl/>
        </w:rPr>
      </w:pPr>
      <w:r w:rsidRPr="00631F2A">
        <w:rPr>
          <w:rStyle w:val="FootnoteReference"/>
          <w:vertAlign w:val="baseline"/>
        </w:rPr>
        <w:footnoteRef/>
      </w:r>
      <w:r>
        <w:rPr>
          <w:rFonts w:hint="cs"/>
          <w:rtl/>
        </w:rPr>
        <w:t xml:space="preserve">) </w:t>
      </w:r>
      <w:r w:rsidRPr="00631F2A">
        <w:rPr>
          <w:rtl/>
        </w:rPr>
        <w:t>וצע"ק דלפי"ז דמשמע מדברי התוס' דמסתבר יותר לומר שהמלאכה עצמה הוא מלאכה גרועה (ולא שהחידוש הוא רק בהפטור), ורק שמביאים ראיה והוכחה לזה מדבעינן פסוקים וכו' [ועוד, אם אינו מסתבר יותר לומר כן צע"ק אם אפשר להוכיח כן מדישנו שתי פסוקים – דאולי הוא לדרשה אחרת וכו'].</w:t>
      </w:r>
    </w:p>
  </w:footnote>
  <w:footnote w:id="32">
    <w:p w14:paraId="01B35D0B" w14:textId="2537BD37" w:rsidR="00304B8E" w:rsidRPr="00631F2A" w:rsidRDefault="00304B8E" w:rsidP="00531DED">
      <w:pPr>
        <w:pStyle w:val="FootnoteText"/>
      </w:pPr>
      <w:r w:rsidRPr="00631F2A">
        <w:rPr>
          <w:rStyle w:val="FootnoteReference"/>
          <w:vertAlign w:val="baseline"/>
        </w:rPr>
        <w:footnoteRef/>
      </w:r>
      <w:r>
        <w:rPr>
          <w:rFonts w:hint="cs"/>
          <w:rtl/>
        </w:rPr>
        <w:t>)</w:t>
      </w:r>
      <w:r w:rsidRPr="00631F2A">
        <w:rPr>
          <w:rtl/>
        </w:rPr>
        <w:t xml:space="preserve"> סוטה כ, ב. ואין להוכיח מהסוגיא דהזורק (שבת צו) שמקומו של משה רבינו היה "מחנה לויה" והיה לו דין </w:t>
      </w:r>
      <w:r w:rsidRPr="00631F2A">
        <w:rPr>
          <w:b/>
          <w:bCs/>
          <w:rtl/>
        </w:rPr>
        <w:t>רשות הרבים</w:t>
      </w:r>
      <w:r w:rsidRPr="00631F2A">
        <w:rPr>
          <w:rtl/>
        </w:rPr>
        <w:t xml:space="preserve">, שהרי בפשטות הכוונה היא שמתוך כל מחנה לויה שהיה מד' צדדי המשכן, המקום היחיד שהיו </w:t>
      </w:r>
      <w:r w:rsidRPr="00631F2A">
        <w:rPr>
          <w:b/>
          <w:bCs/>
          <w:rtl/>
        </w:rPr>
        <w:t>מצויים בו רבים</w:t>
      </w:r>
      <w:r w:rsidRPr="00631F2A">
        <w:rPr>
          <w:rtl/>
        </w:rPr>
        <w:t xml:space="preserve"> והיה בו דין רה"ר הוא מקומו של משה רבינו; ולשם הביאו את כל תרומות המשכן. ופשוט.</w:t>
      </w:r>
    </w:p>
  </w:footnote>
  <w:footnote w:id="33">
    <w:p w14:paraId="59051AFA" w14:textId="6662BF2B" w:rsidR="00304B8E" w:rsidRPr="00631F2A" w:rsidRDefault="00304B8E" w:rsidP="0072178A">
      <w:pPr>
        <w:pStyle w:val="FootnoteText"/>
      </w:pPr>
      <w:r w:rsidRPr="00631F2A">
        <w:footnoteRef/>
      </w:r>
      <w:r>
        <w:rPr>
          <w:rFonts w:hint="cs"/>
          <w:rtl/>
        </w:rPr>
        <w:t>)</w:t>
      </w:r>
      <w:r w:rsidRPr="00631F2A">
        <w:rPr>
          <w:rtl/>
        </w:rPr>
        <w:t xml:space="preserve"> הל' ביאת המקדש פ"ג, הל' יח,כא.</w:t>
      </w:r>
    </w:p>
  </w:footnote>
  <w:footnote w:id="34">
    <w:p w14:paraId="33E8DA91" w14:textId="288A3F31" w:rsidR="00304B8E" w:rsidRPr="00631F2A" w:rsidRDefault="00304B8E" w:rsidP="00531DED">
      <w:pPr>
        <w:pStyle w:val="FootnoteText"/>
        <w:rPr>
          <w:rtl/>
        </w:rPr>
      </w:pPr>
      <w:r w:rsidRPr="00631F2A">
        <w:rPr>
          <w:rStyle w:val="FootnoteReference"/>
          <w:vertAlign w:val="baseline"/>
        </w:rPr>
        <w:footnoteRef/>
      </w:r>
      <w:r>
        <w:rPr>
          <w:rFonts w:hint="cs"/>
          <w:rtl/>
        </w:rPr>
        <w:t>)</w:t>
      </w:r>
      <w:r w:rsidRPr="00631F2A">
        <w:rPr>
          <w:rtl/>
        </w:rPr>
        <w:t xml:space="preserve"> וראה רש"י סוטה שם שהביא בפשטות: "והנדה והזב והזבה ו</w:t>
      </w:r>
      <w:r w:rsidRPr="00631F2A">
        <w:rPr>
          <w:b/>
          <w:bCs/>
          <w:rtl/>
        </w:rPr>
        <w:t xml:space="preserve">בעל קרי </w:t>
      </w:r>
      <w:r w:rsidRPr="00631F2A">
        <w:rPr>
          <w:rtl/>
        </w:rPr>
        <w:t>אסורים במחנה לויה כדילפינן בפסחים בפרק אלו דברים".</w:t>
      </w:r>
    </w:p>
  </w:footnote>
  <w:footnote w:id="35">
    <w:p w14:paraId="0715ACD1" w14:textId="5AA704D4" w:rsidR="00304B8E" w:rsidRPr="00631F2A" w:rsidRDefault="00304B8E" w:rsidP="00531DED">
      <w:pPr>
        <w:pStyle w:val="FootnoteText"/>
        <w:rPr>
          <w:rtl/>
        </w:rPr>
      </w:pPr>
      <w:r w:rsidRPr="00631F2A">
        <w:rPr>
          <w:rStyle w:val="FootnoteReference"/>
          <w:vertAlign w:val="baseline"/>
        </w:rPr>
        <w:footnoteRef/>
      </w:r>
      <w:r>
        <w:rPr>
          <w:rFonts w:hint="cs"/>
          <w:rtl/>
        </w:rPr>
        <w:t>)</w:t>
      </w:r>
      <w:r w:rsidRPr="00631F2A">
        <w:rPr>
          <w:rtl/>
        </w:rPr>
        <w:t xml:space="preserve"> הכוונה לפס' המובא בגמ' לעיל "כי יהיה . . אשר לא יהיה טהור מקרה לילה ויצא אל מחוץ למחנה כו'".</w:t>
      </w:r>
    </w:p>
  </w:footnote>
  <w:footnote w:id="36">
    <w:p w14:paraId="659393FB" w14:textId="54712489" w:rsidR="00304B8E" w:rsidRPr="00631F2A" w:rsidRDefault="00304B8E" w:rsidP="00531DED">
      <w:pPr>
        <w:pStyle w:val="FootnoteText"/>
        <w:rPr>
          <w:rtl/>
        </w:rPr>
      </w:pPr>
      <w:r w:rsidRPr="00631F2A">
        <w:rPr>
          <w:rStyle w:val="FootnoteReference"/>
          <w:vertAlign w:val="baseline"/>
        </w:rPr>
        <w:footnoteRef/>
      </w:r>
      <w:r>
        <w:rPr>
          <w:rFonts w:hint="cs"/>
          <w:rtl/>
        </w:rPr>
        <w:t>)</w:t>
      </w:r>
      <w:r w:rsidRPr="00631F2A">
        <w:rPr>
          <w:rtl/>
        </w:rPr>
        <w:t xml:space="preserve"> ולכאורה מחוסר ברירה צריך לומר שיש כאן ב' דינים (ומאחר ודרכו של הרמב"ם לא לכתוב חידושי הלכות שלא נאמרו בש"ס, לא כתב כן בפירוש ורק לא כתב איסור בעל קרי במחנה לויה שלא יטעו לאסור בשני המקרים).</w:t>
      </w:r>
    </w:p>
    <w:p w14:paraId="69A0FE04" w14:textId="77777777" w:rsidR="00304B8E" w:rsidRPr="00631F2A" w:rsidRDefault="00304B8E" w:rsidP="00531DED">
      <w:pPr>
        <w:pStyle w:val="FootnoteText"/>
        <w:rPr>
          <w:rtl/>
        </w:rPr>
      </w:pPr>
      <w:r w:rsidRPr="00631F2A">
        <w:rPr>
          <w:b/>
          <w:bCs/>
          <w:rtl/>
        </w:rPr>
        <w:t>אופן א'</w:t>
      </w:r>
      <w:r w:rsidRPr="00631F2A">
        <w:rPr>
          <w:rtl/>
        </w:rPr>
        <w:t xml:space="preserve">: הפסוק שממנו למדים בגמ' שם נאמר על "בעל קרי" באונס ("מקרה לילה"), ואין למדים מכך גם לבע"ק ברצון (ואע"ג דמשמע בגמ' ברכות (כב, א-ב) שהחמירו ברצון יותר מאשר באונס, הרי שם מדובר לגבי תקנת עזרא כדי שלא יהיו מצויים כתרנגולין כו' ולא לגבי חומרת הטומאה). </w:t>
      </w:r>
    </w:p>
    <w:p w14:paraId="603DC6A1" w14:textId="77777777" w:rsidR="00304B8E" w:rsidRPr="00631F2A" w:rsidRDefault="00304B8E" w:rsidP="00531DED">
      <w:pPr>
        <w:pStyle w:val="FootnoteText"/>
        <w:rPr>
          <w:rtl/>
        </w:rPr>
      </w:pPr>
      <w:r w:rsidRPr="00631F2A">
        <w:rPr>
          <w:rtl/>
        </w:rPr>
        <w:t>ועפ"ז יש לתרץ באופן נוסף קושיית המל"מ (בהל' ביאת המקדש) כיצד מצינו בועל נדה שאינו בעל קרי ומותר במחנה לויה; אך על פי אופן זה מובן שאין בועל נדה כבעל קרי לעניין יציאה למחנה לויה, וא"כ פשוט שמותר במחנה לויה (ומה שמביא שם קושיא דומה מרש"י בברכות - הרי שם המדובר לגבי דין טבילת בעל קרי, והרי כבר כתבנו שלגבי טבילה יש להחמיר יותר בראיה מרצון).</w:t>
      </w:r>
    </w:p>
    <w:p w14:paraId="3CF9ECE6" w14:textId="77777777" w:rsidR="00304B8E" w:rsidRPr="00631F2A" w:rsidRDefault="00304B8E" w:rsidP="00531DED">
      <w:pPr>
        <w:pStyle w:val="FootnoteText"/>
        <w:rPr>
          <w:rtl/>
        </w:rPr>
      </w:pPr>
      <w:r w:rsidRPr="00631F2A">
        <w:rPr>
          <w:b/>
          <w:bCs/>
          <w:rtl/>
        </w:rPr>
        <w:t>אופן ב'</w:t>
      </w:r>
      <w:r w:rsidRPr="00631F2A">
        <w:rPr>
          <w:rtl/>
        </w:rPr>
        <w:t xml:space="preserve">: אולי י"ל, שאע"פ שבשאר טומאות אסור להיטמא בתוך הקודש (כדלעיל), מ"מ בטומאת בעל קרי שונה הדבר שמותר לו להטמא אלא שלאחמ"כ צריך מיד לצאת (כפשטות הל' "כי יהיה . . </w:t>
      </w:r>
      <w:r w:rsidRPr="00631F2A">
        <w:rPr>
          <w:b/>
          <w:bCs/>
          <w:rtl/>
        </w:rPr>
        <w:t>ויצא</w:t>
      </w:r>
      <w:r w:rsidRPr="00631F2A">
        <w:rPr>
          <w:rtl/>
        </w:rPr>
        <w:t xml:space="preserve"> אל מחוץ למחנה" בשונה משאר הטמאים שמדובר בפשטות שאסור להכנס "לא יבוא");</w:t>
      </w:r>
    </w:p>
    <w:p w14:paraId="5B02084C" w14:textId="77777777" w:rsidR="00304B8E" w:rsidRPr="00631F2A" w:rsidRDefault="00304B8E" w:rsidP="00531DED">
      <w:pPr>
        <w:pStyle w:val="FootnoteText"/>
        <w:rPr>
          <w:rtl/>
        </w:rPr>
      </w:pPr>
      <w:r w:rsidRPr="00631F2A">
        <w:rPr>
          <w:rtl/>
        </w:rPr>
        <w:t>אלא שלפי אופן זה לא נוכל לתרץ הקושיא על "בועל נידה" שדינו קל מבעל קרי.</w:t>
      </w:r>
    </w:p>
    <w:p w14:paraId="78053628" w14:textId="77777777" w:rsidR="00304B8E" w:rsidRPr="00631F2A" w:rsidRDefault="00304B8E" w:rsidP="00531DED">
      <w:pPr>
        <w:pStyle w:val="FootnoteText"/>
      </w:pPr>
      <w:r w:rsidRPr="00631F2A">
        <w:rPr>
          <w:rtl/>
        </w:rPr>
        <w:t>אלא שב' האופנים הם רק חלוקה מצד ההכרח ולא מצאתי ראיות להנ"ל.</w:t>
      </w:r>
    </w:p>
  </w:footnote>
  <w:footnote w:id="37">
    <w:p w14:paraId="7AFB819B" w14:textId="2BF8A1BB" w:rsidR="00304B8E" w:rsidRPr="00631F2A" w:rsidRDefault="00304B8E" w:rsidP="00531DED">
      <w:pPr>
        <w:pStyle w:val="FootnoteText"/>
        <w:rPr>
          <w:rtl/>
        </w:rPr>
      </w:pPr>
      <w:r w:rsidRPr="00631F2A">
        <w:rPr>
          <w:rStyle w:val="FootnoteReference"/>
          <w:vertAlign w:val="baseline"/>
        </w:rPr>
        <w:footnoteRef/>
      </w:r>
      <w:r>
        <w:rPr>
          <w:rFonts w:hint="cs"/>
          <w:rtl/>
        </w:rPr>
        <w:t>)</w:t>
      </w:r>
      <w:r w:rsidRPr="00631F2A">
        <w:rPr>
          <w:rtl/>
        </w:rPr>
        <w:t xml:space="preserve"> ובפרט שהוא דין שלא היה מצוי להלכה אפי' בזמן הגמ' ולא ראיתי כלל שדנים בהנ"ל.</w:t>
      </w:r>
    </w:p>
  </w:footnote>
  <w:footnote w:id="38">
    <w:p w14:paraId="54B3385D" w14:textId="7C615B92" w:rsidR="00304B8E" w:rsidRPr="00631F2A" w:rsidRDefault="00304B8E" w:rsidP="00BE42E8">
      <w:pPr>
        <w:pStyle w:val="FootnoteText"/>
        <w:rPr>
          <w:rtl/>
        </w:rPr>
      </w:pPr>
      <w:r w:rsidRPr="00631F2A">
        <w:rPr>
          <w:rStyle w:val="FootnoteReference"/>
          <w:vertAlign w:val="baseline"/>
        </w:rPr>
        <w:footnoteRef/>
      </w:r>
      <w:r>
        <w:rPr>
          <w:rFonts w:hint="cs"/>
          <w:rtl/>
        </w:rPr>
        <w:t>)</w:t>
      </w:r>
      <w:r w:rsidRPr="00631F2A">
        <w:rPr>
          <w:rtl/>
        </w:rPr>
        <w:t xml:space="preserve"> כי </w:t>
      </w:r>
      <w:r w:rsidRPr="00BE42E8">
        <w:rPr>
          <w:rFonts w:hint="cs"/>
          <w:rtl/>
        </w:rPr>
        <w:t>תשא</w:t>
      </w:r>
      <w:r w:rsidRPr="00631F2A">
        <w:rPr>
          <w:rtl/>
        </w:rPr>
        <w:t xml:space="preserve"> לד, ו.</w:t>
      </w:r>
      <w:r w:rsidRPr="00631F2A">
        <w:t xml:space="preserve"> </w:t>
      </w:r>
    </w:p>
  </w:footnote>
  <w:footnote w:id="39">
    <w:p w14:paraId="7A863687" w14:textId="3E02EBAC" w:rsidR="00304B8E" w:rsidRPr="00BE42E8" w:rsidRDefault="00304B8E" w:rsidP="00BE42E8">
      <w:pPr>
        <w:pStyle w:val="FootnoteText"/>
        <w:rPr>
          <w:rtl/>
        </w:rPr>
      </w:pPr>
      <w:r w:rsidRPr="00631F2A">
        <w:rPr>
          <w:rStyle w:val="FootnoteReference"/>
          <w:vertAlign w:val="baseline"/>
        </w:rPr>
        <w:footnoteRef/>
      </w:r>
      <w:r>
        <w:rPr>
          <w:rFonts w:hint="cs"/>
          <w:rtl/>
        </w:rPr>
        <w:t>)</w:t>
      </w:r>
      <w:r w:rsidRPr="00631F2A">
        <w:rPr>
          <w:rtl/>
        </w:rPr>
        <w:t xml:space="preserve">  הדבר כבר הובא בסידור האריז"ל, סדר כוונות ראש חודש אלול; ובמשנת חסידים, מסכת אלול פרק א' </w:t>
      </w:r>
      <w:r w:rsidRPr="00BE42E8">
        <w:rPr>
          <w:rFonts w:hint="cs"/>
          <w:rtl/>
        </w:rPr>
        <w:t xml:space="preserve">משנה ג'. ועוד. </w:t>
      </w:r>
    </w:p>
  </w:footnote>
  <w:footnote w:id="40">
    <w:p w14:paraId="09E6C4B8" w14:textId="1117F43D" w:rsidR="00304B8E" w:rsidRPr="00BE42E8" w:rsidRDefault="00304B8E" w:rsidP="00BE42E8">
      <w:pPr>
        <w:pStyle w:val="FootnoteText"/>
        <w:rPr>
          <w:rtl/>
        </w:rPr>
      </w:pPr>
      <w:r w:rsidRPr="00BE42E8">
        <w:rPr>
          <w:rStyle w:val="FootnoteReference"/>
          <w:vertAlign w:val="baseline"/>
        </w:rPr>
        <w:footnoteRef/>
      </w:r>
      <w:r w:rsidRPr="00BE42E8">
        <w:rPr>
          <w:rFonts w:hint="cs"/>
          <w:rtl/>
        </w:rPr>
        <w:t xml:space="preserve">)  </w:t>
      </w:r>
      <w:r w:rsidRPr="00BE42E8">
        <w:rPr>
          <w:rFonts w:hint="cs"/>
          <w:rtl/>
        </w:rPr>
        <w:t>אגרת מכ' מנחם אב, תש"ח; הובא בלקוטי שיחות, חלק ד, עמוד 1348.</w:t>
      </w:r>
      <w:r w:rsidRPr="00BE42E8">
        <w:t xml:space="preserve"> </w:t>
      </w:r>
    </w:p>
  </w:footnote>
  <w:footnote w:id="41">
    <w:p w14:paraId="75157B11" w14:textId="5F0177F6" w:rsidR="00304B8E" w:rsidRPr="00BE42E8" w:rsidRDefault="00304B8E" w:rsidP="00BE42E8">
      <w:pPr>
        <w:pStyle w:val="FootnoteText"/>
        <w:rPr>
          <w:rtl/>
        </w:rPr>
      </w:pPr>
      <w:r w:rsidRPr="00BE42E8">
        <w:rPr>
          <w:rStyle w:val="FootnoteReference"/>
          <w:vertAlign w:val="baseline"/>
        </w:rPr>
        <w:footnoteRef/>
      </w:r>
      <w:r w:rsidRPr="00BE42E8">
        <w:rPr>
          <w:rFonts w:hint="cs"/>
          <w:rtl/>
        </w:rPr>
        <w:t>)  ספר המאמרים תרפ"ח, עמוד קמט.</w:t>
      </w:r>
      <w:r w:rsidRPr="00BE42E8">
        <w:t xml:space="preserve"> </w:t>
      </w:r>
    </w:p>
  </w:footnote>
  <w:footnote w:id="42">
    <w:p w14:paraId="541F2C2B" w14:textId="56641439" w:rsidR="00304B8E" w:rsidRPr="00BE42E8" w:rsidRDefault="00304B8E" w:rsidP="00BE42E8">
      <w:pPr>
        <w:pStyle w:val="FootnoteText"/>
        <w:rPr>
          <w:rtl/>
        </w:rPr>
      </w:pPr>
      <w:r w:rsidRPr="00BE42E8">
        <w:rPr>
          <w:rStyle w:val="FootnoteReference"/>
          <w:vertAlign w:val="baseline"/>
        </w:rPr>
        <w:footnoteRef/>
      </w:r>
      <w:r w:rsidRPr="00BE42E8">
        <w:rPr>
          <w:rFonts w:hint="cs"/>
          <w:rtl/>
        </w:rPr>
        <w:t xml:space="preserve">)  </w:t>
      </w:r>
      <w:r w:rsidRPr="00BE42E8">
        <w:rPr>
          <w:rFonts w:hint="cs"/>
          <w:rtl/>
        </w:rPr>
        <w:t>דף יז, עמוד ב.</w:t>
      </w:r>
      <w:r w:rsidRPr="00BE42E8">
        <w:t xml:space="preserve"> </w:t>
      </w:r>
    </w:p>
  </w:footnote>
  <w:footnote w:id="43">
    <w:p w14:paraId="4AEE442A" w14:textId="4389A3D9" w:rsidR="00304B8E" w:rsidRPr="00BE42E8" w:rsidRDefault="00304B8E" w:rsidP="00BE42E8">
      <w:pPr>
        <w:pStyle w:val="FootnoteText"/>
        <w:rPr>
          <w:rFonts w:hint="cs"/>
          <w:rtl/>
        </w:rPr>
      </w:pPr>
      <w:r w:rsidRPr="00BE42E8">
        <w:rPr>
          <w:rFonts w:hint="cs"/>
          <w:rtl/>
        </w:rPr>
        <w:t xml:space="preserve">6) </w:t>
      </w:r>
      <w:r w:rsidRPr="00BE42E8">
        <w:rPr>
          <w:rFonts w:hint="cs"/>
          <w:rtl/>
        </w:rPr>
        <w:t>הר"ן על הרי"ף בגמרא ראש השנה שם מוכיח שכן היא דעת הרי"ף, שהמדה הראשונה היא שם הוי' השני, כיון שהרי"ף כותב שם  שהמדה הששית של השלש עשרה מדות היא ורב חסד. מזה פירש הר"ן: "שנראה מדבריו [של הרי"ף] שאינו מונה "ה'" "ה'"  שתי מדות וכן</w:t>
      </w:r>
      <w:r w:rsidRPr="00BE42E8">
        <w:t xml:space="preserve"> </w:t>
      </w:r>
      <w:r w:rsidRPr="00BE42E8">
        <w:rPr>
          <w:rFonts w:hint="cs"/>
          <w:rtl/>
        </w:rPr>
        <w:t>פירש רבינו נסים גאון".</w:t>
      </w:r>
    </w:p>
    <w:p w14:paraId="31B9D13B" w14:textId="56A3FFFF" w:rsidR="00304B8E" w:rsidRPr="00BE42E8" w:rsidRDefault="00304B8E" w:rsidP="00BE42E8">
      <w:pPr>
        <w:pStyle w:val="FootnoteText"/>
        <w:rPr>
          <w:rFonts w:hint="cs"/>
          <w:rtl/>
        </w:rPr>
      </w:pPr>
      <w:r w:rsidRPr="00BE42E8">
        <w:rPr>
          <w:rFonts w:hint="cs"/>
          <w:rtl/>
        </w:rPr>
        <w:t>כן היא דעת הרמב"ם בתשובותיו סימן רסז, שכתב שם: "</w:t>
      </w:r>
      <w:r w:rsidRPr="00BE42E8">
        <w:rPr>
          <w:rtl/>
        </w:rPr>
        <w:t>ושהשם הראשון אינו מן השלש עשרה מדות, הרי זה דבר</w:t>
      </w:r>
      <w:r w:rsidRPr="00BE42E8">
        <w:rPr>
          <w:rFonts w:hint="cs"/>
          <w:rtl/>
        </w:rPr>
        <w:t xml:space="preserve"> </w:t>
      </w:r>
      <w:r w:rsidRPr="00BE42E8">
        <w:rPr>
          <w:rtl/>
        </w:rPr>
        <w:t>נכון, לא</w:t>
      </w:r>
      <w:r w:rsidRPr="00BE42E8">
        <w:rPr>
          <w:rFonts w:hint="cs"/>
          <w:rtl/>
        </w:rPr>
        <w:t xml:space="preserve"> שמעתי </w:t>
      </w:r>
      <w:r w:rsidRPr="00BE42E8">
        <w:rPr>
          <w:rtl/>
        </w:rPr>
        <w:t>מעולם מי שחלק על זה</w:t>
      </w:r>
      <w:r w:rsidRPr="00BE42E8">
        <w:rPr>
          <w:rFonts w:hint="cs"/>
          <w:rtl/>
        </w:rPr>
        <w:t>". גם מביא ראי' לזה, ממה שהרי"ף כותב שהמדה הששית של השלש עשרה מדות היא 'ורב</w:t>
      </w:r>
      <w:r w:rsidRPr="00BE42E8">
        <w:t xml:space="preserve"> </w:t>
      </w:r>
      <w:r w:rsidRPr="00BE42E8">
        <w:rPr>
          <w:rFonts w:hint="cs"/>
          <w:rtl/>
        </w:rPr>
        <w:t>חסד' "</w:t>
      </w:r>
      <w:r w:rsidRPr="00BE42E8">
        <w:rPr>
          <w:rtl/>
        </w:rPr>
        <w:t>וזה לא</w:t>
      </w:r>
      <w:r w:rsidRPr="00BE42E8">
        <w:rPr>
          <w:rFonts w:hint="cs"/>
          <w:rtl/>
        </w:rPr>
        <w:t xml:space="preserve"> </w:t>
      </w:r>
      <w:r w:rsidRPr="00BE42E8">
        <w:rPr>
          <w:rtl/>
        </w:rPr>
        <w:t>יהיה, אלא אם יהיה המניין מן השם השני</w:t>
      </w:r>
      <w:r w:rsidRPr="00BE42E8">
        <w:rPr>
          <w:rFonts w:hint="cs"/>
          <w:rtl/>
        </w:rPr>
        <w:t xml:space="preserve">". </w:t>
      </w:r>
    </w:p>
    <w:p w14:paraId="409C9355" w14:textId="77777777" w:rsidR="00304B8E" w:rsidRPr="00BE42E8" w:rsidRDefault="00304B8E" w:rsidP="00BE42E8">
      <w:pPr>
        <w:pStyle w:val="FootnoteText"/>
        <w:rPr>
          <w:rtl/>
        </w:rPr>
      </w:pPr>
      <w:r w:rsidRPr="00BE42E8">
        <w:rPr>
          <w:rFonts w:hint="cs"/>
          <w:rtl/>
        </w:rPr>
        <w:t>אמנם גם לשיטת המקובלים בסמוך, שמתחילין למנות הי"ג מדות משם א-ל, מדת ורב חסד היא המדה הששית.</w:t>
      </w:r>
      <w:r w:rsidRPr="00BE42E8">
        <w:rPr>
          <w:rStyle w:val="FootnoteReference"/>
          <w:vertAlign w:val="baseline"/>
        </w:rPr>
        <w:t xml:space="preserve"> </w:t>
      </w:r>
    </w:p>
  </w:footnote>
  <w:footnote w:id="44">
    <w:p w14:paraId="51CD07FB" w14:textId="125F9AB2" w:rsidR="00304B8E" w:rsidRPr="00BE42E8" w:rsidRDefault="00304B8E" w:rsidP="00BE42E8">
      <w:pPr>
        <w:pStyle w:val="FootnoteText"/>
        <w:rPr>
          <w:rtl/>
        </w:rPr>
      </w:pPr>
      <w:r w:rsidRPr="00BE42E8">
        <w:rPr>
          <w:rFonts w:hint="cs"/>
          <w:rtl/>
        </w:rPr>
        <w:t xml:space="preserve">7) </w:t>
      </w:r>
      <w:r w:rsidRPr="00BE42E8">
        <w:rPr>
          <w:rFonts w:hint="cs"/>
          <w:rtl/>
        </w:rPr>
        <w:t xml:space="preserve">עץ חיים היכל ג', שער אריך אנפין פרק יא; משנת חסידים תפילת העשי'ה, פ"ג ס"ד; וכן משמע בראשית חכמה שכתב שם בשער תשובה פרק א', דף פה ע"א:"... אמר  לי'ה [הקב"ה לאורייתא] וכי למגנא אקרינא </w:t>
      </w:r>
      <w:r w:rsidRPr="00BE42E8">
        <w:rPr>
          <w:rtl/>
        </w:rPr>
        <w:t>–</w:t>
      </w:r>
      <w:r w:rsidRPr="00BE42E8">
        <w:rPr>
          <w:rFonts w:hint="cs"/>
          <w:rtl/>
        </w:rPr>
        <w:t xml:space="preserve"> א-ל רחום וחנון"</w:t>
      </w:r>
      <w:r w:rsidRPr="00BE42E8">
        <w:t xml:space="preserve"> </w:t>
      </w:r>
    </w:p>
  </w:footnote>
  <w:footnote w:id="45">
    <w:p w14:paraId="41B81BCC" w14:textId="78BE507D" w:rsidR="00304B8E" w:rsidRPr="00BE42E8" w:rsidRDefault="00304B8E" w:rsidP="00BE42E8">
      <w:pPr>
        <w:pStyle w:val="FootnoteText"/>
        <w:rPr>
          <w:rtl/>
        </w:rPr>
      </w:pPr>
      <w:r w:rsidRPr="00BE42E8">
        <w:rPr>
          <w:rStyle w:val="FootnoteReference"/>
          <w:vertAlign w:val="baseline"/>
        </w:rPr>
        <w:footnoteRef/>
      </w:r>
      <w:r w:rsidRPr="00BE42E8">
        <w:rPr>
          <w:rFonts w:hint="cs"/>
          <w:rtl/>
        </w:rPr>
        <w:t xml:space="preserve">) </w:t>
      </w:r>
      <w:r w:rsidRPr="00BE42E8">
        <w:rPr>
          <w:rFonts w:hint="cs"/>
          <w:rtl/>
        </w:rPr>
        <w:t>ראש השנה יז, ע"ב: ד"ה שלש עשרה מדות.</w:t>
      </w:r>
      <w:r w:rsidRPr="00BE42E8">
        <w:t xml:space="preserve"> </w:t>
      </w:r>
    </w:p>
  </w:footnote>
  <w:footnote w:id="46">
    <w:p w14:paraId="4F0F455D" w14:textId="3725C79B" w:rsidR="00304B8E" w:rsidRPr="00BE42E8" w:rsidRDefault="00304B8E" w:rsidP="00BE42E8">
      <w:pPr>
        <w:pStyle w:val="FootnoteText"/>
        <w:rPr>
          <w:rtl/>
        </w:rPr>
      </w:pPr>
      <w:r w:rsidRPr="00BE42E8">
        <w:rPr>
          <w:rStyle w:val="FootnoteReference"/>
          <w:vertAlign w:val="baseline"/>
        </w:rPr>
        <w:footnoteRef/>
      </w:r>
      <w:r w:rsidRPr="00BE42E8">
        <w:rPr>
          <w:rFonts w:hint="cs"/>
          <w:rtl/>
        </w:rPr>
        <w:t>) ראש השנה  פרק ראשון, סוף סימן ה.</w:t>
      </w:r>
      <w:r w:rsidRPr="00BE42E8">
        <w:rPr>
          <w:rStyle w:val="FootnoteReference"/>
          <w:vertAlign w:val="baseline"/>
        </w:rPr>
        <w:t xml:space="preserve"> </w:t>
      </w:r>
    </w:p>
  </w:footnote>
  <w:footnote w:id="47">
    <w:p w14:paraId="17E4DBFA" w14:textId="7CA89BBD" w:rsidR="00304B8E" w:rsidRPr="00BE42E8" w:rsidRDefault="00304B8E" w:rsidP="00BE42E8">
      <w:pPr>
        <w:pStyle w:val="FootnoteText"/>
        <w:rPr>
          <w:rtl/>
        </w:rPr>
      </w:pPr>
      <w:r w:rsidRPr="00BE42E8">
        <w:rPr>
          <w:rtl/>
        </w:rPr>
        <w:t>10</w:t>
      </w:r>
      <w:r w:rsidRPr="00BE42E8">
        <w:rPr>
          <w:rFonts w:hint="cs"/>
          <w:rtl/>
        </w:rPr>
        <w:t xml:space="preserve">) האבן עזרא מונה למדה השמינית "ורב </w:t>
      </w:r>
      <w:r w:rsidRPr="00BE42E8">
        <w:rPr>
          <w:rStyle w:val="FootnoteReference"/>
          <w:rFonts w:hint="cs"/>
          <w:vertAlign w:val="baseline"/>
          <w:rtl/>
        </w:rPr>
        <w:t xml:space="preserve"> </w:t>
      </w:r>
      <w:r w:rsidRPr="00BE42E8">
        <w:rPr>
          <w:rFonts w:hint="cs"/>
          <w:rtl/>
        </w:rPr>
        <w:t>אמת" באמרו שכשהתורה כתבה "ורב חסד ואמת" הכוונה היתה ש"מלת רב תשרת בעבור אחרת" ר"ל שמלת "ורב" קשורה גם לחסד וגם לאמת כאילו כתוב ורב חסד ורב אמת.</w:t>
      </w:r>
      <w:r w:rsidRPr="00BE42E8">
        <w:t xml:space="preserve"> </w:t>
      </w:r>
    </w:p>
  </w:footnote>
  <w:footnote w:id="48">
    <w:p w14:paraId="41D7BB78" w14:textId="6B6BA4A2" w:rsidR="00304B8E" w:rsidRPr="00BE42E8" w:rsidRDefault="00304B8E" w:rsidP="00BE42E8">
      <w:pPr>
        <w:pStyle w:val="FootnoteText"/>
        <w:rPr>
          <w:rtl/>
        </w:rPr>
      </w:pPr>
      <w:r w:rsidRPr="00BE42E8">
        <w:rPr>
          <w:rStyle w:val="FootnoteReference"/>
          <w:vertAlign w:val="baseline"/>
        </w:rPr>
        <w:footnoteRef/>
      </w:r>
      <w:r w:rsidRPr="00BE42E8">
        <w:rPr>
          <w:rFonts w:hint="cs"/>
          <w:rtl/>
        </w:rPr>
        <w:t xml:space="preserve">) </w:t>
      </w:r>
      <w:r w:rsidRPr="00BE42E8">
        <w:rPr>
          <w:rFonts w:hint="cs"/>
          <w:rtl/>
        </w:rPr>
        <w:t>עונות אלו זדונות [ר"ת שם, ורא"ש שם ע"פ הגמרא יומא פרק אמר להם הממונה דף לו, ע"ב].</w:t>
      </w:r>
      <w:r w:rsidRPr="00BE42E8">
        <w:t xml:space="preserve"> </w:t>
      </w:r>
    </w:p>
  </w:footnote>
  <w:footnote w:id="49">
    <w:p w14:paraId="0C3FC689" w14:textId="1B97C82D" w:rsidR="00304B8E" w:rsidRPr="00BE42E8" w:rsidRDefault="00304B8E" w:rsidP="00BE42E8">
      <w:pPr>
        <w:pStyle w:val="FootnoteText"/>
        <w:rPr>
          <w:rtl/>
        </w:rPr>
      </w:pPr>
      <w:r w:rsidRPr="00BE42E8">
        <w:rPr>
          <w:rStyle w:val="FootnoteReference"/>
          <w:vertAlign w:val="baseline"/>
        </w:rPr>
        <w:footnoteRef/>
      </w:r>
      <w:r w:rsidRPr="00BE42E8">
        <w:rPr>
          <w:rFonts w:hint="cs"/>
          <w:rtl/>
        </w:rPr>
        <w:t>)  פשעים אלו המרדים.</w:t>
      </w:r>
      <w:r w:rsidRPr="00BE42E8">
        <w:t xml:space="preserve"> </w:t>
      </w:r>
    </w:p>
  </w:footnote>
  <w:footnote w:id="50">
    <w:p w14:paraId="05B02461" w14:textId="28E71A6D" w:rsidR="00304B8E" w:rsidRPr="00631F2A" w:rsidRDefault="00304B8E" w:rsidP="00BE42E8">
      <w:pPr>
        <w:pStyle w:val="FootnoteText"/>
        <w:rPr>
          <w:rtl/>
        </w:rPr>
      </w:pPr>
      <w:r w:rsidRPr="00BE42E8">
        <w:rPr>
          <w:rStyle w:val="FootnoteReference"/>
          <w:vertAlign w:val="baseline"/>
        </w:rPr>
        <w:footnoteRef/>
      </w:r>
      <w:r w:rsidRPr="00BE42E8">
        <w:rPr>
          <w:rFonts w:hint="cs"/>
          <w:rtl/>
        </w:rPr>
        <w:t>)  חטאות אלו</w:t>
      </w:r>
      <w:r w:rsidRPr="00631F2A">
        <w:rPr>
          <w:rtl/>
        </w:rPr>
        <w:t xml:space="preserve"> השגגות.</w:t>
      </w:r>
      <w:r w:rsidRPr="00631F2A">
        <w:t xml:space="preserve"> </w:t>
      </w:r>
    </w:p>
  </w:footnote>
  <w:footnote w:id="51">
    <w:p w14:paraId="51704FF7" w14:textId="76291657" w:rsidR="00304B8E" w:rsidRPr="00631F2A" w:rsidRDefault="00304B8E" w:rsidP="00BE42E8">
      <w:pPr>
        <w:pStyle w:val="FootnoteText"/>
        <w:rPr>
          <w:rtl/>
        </w:rPr>
      </w:pPr>
      <w:r w:rsidRPr="00631F2A">
        <w:rPr>
          <w:rStyle w:val="FootnoteReference"/>
          <w:vertAlign w:val="baseline"/>
        </w:rPr>
        <w:footnoteRef/>
      </w:r>
      <w:r>
        <w:rPr>
          <w:rFonts w:hint="cs"/>
          <w:sz w:val="16"/>
          <w:szCs w:val="16"/>
          <w:rtl/>
        </w:rPr>
        <w:t xml:space="preserve">) </w:t>
      </w:r>
      <w:r w:rsidRPr="00631F2A">
        <w:rPr>
          <w:rtl/>
        </w:rPr>
        <w:t>מבואר בתוספות ד"ה שלש עשרה מדות ראש השנה יז, ע"ב וז"ל: "</w:t>
      </w:r>
      <w:r w:rsidRPr="00631F2A">
        <w:rPr>
          <w:rtl/>
          <w:lang w:val="en-AU"/>
        </w:rPr>
        <w:t>ונוצר חסד לאלפים מונה בשתי מדות, דנוצר חסד היינו מדה אחת, לאלפים מדה אחרת, שמדה טובה מרובה חמש מאות על מדת פורענות דהתם כתיב על רבעים והכא כתיב לאלפים".  עד"ז פירש</w:t>
      </w:r>
      <w:r w:rsidRPr="00631F2A">
        <w:rPr>
          <w:lang w:val="en-AU"/>
        </w:rPr>
        <w:t xml:space="preserve">   </w:t>
      </w:r>
      <w:r w:rsidRPr="00631F2A">
        <w:rPr>
          <w:rtl/>
          <w:lang w:val="en-AU"/>
        </w:rPr>
        <w:t>הרא"ש והר"ן.</w:t>
      </w:r>
      <w:r w:rsidRPr="00631F2A">
        <w:rPr>
          <w:rStyle w:val="FootnoteReference"/>
          <w:vertAlign w:val="baseline"/>
        </w:rPr>
        <w:t xml:space="preserve"> </w:t>
      </w:r>
      <w:r w:rsidRPr="00631F2A">
        <w:t xml:space="preserve"> </w:t>
      </w:r>
    </w:p>
  </w:footnote>
  <w:footnote w:id="52">
    <w:p w14:paraId="5CB88F72" w14:textId="012139FE" w:rsidR="00304B8E" w:rsidRPr="00631F2A" w:rsidRDefault="00304B8E" w:rsidP="00BE42E8">
      <w:pPr>
        <w:pStyle w:val="FootnoteText"/>
        <w:rPr>
          <w:sz w:val="16"/>
          <w:szCs w:val="16"/>
          <w:rtl/>
        </w:rPr>
      </w:pPr>
      <w:r w:rsidRPr="00631F2A">
        <w:rPr>
          <w:sz w:val="22"/>
          <w:szCs w:val="22"/>
          <w:rtl/>
        </w:rPr>
        <w:t>15</w:t>
      </w:r>
      <w:r>
        <w:rPr>
          <w:rFonts w:hint="cs"/>
          <w:sz w:val="16"/>
          <w:szCs w:val="16"/>
          <w:rtl/>
        </w:rPr>
        <w:t xml:space="preserve">) </w:t>
      </w:r>
      <w:r w:rsidRPr="00631F2A">
        <w:rPr>
          <w:rtl/>
        </w:rPr>
        <w:t xml:space="preserve">בהגהה על התוספות שם ז"ל: "ארך אפים לצדיקים ולרשעים </w:t>
      </w:r>
      <w:r w:rsidRPr="00631F2A">
        <w:rPr>
          <w:sz w:val="16"/>
          <w:szCs w:val="16"/>
          <w:rtl/>
        </w:rPr>
        <w:t>[כדאיתא בעירובין דף כב ע"א]</w:t>
      </w:r>
      <w:r w:rsidRPr="00631F2A">
        <w:rPr>
          <w:rtl/>
        </w:rPr>
        <w:t xml:space="preserve"> והם שתי מדות". </w:t>
      </w:r>
    </w:p>
    <w:p w14:paraId="2F63E4A7" w14:textId="119E51F8" w:rsidR="00304B8E" w:rsidRPr="00631F2A" w:rsidRDefault="00304B8E" w:rsidP="00BE42E8">
      <w:pPr>
        <w:pStyle w:val="FootnoteText"/>
        <w:rPr>
          <w:rtl/>
        </w:rPr>
      </w:pPr>
      <w:r w:rsidRPr="00631F2A">
        <w:rPr>
          <w:rtl/>
        </w:rPr>
        <w:t>באבן עזרא כי תשא לד, ו וז"ל:  "ורב נסים אמר כי מלת ארך אפים שתי מדות לטובים ולרעים".</w:t>
      </w:r>
    </w:p>
  </w:footnote>
  <w:footnote w:id="53">
    <w:p w14:paraId="2647A526" w14:textId="1B0896E2" w:rsidR="00304B8E" w:rsidRPr="00631F2A" w:rsidRDefault="00304B8E" w:rsidP="00BE42E8">
      <w:pPr>
        <w:pStyle w:val="FootnoteText"/>
        <w:rPr>
          <w:rtl/>
          <w:lang w:val="en-AU"/>
        </w:rPr>
      </w:pPr>
      <w:r w:rsidRPr="00631F2A">
        <w:rPr>
          <w:rtl/>
        </w:rPr>
        <w:t>16</w:t>
      </w:r>
      <w:r>
        <w:rPr>
          <w:rFonts w:hint="cs"/>
          <w:rtl/>
        </w:rPr>
        <w:t xml:space="preserve">) </w:t>
      </w:r>
      <w:r w:rsidRPr="00631F2A">
        <w:rPr>
          <w:rtl/>
        </w:rPr>
        <w:t xml:space="preserve">ברמב"ם שם וז"ל: "ובני אדם נחלקו גם במניין. יש מי שמונה ונקה מדה אחת, לא ינקה מדה שניה, והוא התרגום עצמו" [שתרגם ונקה: סלח לדתיבין לאוריתה, לעומת לא ינקה: ולדלא תיבין לא מזכי]. ועוד כתב שם: " מניינם לפי המפורסם  הרי הוא זה: הראשון ה', השני אל, השלישי רחום, הרביעי חנון, החמישי ארך אפים, הששי רב חסד, השביעי ואמת, השמיני  נוצר חסד לאלפים, התשיעי נושא עוון, העשירי ופשע, האחד העשר וחטאה, השנים עשר ונקה, השלשה עשר לא ינקה". </w:t>
      </w:r>
    </w:p>
  </w:footnote>
  <w:footnote w:id="54">
    <w:p w14:paraId="25976B6A" w14:textId="4FA3E1EF" w:rsidR="00304B8E" w:rsidRPr="00631F2A" w:rsidRDefault="00304B8E" w:rsidP="00BE42E8">
      <w:pPr>
        <w:pStyle w:val="FootnoteText"/>
        <w:rPr>
          <w:rtl/>
        </w:rPr>
      </w:pPr>
      <w:r w:rsidRPr="00631F2A">
        <w:rPr>
          <w:rtl/>
        </w:rPr>
        <w:t xml:space="preserve"> </w:t>
      </w:r>
      <w:r w:rsidRPr="00631F2A">
        <w:rPr>
          <w:rStyle w:val="FootnoteReference"/>
          <w:vertAlign w:val="baseline"/>
        </w:rPr>
        <w:footnoteRef/>
      </w:r>
      <w:r>
        <w:rPr>
          <w:rFonts w:hint="cs"/>
          <w:rtl/>
        </w:rPr>
        <w:t>)</w:t>
      </w:r>
      <w:r w:rsidRPr="00631F2A">
        <w:rPr>
          <w:rtl/>
        </w:rPr>
        <w:t xml:space="preserve"> וגם זה מתאים עם מה שכותב שהרי"ף  שם שהמדה הששית של השלש עשרה מדות היא ורב חסד. </w:t>
      </w:r>
    </w:p>
    <w:p w14:paraId="3D00755C" w14:textId="5D1F7FA4" w:rsidR="00304B8E" w:rsidRPr="00631F2A" w:rsidRDefault="00304B8E" w:rsidP="00BE42E8">
      <w:pPr>
        <w:pStyle w:val="FootnoteText"/>
        <w:rPr>
          <w:rtl/>
        </w:rPr>
      </w:pPr>
      <w:r w:rsidRPr="00631F2A">
        <w:rPr>
          <w:rtl/>
        </w:rPr>
        <w:t xml:space="preserve">  </w:t>
      </w:r>
      <w:r w:rsidRPr="00631F2A">
        <w:t>18</w:t>
      </w:r>
      <w:r>
        <w:rPr>
          <w:rFonts w:hint="cs"/>
          <w:rtl/>
        </w:rPr>
        <w:t>)</w:t>
      </w:r>
      <w:r w:rsidRPr="00631F2A">
        <w:rPr>
          <w:rtl/>
        </w:rPr>
        <w:t xml:space="preserve"> ברמב"ם שם וז"ל: "ויש מי שמונה אותם יחד מדה אחת ואומר שהם מדה אחת, ומבאר כונתם, שהוא, יתעלה, לא יעקור מן השרש ולא יעשה כלה". </w:t>
      </w:r>
    </w:p>
    <w:p w14:paraId="2EC5F58A" w14:textId="1C708D0C" w:rsidR="00304B8E" w:rsidRPr="00631F2A" w:rsidRDefault="00304B8E" w:rsidP="00BE42E8">
      <w:pPr>
        <w:pStyle w:val="FootnoteText"/>
        <w:rPr>
          <w:rtl/>
        </w:rPr>
      </w:pPr>
      <w:r w:rsidRPr="00631F2A">
        <w:rPr>
          <w:sz w:val="22"/>
          <w:szCs w:val="22"/>
          <w:rtl/>
        </w:rPr>
        <w:t xml:space="preserve"> 19</w:t>
      </w:r>
      <w:r>
        <w:rPr>
          <w:rFonts w:hint="cs"/>
          <w:sz w:val="22"/>
          <w:szCs w:val="22"/>
          <w:rtl/>
        </w:rPr>
        <w:t>)</w:t>
      </w:r>
      <w:r w:rsidRPr="00631F2A">
        <w:rPr>
          <w:rtl/>
        </w:rPr>
        <w:t xml:space="preserve"> ברמב"ם שם וז"ל: "ומי שמונה ונקה לא ינקה מדה אחת, כמו שפרשוהו פרשני ספרד, יאמר, שמה שאמר עוד פוקד עוון אבות הוא</w:t>
      </w:r>
      <w:r w:rsidRPr="00631F2A">
        <w:rPr>
          <w:rFonts w:hint="cs"/>
          <w:rtl/>
        </w:rPr>
        <w:t xml:space="preserve"> </w:t>
      </w:r>
      <w:r w:rsidRPr="00631F2A">
        <w:rPr>
          <w:rtl/>
        </w:rPr>
        <w:t>המדה השלש עשרה". המהר"ל מפרש שזה נחשב לרחמים מפני שאם יולד בן צדיק, הקב"ה מכפר על האב שחטא  בשביל  בניו.</w:t>
      </w:r>
    </w:p>
  </w:footnote>
  <w:footnote w:id="55">
    <w:p w14:paraId="6C855F84" w14:textId="4A888ADD"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היכל ג' שער אריך אנפין פרק יא.</w:t>
      </w:r>
    </w:p>
  </w:footnote>
  <w:footnote w:id="56">
    <w:p w14:paraId="53AE3AE5" w14:textId="1F7FF702"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שער הסליחות פ"ד.</w:t>
      </w:r>
      <w:r w:rsidRPr="00631F2A">
        <w:t xml:space="preserve"> </w:t>
      </w:r>
    </w:p>
  </w:footnote>
  <w:footnote w:id="57">
    <w:p w14:paraId="5E164B6A" w14:textId="27ED1A18"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דרושי ויעבור דרוש ג' ואילך.</w:t>
      </w:r>
      <w:r w:rsidRPr="00631F2A">
        <w:t xml:space="preserve"> </w:t>
      </w:r>
    </w:p>
  </w:footnote>
  <w:footnote w:id="58">
    <w:p w14:paraId="185814C0" w14:textId="5C79E508"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מסכת שארית האצילות פ"י ואילך.</w:t>
      </w:r>
      <w:r w:rsidRPr="00631F2A">
        <w:t xml:space="preserve"> </w:t>
      </w:r>
    </w:p>
  </w:footnote>
  <w:footnote w:id="59">
    <w:p w14:paraId="0620CB2B" w14:textId="656F90AA"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בפרי עץ חיים שער יב שער הסליחות פרק ד ז"ל: "שארך אפים מורה על ב' מדות ביחד, לזה לא אמר ארך אף אלא אפים". עיין לעיל הערה 15 ושם נתבאר.</w:t>
      </w:r>
    </w:p>
    <w:p w14:paraId="331ED3B0" w14:textId="139583B4" w:rsidR="00304B8E" w:rsidRPr="00631F2A" w:rsidRDefault="00304B8E" w:rsidP="00BE42E8">
      <w:pPr>
        <w:pStyle w:val="FootnoteText"/>
        <w:rPr>
          <w:rtl/>
        </w:rPr>
      </w:pPr>
      <w:r w:rsidRPr="00631F2A">
        <w:rPr>
          <w:sz w:val="22"/>
          <w:szCs w:val="22"/>
          <w:rtl/>
        </w:rPr>
        <w:t>25</w:t>
      </w:r>
      <w:r>
        <w:rPr>
          <w:rFonts w:hint="cs"/>
          <w:sz w:val="16"/>
          <w:szCs w:val="16"/>
          <w:rtl/>
        </w:rPr>
        <w:t xml:space="preserve">) </w:t>
      </w:r>
      <w:r w:rsidRPr="00631F2A">
        <w:rPr>
          <w:rtl/>
        </w:rPr>
        <w:t>במהר"ל שם וז"ל: "ומה שזכר כאן אלו שלשה דהיינו פוקד עון אבות וגו' בכלל י"ג מדות של רחמים, הוא דעת המפרשים שהביא   הרמב"ן בפרשת יתרו [פרק כ, פסוק ה], שפירשו פוקד עון אבות על בנים היינו שהוא זוכר עון על הבנים דהיינו אם  יולד בן צדיק,</w:t>
      </w:r>
      <w:r w:rsidRPr="00631F2A">
        <w:t xml:space="preserve"> </w:t>
      </w:r>
      <w:r w:rsidRPr="00631F2A">
        <w:rPr>
          <w:rtl/>
        </w:rPr>
        <w:t>הקב"ה מכפר על האב שחטא, בשביל בניו. וכן עד רבעים אם יולד בן צדיק, מכפר על האב החוטא".  ולהלן  הוא כותב: "ועוד אם הוא  לרעה הוא מדה טובה, כי פירוש עון אבות על בנים שאם יפקוד על האב בלבד, אין האב יכול  לעמוד.  ולפיכך פוקד האב על הבן גם כן עד שאפשר לאב לעמוד.  ואם הבן צדיק, אין עליו עונש כלל. ואם כן, פוקד עון אבות  על בנים מדת טובו".</w:t>
      </w:r>
      <w:r w:rsidRPr="00631F2A">
        <w:t xml:space="preserve"> </w:t>
      </w:r>
    </w:p>
    <w:p w14:paraId="40ABE114" w14:textId="369EDC83" w:rsidR="00304B8E" w:rsidRPr="00631F2A" w:rsidRDefault="00304B8E" w:rsidP="00BE42E8">
      <w:pPr>
        <w:pStyle w:val="FootnoteText"/>
        <w:rPr>
          <w:rtl/>
        </w:rPr>
      </w:pPr>
      <w:r w:rsidRPr="00631F2A">
        <w:rPr>
          <w:rtl/>
        </w:rPr>
        <w:t xml:space="preserve"> </w:t>
      </w:r>
      <w:r w:rsidRPr="00631F2A">
        <w:rPr>
          <w:rStyle w:val="FootnoteReference"/>
          <w:vertAlign w:val="baseline"/>
          <w:rtl/>
        </w:rPr>
        <w:t>2</w:t>
      </w:r>
      <w:r w:rsidRPr="00631F2A">
        <w:rPr>
          <w:rtl/>
        </w:rPr>
        <w:t>6</w:t>
      </w:r>
      <w:r>
        <w:rPr>
          <w:rFonts w:hint="cs"/>
          <w:rtl/>
        </w:rPr>
        <w:t xml:space="preserve">) </w:t>
      </w:r>
      <w:r w:rsidRPr="00631F2A">
        <w:rPr>
          <w:rtl/>
        </w:rPr>
        <w:t>במהר"ל שם וז"ל: "... על שלשים היינו בני בנים רק הוא מפרש מאי בני בנים, וקאמר על שלשים".</w:t>
      </w:r>
    </w:p>
    <w:p w14:paraId="1CE68373" w14:textId="77777777" w:rsidR="00304B8E" w:rsidRPr="00631F2A" w:rsidRDefault="00304B8E" w:rsidP="00BE42E8">
      <w:pPr>
        <w:pStyle w:val="FootnoteText"/>
        <w:rPr>
          <w:rtl/>
        </w:rPr>
      </w:pPr>
    </w:p>
  </w:footnote>
  <w:footnote w:id="60">
    <w:p w14:paraId="52FA3FA3" w14:textId="7FCF3146" w:rsidR="00304B8E" w:rsidRPr="00631F2A" w:rsidRDefault="00304B8E" w:rsidP="00BE42E8">
      <w:pPr>
        <w:pStyle w:val="FootnoteText"/>
      </w:pPr>
      <w:r w:rsidRPr="00631F2A">
        <w:rPr>
          <w:rStyle w:val="FootnoteReference"/>
          <w:vertAlign w:val="baseline"/>
        </w:rPr>
        <w:footnoteRef/>
      </w:r>
      <w:r>
        <w:rPr>
          <w:rFonts w:hint="cs"/>
          <w:rtl/>
        </w:rPr>
        <w:t xml:space="preserve">) </w:t>
      </w:r>
      <w:r w:rsidRPr="00631F2A">
        <w:rPr>
          <w:rtl/>
        </w:rPr>
        <w:t xml:space="preserve">הרבנו תם כתב שעפ"ז נחשבו השני שמות ה' כשני מדות; אחד שמרחם קודם החטא והשני שמרחם אחר החטא. </w:t>
      </w:r>
    </w:p>
  </w:footnote>
  <w:footnote w:id="61">
    <w:p w14:paraId="65683CDC" w14:textId="03A115D6" w:rsidR="00304B8E" w:rsidRPr="00631F2A" w:rsidRDefault="00304B8E" w:rsidP="00BE42E8">
      <w:pPr>
        <w:pStyle w:val="FootnoteText"/>
        <w:rPr>
          <w:rtl/>
        </w:rPr>
      </w:pPr>
      <w:r w:rsidRPr="00631F2A">
        <w:rPr>
          <w:rStyle w:val="FootnoteReference"/>
          <w:vertAlign w:val="baseline"/>
        </w:rPr>
        <w:footnoteRef/>
      </w:r>
      <w:r>
        <w:rPr>
          <w:rFonts w:hint="cs"/>
          <w:rtl/>
        </w:rPr>
        <w:t xml:space="preserve">) </w:t>
      </w:r>
      <w:r w:rsidRPr="00631F2A">
        <w:rPr>
          <w:rtl/>
        </w:rPr>
        <w:t>היכל ג' שער אריך אנפין פרק יא.</w:t>
      </w:r>
      <w:r w:rsidRPr="00631F2A">
        <w:t xml:space="preserve"> </w:t>
      </w:r>
    </w:p>
  </w:footnote>
  <w:footnote w:id="62">
    <w:p w14:paraId="6AF3AC4B" w14:textId="27BFDB42" w:rsidR="00304B8E" w:rsidRPr="00631F2A" w:rsidRDefault="00304B8E" w:rsidP="00BE42E8">
      <w:pPr>
        <w:pStyle w:val="FootnoteText"/>
      </w:pPr>
      <w:r w:rsidRPr="00631F2A">
        <w:rPr>
          <w:rtl/>
        </w:rPr>
        <w:t>29</w:t>
      </w:r>
      <w:r>
        <w:rPr>
          <w:rFonts w:hint="cs"/>
          <w:rtl/>
        </w:rPr>
        <w:t xml:space="preserve">) </w:t>
      </w:r>
      <w:r w:rsidRPr="00631F2A">
        <w:rPr>
          <w:rtl/>
        </w:rPr>
        <w:t xml:space="preserve">דף יז ע"ב וז"ל: אל רחום וחנון, אמר רב יהודה: ברית כרותה לשלש עשרה מדות שאינן חוזרות ריקם, שנאמר </w:t>
      </w:r>
      <w:r w:rsidRPr="00631F2A">
        <w:rPr>
          <w:sz w:val="16"/>
          <w:szCs w:val="16"/>
          <w:rtl/>
        </w:rPr>
        <w:t>[שמות לד]</w:t>
      </w:r>
      <w:r w:rsidRPr="00631F2A">
        <w:rPr>
          <w:rtl/>
        </w:rPr>
        <w:t xml:space="preserve"> הנה אנכי כרת</w:t>
      </w:r>
      <w:r>
        <w:rPr>
          <w:rFonts w:hint="cs"/>
          <w:rtl/>
        </w:rPr>
        <w:t xml:space="preserve"> </w:t>
      </w:r>
      <w:r w:rsidRPr="00631F2A">
        <w:rPr>
          <w:rtl/>
        </w:rPr>
        <w:t xml:space="preserve">ברית. </w:t>
      </w:r>
      <w:r w:rsidRPr="00631F2A">
        <w:t xml:space="preserve"> </w:t>
      </w:r>
      <w:r w:rsidRPr="00631F2A">
        <w:rPr>
          <w:rtl/>
        </w:rPr>
        <w:t>וכן היא גירסת העין יעקב שם.</w:t>
      </w:r>
    </w:p>
    <w:p w14:paraId="2125BA6D" w14:textId="37379326" w:rsidR="00304B8E" w:rsidRPr="00631F2A" w:rsidRDefault="00304B8E" w:rsidP="00BE42E8">
      <w:pPr>
        <w:pStyle w:val="FootnoteText"/>
        <w:rPr>
          <w:rtl/>
        </w:rPr>
      </w:pPr>
      <w:r w:rsidRPr="00631F2A">
        <w:rPr>
          <w:rtl/>
        </w:rPr>
        <w:t>30</w:t>
      </w:r>
      <w:r>
        <w:rPr>
          <w:rFonts w:hint="cs"/>
          <w:rtl/>
        </w:rPr>
        <w:t>)</w:t>
      </w:r>
      <w:r w:rsidRPr="00631F2A">
        <w:rPr>
          <w:rtl/>
        </w:rPr>
        <w:t xml:space="preserve"> כי תשא לד,ו.</w:t>
      </w:r>
    </w:p>
    <w:p w14:paraId="3F6DA0C5" w14:textId="237B133A" w:rsidR="00304B8E" w:rsidRPr="00631F2A" w:rsidRDefault="00304B8E" w:rsidP="00BE42E8">
      <w:pPr>
        <w:pStyle w:val="FootnoteText"/>
        <w:rPr>
          <w:rtl/>
        </w:rPr>
      </w:pPr>
      <w:r w:rsidRPr="00631F2A">
        <w:rPr>
          <w:sz w:val="22"/>
          <w:szCs w:val="22"/>
          <w:rtl/>
        </w:rPr>
        <w:t>31</w:t>
      </w:r>
      <w:r>
        <w:rPr>
          <w:rFonts w:hint="cs"/>
          <w:sz w:val="16"/>
          <w:szCs w:val="16"/>
          <w:rtl/>
        </w:rPr>
        <w:t>)</w:t>
      </w:r>
      <w:r w:rsidRPr="00631F2A">
        <w:rPr>
          <w:sz w:val="16"/>
          <w:szCs w:val="16"/>
          <w:rtl/>
        </w:rPr>
        <w:t xml:space="preserve"> </w:t>
      </w:r>
      <w:r w:rsidRPr="00631F2A">
        <w:rPr>
          <w:rtl/>
        </w:rPr>
        <w:t>בתרגום יונתן בן עוזיאל</w:t>
      </w:r>
      <w:r w:rsidRPr="00631F2A">
        <w:rPr>
          <w:rStyle w:val="FootnoteReference"/>
          <w:vertAlign w:val="baseline"/>
          <w:rtl/>
        </w:rPr>
        <w:t xml:space="preserve"> </w:t>
      </w:r>
      <w:r w:rsidRPr="00631F2A">
        <w:rPr>
          <w:rtl/>
        </w:rPr>
        <w:t>שם, פסוק ה וז"ל: "וקרא משה בשום מימרא דה'."</w:t>
      </w:r>
      <w:r w:rsidRPr="00631F2A">
        <w:rPr>
          <w:rStyle w:val="FootnoteReference"/>
          <w:vertAlign w:val="baseline"/>
          <w:rtl/>
        </w:rPr>
        <w:t xml:space="preserve"> </w:t>
      </w:r>
      <w:r w:rsidRPr="00631F2A">
        <w:rPr>
          <w:rtl/>
        </w:rPr>
        <w:t xml:space="preserve"> רש"י בפירושו שם מביא התרגום אונקלוס וז"ל: "מתרגמינן וקרא בשמא </w:t>
      </w:r>
      <w:r w:rsidRPr="00631F2A">
        <w:rPr>
          <w:b/>
          <w:bCs/>
          <w:rtl/>
        </w:rPr>
        <w:t>ד</w:t>
      </w:r>
      <w:r w:rsidRPr="00631F2A">
        <w:rPr>
          <w:rtl/>
        </w:rPr>
        <w:t>ה'."  ופירש ר"א מזרחי. הובא בשפתי חכמים שם, דמוכח מן התרגום שהי' משה הקורא, שאילו הי' השם</w:t>
      </w:r>
      <w:r w:rsidRPr="00631F2A">
        <w:t xml:space="preserve"> </w:t>
      </w:r>
      <w:r w:rsidRPr="00631F2A">
        <w:rPr>
          <w:rtl/>
        </w:rPr>
        <w:t xml:space="preserve">   הקורא הי' מתורגם וקרא בשמא ה', שפירושו ויקרא ה' בשם. וכן הוא בפרד"א סוף פרק מו, ובספר חסידים ס' רנ, שמשה הי' הקורא בפסוק זה.</w:t>
      </w:r>
    </w:p>
  </w:footnote>
  <w:footnote w:id="63">
    <w:p w14:paraId="6BBD6FBE" w14:textId="77777777" w:rsidR="00304B8E" w:rsidRPr="00631F2A" w:rsidRDefault="00304B8E" w:rsidP="004E3A96">
      <w:pPr>
        <w:pStyle w:val="FootnoteText"/>
        <w:tabs>
          <w:tab w:val="left" w:pos="8590"/>
        </w:tabs>
        <w:spacing w:line="276" w:lineRule="auto"/>
        <w:jc w:val="left"/>
        <w:rPr>
          <w:rtl/>
        </w:rPr>
      </w:pPr>
    </w:p>
  </w:footnote>
  <w:footnote w:id="64">
    <w:p w14:paraId="5D74C57B" w14:textId="77777777" w:rsidR="00304B8E" w:rsidRPr="00631F2A" w:rsidRDefault="00304B8E" w:rsidP="004E3A96">
      <w:pPr>
        <w:pStyle w:val="FootnoteText"/>
        <w:spacing w:line="276" w:lineRule="auto"/>
        <w:rPr>
          <w:rtl/>
        </w:rPr>
      </w:pPr>
      <w:r w:rsidRPr="00631F2A">
        <w:t xml:space="preserve">   </w:t>
      </w:r>
      <w:r w:rsidRPr="00631F2A">
        <w:rPr>
          <w:rtl/>
        </w:rPr>
        <w:t xml:space="preserve"> </w:t>
      </w:r>
    </w:p>
  </w:footnote>
  <w:footnote w:id="65">
    <w:p w14:paraId="6CED390C" w14:textId="3DEEB3CE" w:rsidR="00304B8E" w:rsidRPr="00631F2A" w:rsidRDefault="00304B8E" w:rsidP="004E3A96">
      <w:pPr>
        <w:pStyle w:val="FootnoteText"/>
        <w:rPr>
          <w:rtl/>
        </w:rPr>
      </w:pPr>
      <w:r w:rsidRPr="00631F2A">
        <w:rPr>
          <w:rStyle w:val="FootnoteReference"/>
          <w:vertAlign w:val="baseline"/>
        </w:rPr>
        <w:footnoteRef/>
      </w:r>
      <w:r>
        <w:rPr>
          <w:rFonts w:hint="cs"/>
          <w:rtl/>
        </w:rPr>
        <w:t xml:space="preserve">) </w:t>
      </w:r>
      <w:r w:rsidRPr="00631F2A">
        <w:rPr>
          <w:rtl/>
        </w:rPr>
        <w:t>מיום ז"ך חשון תשי"ז, שהתפרסם בספר "המזכיר" ח"א ע' 104-105.</w:t>
      </w:r>
    </w:p>
  </w:footnote>
  <w:footnote w:id="66">
    <w:p w14:paraId="63B27785" w14:textId="2DCDCF31" w:rsidR="00304B8E" w:rsidRPr="00631F2A" w:rsidRDefault="00304B8E" w:rsidP="004E3A96">
      <w:pPr>
        <w:pStyle w:val="FootnoteText"/>
        <w:rPr>
          <w:rtl/>
        </w:rPr>
      </w:pPr>
      <w:r w:rsidRPr="00631F2A">
        <w:rPr>
          <w:rStyle w:val="FootnoteReference"/>
          <w:vertAlign w:val="baseline"/>
        </w:rPr>
        <w:footnoteRef/>
      </w:r>
      <w:r>
        <w:rPr>
          <w:rFonts w:hint="cs"/>
          <w:rtl/>
        </w:rPr>
        <w:t xml:space="preserve">) </w:t>
      </w:r>
      <w:r w:rsidRPr="00631F2A">
        <w:rPr>
          <w:rtl/>
        </w:rPr>
        <w:t>וקולא זו - שיחיד המתפלל בביתו בשעה שהציבור מתפללין, יכול ליפול עמהם בשעה שהם נופלים - היא גם לדעת הרוקח, כדמשמע מדברי כל הפוסקים ואדה"ז בזה (ולהעיר גם מכף החיים שם אות מט). ולא כמ"ש בהערות וביאורים ע' 58 שאין זה מתאים עם דברי המקובלים (הרוקח).</w:t>
      </w:r>
    </w:p>
  </w:footnote>
  <w:footnote w:id="67">
    <w:p w14:paraId="50A01463" w14:textId="62E9E4A8" w:rsidR="00304B8E" w:rsidRPr="00631F2A" w:rsidRDefault="00304B8E" w:rsidP="004E3A96">
      <w:pPr>
        <w:pStyle w:val="FootnoteText"/>
        <w:rPr>
          <w:rtl/>
        </w:rPr>
      </w:pPr>
      <w:r w:rsidRPr="00631F2A">
        <w:rPr>
          <w:rStyle w:val="FootnoteReference"/>
          <w:vertAlign w:val="baseline"/>
        </w:rPr>
        <w:footnoteRef/>
      </w:r>
      <w:r>
        <w:rPr>
          <w:rFonts w:hint="cs"/>
          <w:rtl/>
        </w:rPr>
        <w:t xml:space="preserve">) </w:t>
      </w:r>
      <w:r w:rsidRPr="00631F2A">
        <w:rPr>
          <w:rtl/>
        </w:rPr>
        <w:t>ע"פ דברי אדה"ז בסי' נה סכ"ב, שציין להם בסי' קלא שם.</w:t>
      </w:r>
    </w:p>
  </w:footnote>
  <w:footnote w:id="68">
    <w:p w14:paraId="283B0976" w14:textId="5D44F0D6" w:rsidR="00304B8E" w:rsidRPr="00631F2A" w:rsidRDefault="00304B8E" w:rsidP="004E3A96">
      <w:pPr>
        <w:pStyle w:val="FootnoteText"/>
        <w:rPr>
          <w:rtl/>
        </w:rPr>
      </w:pPr>
      <w:r w:rsidRPr="00631F2A">
        <w:rPr>
          <w:rStyle w:val="FootnoteReference"/>
          <w:vertAlign w:val="baseline"/>
        </w:rPr>
        <w:footnoteRef/>
      </w:r>
      <w:r>
        <w:rPr>
          <w:rFonts w:hint="cs"/>
          <w:rtl/>
        </w:rPr>
        <w:t>)</w:t>
      </w:r>
      <w:r>
        <w:rPr>
          <w:rFonts w:hint="cs"/>
        </w:rPr>
        <w:t xml:space="preserve"> </w:t>
      </w:r>
      <w:r w:rsidRPr="00631F2A">
        <w:rPr>
          <w:rtl/>
        </w:rPr>
        <w:t xml:space="preserve">ראה במשנה ברורה (שם ס"ק יג), שמה שאמרו שהמתפלל בחצר ביהכנ"ס הפתוח יכול לומר תחינה בנפילת אפים "היינו שבעת שמתפלל בחצר הוי פתח ביהכנ"ס פתוח באופן שיוכל לראות מאותו צד </w:t>
      </w:r>
      <w:r w:rsidRPr="00631F2A">
        <w:rPr>
          <w:b/>
          <w:bCs/>
          <w:rtl/>
        </w:rPr>
        <w:t>מקום הארון</w:t>
      </w:r>
      <w:r w:rsidRPr="00631F2A">
        <w:rPr>
          <w:rtl/>
        </w:rPr>
        <w:t>, [באופן זה אמרינן ד]הוי כמתפלל לפני הארון", אבל בפתח פתוח סתם לא.</w:t>
      </w:r>
    </w:p>
  </w:footnote>
  <w:footnote w:id="69">
    <w:p w14:paraId="7BE6B221" w14:textId="26260BEF" w:rsidR="00304B8E" w:rsidRPr="00631F2A" w:rsidRDefault="00304B8E" w:rsidP="004E3A96">
      <w:pPr>
        <w:pStyle w:val="FootnoteText"/>
        <w:rPr>
          <w:rtl/>
        </w:rPr>
      </w:pPr>
      <w:r w:rsidRPr="00631F2A">
        <w:rPr>
          <w:rStyle w:val="FootnoteReference"/>
          <w:vertAlign w:val="baseline"/>
        </w:rPr>
        <w:footnoteRef/>
      </w:r>
      <w:r>
        <w:rPr>
          <w:rFonts w:hint="cs"/>
          <w:rtl/>
        </w:rPr>
        <w:t xml:space="preserve">) </w:t>
      </w:r>
      <w:r w:rsidRPr="00631F2A">
        <w:rPr>
          <w:rtl/>
        </w:rPr>
        <w:t>כ"ה לשון אדה"ז (ולשון המ"א: "אם בית הכנסת נעול, לא").</w:t>
      </w:r>
    </w:p>
  </w:footnote>
  <w:footnote w:id="70">
    <w:p w14:paraId="5C4C9A04" w14:textId="2777C69B" w:rsidR="00304B8E" w:rsidRPr="00631F2A" w:rsidRDefault="00304B8E" w:rsidP="004E3A96">
      <w:pPr>
        <w:pStyle w:val="FootnoteText"/>
        <w:rPr>
          <w:rtl/>
        </w:rPr>
      </w:pPr>
      <w:r w:rsidRPr="00631F2A">
        <w:rPr>
          <w:rStyle w:val="FootnoteReference"/>
          <w:vertAlign w:val="baseline"/>
        </w:rPr>
        <w:footnoteRef/>
      </w:r>
      <w:r>
        <w:rPr>
          <w:rFonts w:hint="cs"/>
          <w:rtl/>
        </w:rPr>
        <w:t>)</w:t>
      </w:r>
      <w:r>
        <w:rPr>
          <w:rFonts w:hint="cs"/>
        </w:rPr>
        <w:t xml:space="preserve"> </w:t>
      </w:r>
      <w:r w:rsidRPr="00631F2A">
        <w:rPr>
          <w:rtl/>
        </w:rPr>
        <w:t xml:space="preserve">הלכות תפלה (בהוצאת מכון ירושלים, ע' תמה). </w:t>
      </w:r>
    </w:p>
  </w:footnote>
  <w:footnote w:id="71">
    <w:p w14:paraId="01BD7961" w14:textId="1F16DFC2" w:rsidR="00304B8E" w:rsidRPr="00631F2A" w:rsidRDefault="00304B8E" w:rsidP="004E3A96">
      <w:pPr>
        <w:pStyle w:val="FootnoteText"/>
        <w:rPr>
          <w:rtl/>
        </w:rPr>
      </w:pPr>
      <w:r w:rsidRPr="00631F2A">
        <w:rPr>
          <w:rStyle w:val="FootnoteReference"/>
          <w:vertAlign w:val="baseline"/>
        </w:rPr>
        <w:footnoteRef/>
      </w:r>
      <w:r>
        <w:rPr>
          <w:rFonts w:hint="cs"/>
          <w:rtl/>
        </w:rPr>
        <w:t>)</w:t>
      </w:r>
      <w:r>
        <w:rPr>
          <w:rFonts w:hint="cs"/>
        </w:rPr>
        <w:t xml:space="preserve"> </w:t>
      </w:r>
      <w:r w:rsidRPr="00631F2A">
        <w:rPr>
          <w:rtl/>
        </w:rPr>
        <w:t xml:space="preserve">וי"ל שסמך לזה הוא בלשון הדרכי משה (אות ג), שבהעתקתו את דברי מהרי"ל כתב: "בחצר ביהכנ"ס, אם ביהכנ"ס פתוח הוי כלפני הארון ומכסה פניו בתחינה כאילו הי' לפני הארון. אבל אם הי' ביהכנ"ס סגור מתפלל תחינה בגלוי כאילו הי' בביתו", נקט בלשונו: אם הי' ביהכנ"ס </w:t>
      </w:r>
      <w:r w:rsidRPr="00631F2A">
        <w:rPr>
          <w:b/>
          <w:bCs/>
          <w:rtl/>
        </w:rPr>
        <w:t>סגור</w:t>
      </w:r>
      <w:r w:rsidRPr="00631F2A">
        <w:rPr>
          <w:rtl/>
        </w:rPr>
        <w:t xml:space="preserve"> (לא "נעול").</w:t>
      </w:r>
    </w:p>
  </w:footnote>
  <w:footnote w:id="72">
    <w:p w14:paraId="5CE61D42" w14:textId="47A7969F" w:rsidR="00304B8E" w:rsidRPr="00631F2A" w:rsidRDefault="00304B8E" w:rsidP="004E3A96">
      <w:pPr>
        <w:pStyle w:val="FootnoteText"/>
      </w:pPr>
      <w:r w:rsidRPr="00631F2A">
        <w:rPr>
          <w:rStyle w:val="FootnoteReference"/>
          <w:vertAlign w:val="baseline"/>
        </w:rPr>
        <w:footnoteRef/>
      </w:r>
      <w:r>
        <w:rPr>
          <w:rFonts w:hint="cs"/>
          <w:rtl/>
        </w:rPr>
        <w:t xml:space="preserve">) </w:t>
      </w:r>
      <w:r w:rsidRPr="00631F2A">
        <w:rPr>
          <w:rtl/>
        </w:rPr>
        <w:t>בהערות וביאורים שם ע' 58 הערה 1.</w:t>
      </w:r>
    </w:p>
  </w:footnote>
  <w:footnote w:id="73">
    <w:p w14:paraId="02FD4E77" w14:textId="5DA0251C" w:rsidR="00304B8E" w:rsidRPr="00631F2A" w:rsidRDefault="00304B8E" w:rsidP="004E3A96">
      <w:pPr>
        <w:pStyle w:val="FootnoteText"/>
        <w:rPr>
          <w:rtl/>
        </w:rPr>
      </w:pPr>
      <w:r w:rsidRPr="00631F2A">
        <w:rPr>
          <w:rStyle w:val="FootnoteReference"/>
          <w:vertAlign w:val="baseline"/>
        </w:rPr>
        <w:footnoteRef/>
      </w:r>
      <w:r>
        <w:rPr>
          <w:rFonts w:hint="cs"/>
          <w:rtl/>
        </w:rPr>
        <w:t xml:space="preserve">) </w:t>
      </w:r>
      <w:r w:rsidRPr="00631F2A">
        <w:rPr>
          <w:rtl/>
        </w:rPr>
        <w:t>ומה שהובא ביומן הריל"ג (הנ"ל בפנים) שבבית הדפוס אמר הרבי תחנון בעמידה ולא נפל על אפיו כלל, יתכן שהי' זה בפעם אחרת (צ"ע אם בכלל ביקר בבית הדפוס פעם אחרת. יש לברר המציאות?).</w:t>
      </w:r>
    </w:p>
  </w:footnote>
  <w:footnote w:id="74">
    <w:p w14:paraId="4AB7DB69" w14:textId="63BC985C" w:rsidR="00304B8E" w:rsidRPr="00631F2A" w:rsidRDefault="00304B8E" w:rsidP="004E3A96">
      <w:pPr>
        <w:pStyle w:val="FootnoteText"/>
        <w:rPr>
          <w:rtl/>
        </w:rPr>
      </w:pPr>
      <w:r w:rsidRPr="00631F2A">
        <w:rPr>
          <w:rStyle w:val="FootnoteReference"/>
          <w:vertAlign w:val="baseline"/>
        </w:rPr>
        <w:footnoteRef/>
      </w:r>
      <w:r>
        <w:rPr>
          <w:rFonts w:hint="cs"/>
          <w:rtl/>
        </w:rPr>
        <w:t>)</w:t>
      </w:r>
      <w:r w:rsidRPr="00631F2A">
        <w:rPr>
          <w:rtl/>
        </w:rPr>
        <w:t xml:space="preserve"> כ"ה לשון אדה"ז. והרמ"א כתב "יש אומרים . . וכן נוהגים".</w:t>
      </w:r>
    </w:p>
  </w:footnote>
  <w:footnote w:id="75">
    <w:p w14:paraId="0A691D1F" w14:textId="552DEA05" w:rsidR="00304B8E" w:rsidRPr="00631F2A" w:rsidRDefault="00304B8E" w:rsidP="004E3A96">
      <w:pPr>
        <w:pStyle w:val="FootnoteText"/>
      </w:pPr>
      <w:r w:rsidRPr="00631F2A">
        <w:rPr>
          <w:rStyle w:val="FootnoteReference"/>
          <w:vertAlign w:val="baseline"/>
        </w:rPr>
        <w:footnoteRef/>
      </w:r>
      <w:r>
        <w:rPr>
          <w:rFonts w:hint="cs"/>
          <w:rtl/>
        </w:rPr>
        <w:t>)</w:t>
      </w:r>
      <w:r w:rsidRPr="00631F2A">
        <w:rPr>
          <w:rtl/>
        </w:rPr>
        <w:t xml:space="preserve"> וגם בהמשך דבריו (סק"ז) סמך להקל בזה (לענין יחיד בביתו המתפלל בשעה שהצבור מתפללים, שאפילו אם לא שומע תפלת הציבור יכול ליפול על פניו), בגלל דברי הב"י הנ"ל.</w:t>
      </w:r>
    </w:p>
  </w:footnote>
  <w:footnote w:id="76">
    <w:p w14:paraId="7D8EEDCC" w14:textId="5D77B188" w:rsidR="00304B8E" w:rsidRPr="00631F2A" w:rsidRDefault="00304B8E" w:rsidP="004E3A96">
      <w:pPr>
        <w:pStyle w:val="FootnoteText"/>
        <w:rPr>
          <w:rtl/>
        </w:rPr>
      </w:pPr>
      <w:r w:rsidRPr="00631F2A">
        <w:rPr>
          <w:rStyle w:val="FootnoteReference"/>
          <w:vertAlign w:val="baseline"/>
        </w:rPr>
        <w:footnoteRef/>
      </w:r>
      <w:r>
        <w:rPr>
          <w:rFonts w:hint="cs"/>
          <w:rtl/>
        </w:rPr>
        <w:t>)</w:t>
      </w:r>
      <w:r w:rsidRPr="00631F2A">
        <w:rPr>
          <w:rtl/>
        </w:rPr>
        <w:t xml:space="preserve"> אמנם אף על פי כן כתב, שלמעשה במקום שנהגו כהרוקח ובא אחד ורוצה לבטל המנהג, אין לבטל המנהג. עיין בשו"ת הנ"ל בפנים בארוכה.</w:t>
      </w:r>
    </w:p>
  </w:footnote>
  <w:footnote w:id="77">
    <w:p w14:paraId="6F45AC82" w14:textId="53E2A7F0" w:rsidR="00304B8E" w:rsidRPr="00631F2A" w:rsidRDefault="00304B8E" w:rsidP="004E3A96">
      <w:pPr>
        <w:pStyle w:val="FootnoteText"/>
        <w:rPr>
          <w:rtl/>
        </w:rPr>
      </w:pPr>
      <w:r w:rsidRPr="00631F2A">
        <w:rPr>
          <w:rStyle w:val="FootnoteReference"/>
          <w:vertAlign w:val="baseline"/>
        </w:rPr>
        <w:footnoteRef/>
      </w:r>
      <w:r>
        <w:rPr>
          <w:rFonts w:hint="cs"/>
          <w:rtl/>
        </w:rPr>
        <w:t>)</w:t>
      </w:r>
      <w:r w:rsidRPr="00631F2A">
        <w:rPr>
          <w:rtl/>
        </w:rPr>
        <w:t xml:space="preserve"> וזהו דלא כפי שהובא בהערות וביאורים הנ"ל ע' 58 שהרבי נהג שלא כדעת המקובלים. דאדרבה, הנהגתו זו מתאימה מאד לדעת המקובלים.</w:t>
      </w:r>
    </w:p>
  </w:footnote>
  <w:footnote w:id="78">
    <w:p w14:paraId="5EF7EBBD" w14:textId="395193DB" w:rsidR="00304B8E" w:rsidRPr="00631F2A" w:rsidRDefault="00304B8E" w:rsidP="004E3A96">
      <w:pPr>
        <w:pStyle w:val="FootnoteText"/>
        <w:rPr>
          <w:rtl/>
        </w:rPr>
      </w:pPr>
      <w:r w:rsidRPr="00631F2A">
        <w:rPr>
          <w:rStyle w:val="FootnoteReference"/>
          <w:vertAlign w:val="baseline"/>
        </w:rPr>
        <w:footnoteRef/>
      </w:r>
      <w:r>
        <w:rPr>
          <w:rFonts w:hint="cs"/>
          <w:rtl/>
        </w:rPr>
        <w:t>)</w:t>
      </w:r>
      <w:r w:rsidRPr="00631F2A">
        <w:rPr>
          <w:rtl/>
        </w:rPr>
        <w:t xml:space="preserve"> ודלא כמ"ש ב"התקשרות" (שהובא בהערות וביאורים הנ"ל ע' 57) שמכיון שהרבי נהג כן כמה פעמים ברבים, מסתבר שיש בזה הוראה לרבים.</w:t>
      </w:r>
    </w:p>
  </w:footnote>
  <w:footnote w:id="79">
    <w:p w14:paraId="200176D6" w14:textId="51FD1F42"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rtl/>
        </w:rPr>
        <w:t xml:space="preserve">כ' אין צריך שיהיה דעתו בפירוש לשתות יין בסעודה, שהרי פסק אדה"ז (סי' קע"ד ס"ה) </w:t>
      </w:r>
      <w:bookmarkStart w:id="153" w:name="סימן_קעד_"/>
      <w:r w:rsidRPr="00631F2A">
        <w:rPr>
          <w:rtl/>
        </w:rPr>
        <w:t xml:space="preserve">"אם שתה יין לפני הסעודה אפי' קודם שקבע עצמו לסעודה א''צ לברך על היין שבתוך הסעודה שנפטר בברכת היין שלפני הסעודה, אלא א''כ לא היה בדעתו תחלה לשתות יין בתוך הסעודה ואח''כ נמלך, </w:t>
      </w:r>
      <w:r w:rsidRPr="00631F2A">
        <w:rPr>
          <w:b/>
          <w:bCs/>
          <w:rtl/>
        </w:rPr>
        <w:t xml:space="preserve">אבל בסתם אינו נקרא נמלך </w:t>
      </w:r>
      <w:r w:rsidRPr="00631F2A">
        <w:rPr>
          <w:rtl/>
        </w:rPr>
        <w:t>כי רגילות הוא לשתות יין בסעודה אפי' בחול לשרות האכילה שבמעיו</w:t>
      </w:r>
      <w:bookmarkEnd w:id="153"/>
      <w:r w:rsidRPr="00631F2A">
        <w:rPr>
          <w:rtl/>
        </w:rPr>
        <w:t>", ולכן דייק בסדר ברה"נ (כאן) "אבל המבדיל על היין</w:t>
      </w:r>
      <w:r w:rsidRPr="00631F2A">
        <w:rPr>
          <w:b/>
          <w:bCs/>
          <w:rtl/>
        </w:rPr>
        <w:t xml:space="preserve"> ולא היה בדעתו כלל</w:t>
      </w:r>
      <w:r w:rsidRPr="00631F2A">
        <w:rPr>
          <w:rtl/>
        </w:rPr>
        <w:t xml:space="preserve"> לשתות יין בתוך הסעודה", היינו דבסתמא הו"ל כדעתו לשתות יין בסעודה ונפטר מהבדלה, ורק אם כיון בפירוש שלא לשתות יין בסעודה לא נפטר מהבדלה, ואולי כוונתו לזמננו במקומות שאין דרכם לשתות יין בחול דסתמא לא ישתה יין בסעודה אא"כ כיון בפירוש שישתה יין בסעודה (כמש"כ המשנה ברורה ס"ק ז).</w:t>
      </w:r>
    </w:p>
  </w:footnote>
  <w:footnote w:id="80">
    <w:p w14:paraId="7338A623" w14:textId="7FFC0275"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rtl/>
        </w:rPr>
        <w:t>ולכ' חזר בו גם במש"כ בקו"א (ס"ק ד) "דפשיטא דבעיא מקום סעודה לכו"ע בהבדלה" היינו דגם למ"ד שהבדלה פוטר יין בסעודה, היינו רק אם לא שינה מקומו, אבל הבדיל בחדר אחד ויצא לאכול סעודתו בחדר אחר, לכו"ע חוזר ומברך על היין שבסעודה, (ומשמע שדינא הכי אפי' שתה רביעית יין להבדלה, (א) שהרי לא חילק בזה, (ב) הרי גם בחול יין שלפני סעודה אינו פוטר יין בסעודה אא"כ שתה רביעית (כמש"כ בס"ס ה')), אבל בסדר ברה"נ אינו מחלק בין יין סתם ליין הבדלה, משמע דתרוויהו דינם שווה, שאם שתה רביעית בחדר הראשון פוטר יין סעודה שבחדר שני, (או אם היה דעתו בפירוש לפטור יין שבסעודה פוטרו, כמש"כ שם ה"ט).</w:t>
      </w:r>
    </w:p>
  </w:footnote>
  <w:footnote w:id="81">
    <w:p w14:paraId="5F4A87F8" w14:textId="00C156AA"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rtl/>
        </w:rPr>
        <w:t>בפשטות י"ל ככה: ידוע שיטת אדה"ז בסידור ובקו"א, שלפעמים פסק המחבר דינו בשו"ע כחד שיטה, ואח"כ בסימנים שלאחריו פסק כשיטה אחרת, והפירוש הוא שחזר בו ממש"כ לפני"ז אלא שלא טרח למחוק מה שכתב כבר כי סומך על לומדי השו"ע שלומדים כסדרן וידעו שכבר חזר בו, (ע"ד מש"כ בסידור בסדר הכנסת שבת שתחלה פסק המחבר כשיטת ר"ת ואח"כ חזר בו ופסק כהגאונים).</w:t>
      </w:r>
    </w:p>
    <w:p w14:paraId="494F2DA7" w14:textId="77777777" w:rsidR="00304B8E" w:rsidRPr="00631F2A" w:rsidRDefault="00304B8E" w:rsidP="00631F2A">
      <w:pPr>
        <w:pStyle w:val="FootnoteText"/>
        <w:rPr>
          <w:color w:val="000000"/>
          <w:rtl/>
        </w:rPr>
      </w:pPr>
      <w:r w:rsidRPr="00631F2A">
        <w:rPr>
          <w:rtl/>
        </w:rPr>
        <w:t>והנה בשו"ע המחבר (סי' קע"ד ס</w:t>
      </w:r>
      <w:bookmarkStart w:id="154" w:name="סימן_קעד"/>
      <w:r w:rsidRPr="00631F2A">
        <w:rPr>
          <w:rtl/>
        </w:rPr>
        <w:t>"ד)</w:t>
      </w:r>
      <w:r w:rsidRPr="00631F2A">
        <w:rPr>
          <w:color w:val="000000"/>
          <w:rtl/>
        </w:rPr>
        <w:t xml:space="preserve"> "אם קבע לשתות לפני המזון א"צ לברך על יין שבתוך המזון דיין שלפני המזון פוטרו וכן יין של קידוש פוטר יין שבתוך המזון וכן המבדיל על השלחן פוטר היין שבתוך המזון, וי"א שאין ברכת יין הבדלה פוטר אלא א"כ נטל ידיו קודם הבדלה, הילכך המבדיל קודם נטילה יכוין שלא להוציא יין שבתוך הסעודה, ובדיעבד שלא כוון כך פוטר יין שבתוך הסעודה דספק ברכות דרבנן להקל</w:t>
      </w:r>
      <w:bookmarkStart w:id="155" w:name="סימן_רצט"/>
      <w:bookmarkEnd w:id="154"/>
      <w:r w:rsidRPr="00631F2A">
        <w:rPr>
          <w:color w:val="000000"/>
          <w:rtl/>
        </w:rPr>
        <w:t xml:space="preserve">". </w:t>
      </w:r>
    </w:p>
    <w:p w14:paraId="7D974378" w14:textId="77777777" w:rsidR="00304B8E" w:rsidRPr="00631F2A" w:rsidRDefault="00304B8E" w:rsidP="00631F2A">
      <w:pPr>
        <w:pStyle w:val="FootnoteText"/>
        <w:rPr>
          <w:color w:val="000000"/>
          <w:rtl/>
        </w:rPr>
      </w:pPr>
      <w:r w:rsidRPr="00631F2A">
        <w:rPr>
          <w:color w:val="000000"/>
          <w:rtl/>
        </w:rPr>
        <w:t>אבל בשו"ע הלכ' שבת (סי' רצ"ט ס"ז) כתב "המבדיל על היין על שלחנו אפילו הבדיל קודם שנטל ידיו פוטר היין שבתוך המזון שא"צ לברך עליו. וי"א דלא פטר אא"כ נטל ידיו קודם שהבדיל", וכתב רמ"א "ואם הבדיל תחלה צריך לברך אחריו ברכה מעין ג</w:t>
      </w:r>
      <w:bookmarkEnd w:id="155"/>
      <w:r w:rsidRPr="00631F2A">
        <w:rPr>
          <w:color w:val="000000"/>
          <w:rtl/>
        </w:rPr>
        <w:t>", וכתב הט"ז דהיינו לשיטת הי"א, אבל לשיטה הא' א"צ לברך מעין ג' שהרי ברכת הבדלה פוטר יין שבסעודה ולכן א"צ לברך מעין ג' שהרי יפטר בברכת המזון, וכאן לא הזכיר המחבר שיש לחשוש לשיטת הי"א, אדרבא הכלל בשו"ע הוא שאם הביא דין בסתמא ואח"כ כתב דעת הי"א שהלכה כדיעה הא', ש"מ דהשו"ע חזר בו ופסק שהבדלה פוטר יין שבסעודה.</w:t>
      </w:r>
    </w:p>
  </w:footnote>
  <w:footnote w:id="82">
    <w:p w14:paraId="2F0450B3" w14:textId="769EB354" w:rsidR="00304B8E" w:rsidRPr="00631F2A" w:rsidRDefault="00304B8E" w:rsidP="00631F2A">
      <w:pPr>
        <w:pStyle w:val="FootnoteText"/>
        <w:rPr>
          <w:color w:val="000000"/>
          <w:rtl/>
        </w:rPr>
      </w:pPr>
      <w:r w:rsidRPr="00631F2A">
        <w:rPr>
          <w:rStyle w:val="FootnoteReference"/>
          <w:vertAlign w:val="baseline"/>
        </w:rPr>
        <w:footnoteRef/>
      </w:r>
      <w:r>
        <w:rPr>
          <w:rFonts w:hint="cs"/>
          <w:rtl/>
        </w:rPr>
        <w:t xml:space="preserve">) </w:t>
      </w:r>
      <w:r w:rsidRPr="00631F2A">
        <w:rPr>
          <w:color w:val="000000"/>
          <w:rtl/>
        </w:rPr>
        <w:t xml:space="preserve">וצ"ע דהול"ל עצה פשוטה יותר שמיד אחר הבדלה יברך ברכה אחרונה על היין ואז בודאי לא יפטור היין בסעודה, ודוחק לומר שגם זו עצה טובה וחד מתרי נקט, או דיתכן שישתה פחות מכשיעור ואז לא יוכל לברך ברכה אחרונה, ולזה עדיף העצה שיכוין שלא לפטור היין שבסעודה, שהרי בפירש פסק ש"בדיעבד שלא כיוון כך פוטר יין שבתוך הסעודה", ולמה לא אמרינן שיברך ברכה אחרונה וממילא לא יפטור ברכת הבדלה היין שבסעודה?    </w:t>
      </w:r>
    </w:p>
    <w:p w14:paraId="5398B17A" w14:textId="77777777" w:rsidR="00304B8E" w:rsidRPr="00631F2A" w:rsidRDefault="00304B8E" w:rsidP="00631F2A">
      <w:pPr>
        <w:pStyle w:val="FootnoteText"/>
        <w:rPr>
          <w:color w:val="000000"/>
          <w:rtl/>
        </w:rPr>
      </w:pPr>
      <w:r w:rsidRPr="00631F2A">
        <w:rPr>
          <w:color w:val="000000"/>
          <w:rtl/>
        </w:rPr>
        <w:t>ונ"ל כתב התבואות שור (סי' יט ס"ק יז) "הפרי חדש (ס"ק ח) כתב שיש להזהיר השוחטים לצאת ידי ספק ברכה שיגמרו בדעתם שלא לצאת בברכה ראשונה כי אם כל זמן שלא ישיחו שיחה בטילה...אין זה תיקון כלל, וכהאי גוונא לאו ברכה שאינה צריכה מקרי אלא ברכה לבטלה מקרי...הגע עצמך אם היו מונחים לפניו פירות ומכוין לאכול כולם ורוצה לברך על כל אחד על ידי שמכוין בכל ברכה שלא לפטור כי אם אחד אחד דזה לא נקרא מברך לבטלה, וכן משמע משל"ה (מסכת שבת פרק נר מצוה אות מח) שכתב דבשבת אם הביאו לו פירות תוך הסעודה יכול להניחם עד אחר הסעודה שירויח ברכה אחרונה להשלים מאה ברכות דמותר לגרום בשבת ברכה שאינה צריכה כדי להשלים...ואי איתא קשה למה ליה כולי האי...הרי כיון דמותר לו לגרום ברכות יכול בבת אחת שיביאו לפניו י' או כ' אגוזים ויברך על כל אחד ע"י שיכוין שלא לפטור בברכתו כי אם אחד, אלא דכהאי גוונא ברכה לבטלה הוא, ואין זה מברך אלא מנאץ ומלגלג, ולא גורם ברכה הוא, כעין זה כתב מגן אברהם (סי' תרל"ט ס"ק יז)".</w:t>
      </w:r>
    </w:p>
    <w:p w14:paraId="23DD75FB" w14:textId="77777777" w:rsidR="00304B8E" w:rsidRPr="00631F2A" w:rsidRDefault="00304B8E" w:rsidP="00631F2A">
      <w:pPr>
        <w:pStyle w:val="FootnoteText"/>
        <w:rPr>
          <w:color w:val="000000"/>
          <w:rtl/>
        </w:rPr>
      </w:pPr>
      <w:r w:rsidRPr="00631F2A">
        <w:rPr>
          <w:color w:val="000000"/>
          <w:rtl/>
        </w:rPr>
        <w:t xml:space="preserve">ושוב מקשה דבסי' קעד פסק בשו"ע לכויון שאינו פוטר יין בסעודה בברכת הבדלה ומתרץ "ולהכי אפילו למאן לאמר שאינו הפסק כשאינו מכוין להפסיקן, מכל מקום כשמכוין מודה שאינו מערבבן יחד, אבל דבר שאינו משונה כלל מחבירו לא מצינו שיפסקן במחשבתו לברך על כל אחת", ולכן אם יברך ב"א על יין הבדלה ואח"כ בורא פרי הגפן על יין שבסעודה לפי הרא"ש הו"ל ברכה לבטלה, אבל כשמתכוין תחלה שברכת היין אינו אלא על כוס הבדלה זה מהני. </w:t>
      </w:r>
    </w:p>
    <w:p w14:paraId="0203DDCD" w14:textId="77777777" w:rsidR="00304B8E" w:rsidRPr="00631F2A" w:rsidRDefault="00304B8E" w:rsidP="00631F2A">
      <w:pPr>
        <w:pStyle w:val="FootnoteText"/>
        <w:rPr>
          <w:color w:val="000000"/>
          <w:rtl/>
        </w:rPr>
      </w:pPr>
      <w:r w:rsidRPr="00631F2A">
        <w:rPr>
          <w:color w:val="000000"/>
          <w:rtl/>
        </w:rPr>
        <w:t xml:space="preserve">ויש להוסיף בביאור הדבר, אם יברך ברכה אחרונה על יין הבדלה ובאמת כוונתו לשתות יין בסעודה לא הרוויח כלום, כי ברכת בורא פרי הגפן שיברך בסעודה הוא ברכה לבטלה שהרי ברכה אחרונה שבירך על היין אינו סילוק והיסח הדעת משתיה (כמש"כ בשוע"ר סי' קץ ס"ז), אבל כשמכוין בפירוש לפני הבדלה שלא יפטור יין שבסעודה זה מהני להתחייב בב"א לפני הסעודה וממילא חייב לברך בורא פרי הגפן על היין שבתוך הסעודה. </w:t>
      </w:r>
    </w:p>
  </w:footnote>
  <w:footnote w:id="83">
    <w:p w14:paraId="6960BD1D" w14:textId="458C45CE" w:rsidR="00304B8E" w:rsidRPr="00631F2A" w:rsidRDefault="00304B8E" w:rsidP="00631F2A">
      <w:pPr>
        <w:pStyle w:val="FootnoteText"/>
        <w:rPr>
          <w:color w:val="000000"/>
          <w:rtl/>
        </w:rPr>
      </w:pPr>
      <w:r w:rsidRPr="00631F2A">
        <w:rPr>
          <w:rStyle w:val="FootnoteReference"/>
          <w:vertAlign w:val="baseline"/>
        </w:rPr>
        <w:footnoteRef/>
      </w:r>
      <w:r>
        <w:rPr>
          <w:rFonts w:hint="cs"/>
          <w:rtl/>
        </w:rPr>
        <w:t xml:space="preserve">) </w:t>
      </w:r>
      <w:r w:rsidRPr="00631F2A">
        <w:rPr>
          <w:color w:val="000000"/>
          <w:rtl/>
        </w:rPr>
        <w:t>לכ' היה אפ"ל דדעת התוס' הוא דכיון ששתה הבדלה למצוה לא אסיק אדעתיה שישתה עוד יין ואחר שגמר לשתות הבדלה הו"ל כהיסח דעתו משתיה שחייב לברך שנית, והו"ל כמי שבירך על שחיטת בהמה ואחר שגמר לשחוט הביאו לו עוף שצריך לברך שנית על שחיטת העוף (יו"ד סי יט ס"ה, ובדרכי משה בריש סי' רו מדמה דינים אלו להדדי).</w:t>
      </w:r>
      <w:bookmarkStart w:id="157" w:name="סימן_רו_"/>
      <w:r w:rsidRPr="00631F2A">
        <w:rPr>
          <w:color w:val="000000"/>
          <w:rtl/>
        </w:rPr>
        <w:t xml:space="preserve"> </w:t>
      </w:r>
    </w:p>
    <w:p w14:paraId="3F43F1DB" w14:textId="77777777" w:rsidR="00304B8E" w:rsidRPr="00631F2A" w:rsidRDefault="00304B8E" w:rsidP="00631F2A">
      <w:pPr>
        <w:pStyle w:val="FootnoteText"/>
        <w:rPr>
          <w:color w:val="000000"/>
          <w:rtl/>
        </w:rPr>
      </w:pPr>
      <w:r w:rsidRPr="00631F2A">
        <w:rPr>
          <w:color w:val="000000"/>
          <w:rtl/>
        </w:rPr>
        <w:t>אכן בשוע"ר (סי' רו ס"ט) כתב "מי שבירך על פירות שלפניו ואח''כ הביאו לו יותר...א''צ לחזור ולברך אפילו הביאו לפניו מין האחר אחר שכלה הראשון שכבר אכלו כולו והוא שכשבירך היה דעתו גם על השני לאכלו אפילו לא היה בדעתו בפירוש לפטרו בברכה זו, אבל אם לא היתה דעתו עליו בשעת הברכה צריך לחזור ולברך אם כבר אכל הראשון קודם שהביאו מין האחר לפניו, אבל אם יש עדיין לפניו ממין הראשון כשהביאו לפניו מין אחר הדומה להראשון כגון ששניהם מיני פירות או ששניהם מיני משקין א''צ לחזור ולברך עליו, שכל זמן שהוא עוסק באכילת או שתיית הראשון אינו עושה היסח הדעת מן הסתם...לפי שכן דרכו של אדם כשהוא עוסק באכילה או בשתיה להמשך בה ולגרור מאכילה לאכילה ומשתיה לשתיה" (וכ"פ בסדר ברה"נ פ"ט ה"ה).</w:t>
      </w:r>
    </w:p>
    <w:p w14:paraId="2CA233C1" w14:textId="77777777" w:rsidR="00304B8E" w:rsidRPr="00631F2A" w:rsidRDefault="00304B8E" w:rsidP="00631F2A">
      <w:pPr>
        <w:pStyle w:val="FootnoteText"/>
        <w:rPr>
          <w:color w:val="000000"/>
          <w:rtl/>
        </w:rPr>
      </w:pPr>
      <w:r w:rsidRPr="00631F2A">
        <w:rPr>
          <w:color w:val="000000"/>
          <w:rtl/>
        </w:rPr>
        <w:t>וא"כ בהבדלה אחר שגמר ההבדלה כבר הסיח דעתו מלשתות, (ואולי הו"ל הבדלה כשני מינים לגמרי שאפי' הראשון עדיין לפניו אין השני נפטר אא"כ היה דעתו עליו בתחלה</w:t>
      </w:r>
      <w:bookmarkEnd w:id="157"/>
      <w:r w:rsidRPr="00631F2A">
        <w:rPr>
          <w:color w:val="000000"/>
          <w:rtl/>
        </w:rPr>
        <w:t>), וצ"ע דא"כ למה לא כתב התוס' שבשעת הבדלה יכווין בפירוש על היין בסעודה ובזה יפטר לכו"ע (ולפי הטעם שכתבנו בפנים ניחא).</w:t>
      </w:r>
    </w:p>
  </w:footnote>
  <w:footnote w:id="84">
    <w:p w14:paraId="65A83ABE" w14:textId="692C9C5D" w:rsidR="00304B8E" w:rsidRPr="00631F2A" w:rsidRDefault="00304B8E" w:rsidP="00631F2A">
      <w:pPr>
        <w:pStyle w:val="FootnoteText"/>
        <w:rPr>
          <w:color w:val="000000"/>
          <w:rtl/>
        </w:rPr>
      </w:pPr>
      <w:r w:rsidRPr="00631F2A">
        <w:rPr>
          <w:rStyle w:val="FootnoteReference"/>
          <w:vertAlign w:val="baseline"/>
        </w:rPr>
        <w:footnoteRef/>
      </w:r>
      <w:r>
        <w:rPr>
          <w:rFonts w:hint="cs"/>
          <w:rtl/>
        </w:rPr>
        <w:t xml:space="preserve">) </w:t>
      </w:r>
      <w:r w:rsidRPr="00631F2A">
        <w:rPr>
          <w:color w:val="000000"/>
          <w:rtl/>
        </w:rPr>
        <w:t>האחרונים תירצו, שכוס הב' הו"ל כמו כוס קידוש, כמו דאמרינן דאין קידוש אלא במקום סעודה וממילא שייך להסעודה, ה"נ א"א להתחיל הסעודה עד שישתה כוס הב' ולכן שייך כוס הב' לסעודה, ולכ' גם בהבדלה אסור לאכול עד שיבדיל ומ"מ לא אמרינן דמשום הכי נעשה ההבדלה שייך לסעודה.</w:t>
      </w:r>
    </w:p>
    <w:p w14:paraId="01E27DBE" w14:textId="77777777" w:rsidR="00304B8E" w:rsidRPr="00631F2A" w:rsidRDefault="00304B8E" w:rsidP="00631F2A">
      <w:pPr>
        <w:pStyle w:val="FootnoteText"/>
        <w:rPr>
          <w:color w:val="000000"/>
          <w:rtl/>
        </w:rPr>
      </w:pPr>
      <w:r w:rsidRPr="00631F2A">
        <w:rPr>
          <w:color w:val="000000"/>
          <w:rtl/>
        </w:rPr>
        <w:t xml:space="preserve">גם יש לתרץ, לפי המ"א (ס"ק ו) אם הבדיל אחר שקבע עצמו לסעודה על השולחן ה"ה פוטר היין שבסעודה (וכ"פ בשוע"ר ס"ה), וה"נ בליל הסדר הו"ל כקבע עצמו לסעודה על השולחן ולכן כוס הב' פוטר היין שבסעודה. </w:t>
      </w:r>
    </w:p>
  </w:footnote>
  <w:footnote w:id="85">
    <w:p w14:paraId="68FE9905" w14:textId="15F8DED1"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color w:val="000000"/>
          <w:rtl/>
        </w:rPr>
        <w:t>אכן אם הפירות שלפני סעודה באו לגרור הלב לאכילה גם לפי אדה"ז יפטרו פירות שבסעודה, וכמו היין שלפני סעודה שבא לגרור (שוע"ר סי' קעד ס"ה) .</w:t>
      </w:r>
    </w:p>
  </w:footnote>
  <w:footnote w:id="86">
    <w:p w14:paraId="0A413B19" w14:textId="0D4EF2B5" w:rsidR="00304B8E" w:rsidRPr="00631F2A" w:rsidRDefault="00304B8E" w:rsidP="00631F2A">
      <w:pPr>
        <w:pStyle w:val="FootnoteText"/>
        <w:rPr>
          <w:color w:val="000000"/>
          <w:rtl/>
        </w:rPr>
      </w:pPr>
      <w:r w:rsidRPr="00631F2A">
        <w:rPr>
          <w:rStyle w:val="FootnoteReference"/>
          <w:vertAlign w:val="baseline"/>
        </w:rPr>
        <w:footnoteRef/>
      </w:r>
      <w:r>
        <w:rPr>
          <w:rFonts w:hint="cs"/>
          <w:rtl/>
        </w:rPr>
        <w:t xml:space="preserve">) </w:t>
      </w:r>
      <w:r w:rsidRPr="00631F2A">
        <w:rPr>
          <w:color w:val="000000"/>
          <w:rtl/>
        </w:rPr>
        <w:t xml:space="preserve">וז"ל בשוע"ר (סי' קע"ד ס"ה) כתב "וי''א שיין הבדלה...אינו פוטר היין שבסעודה...ויש לחוש לדבריהם לכתחלה שכשמבדיל קודם שקובע עצמו לסעודה יכוין שלא לפטור בברכה זו היין שבתוך הסעודה, </w:t>
      </w:r>
      <w:r w:rsidRPr="00631F2A">
        <w:rPr>
          <w:b/>
          <w:bCs/>
          <w:color w:val="000000"/>
          <w:rtl/>
        </w:rPr>
        <w:t>ובדיעבד</w:t>
      </w:r>
      <w:r w:rsidRPr="00631F2A">
        <w:rPr>
          <w:color w:val="000000"/>
          <w:rtl/>
        </w:rPr>
        <w:t xml:space="preserve"> שלא כיון לכך </w:t>
      </w:r>
      <w:r w:rsidRPr="00631F2A">
        <w:rPr>
          <w:b/>
          <w:bCs/>
          <w:color w:val="000000"/>
          <w:rtl/>
        </w:rPr>
        <w:t>א''צ לברך על היין שבתוך הסעודה שספק ברכות של דברי סופרים להקל</w:t>
      </w:r>
      <w:r w:rsidRPr="00631F2A">
        <w:rPr>
          <w:color w:val="000000"/>
          <w:rtl/>
        </w:rPr>
        <w:t>".</w:t>
      </w:r>
    </w:p>
    <w:p w14:paraId="0384F63E" w14:textId="77777777" w:rsidR="00304B8E" w:rsidRPr="00631F2A" w:rsidRDefault="00304B8E" w:rsidP="00631F2A">
      <w:pPr>
        <w:pStyle w:val="FootnoteText"/>
        <w:rPr>
          <w:color w:val="000000"/>
          <w:rtl/>
        </w:rPr>
      </w:pPr>
      <w:r w:rsidRPr="00631F2A">
        <w:rPr>
          <w:color w:val="000000"/>
          <w:rtl/>
        </w:rPr>
        <w:t>וצ"ע הרי לפי אדה"ז להתוס' לכתחילה צריך לברך ב"א לפני הסעודה אבל דיעבד גם להתוס' יין שלפני סעודה פוטר יין שבתוך סעודה, ולמה כתב שדיעבד א"צ לברך על היין משום ספק ברכות, הרי דיעבד לכו"ע יין שבסעודב נפטר מיין שלפני הסעודה, ולפי מש"כ בפנים ניחא דבשוע"ר כתב דינו כדעת הט"ז שלפי התוס' הבדלה הוא ברכה גרועה ואינו פוטר יין שבסעודה, ודיעבד אינו מברך על יין הסעודה רק משום ספק ברכות שמא הלכה כהרא"ש.</w:t>
      </w:r>
    </w:p>
  </w:footnote>
  <w:footnote w:id="87">
    <w:p w14:paraId="1EE758EE" w14:textId="6C1CACE9" w:rsidR="00304B8E" w:rsidRPr="00631F2A" w:rsidRDefault="00304B8E" w:rsidP="00631F2A">
      <w:pPr>
        <w:pStyle w:val="FootnoteText"/>
        <w:rPr>
          <w:rtl/>
        </w:rPr>
      </w:pPr>
      <w:r w:rsidRPr="00631F2A">
        <w:rPr>
          <w:rStyle w:val="FootnoteReference"/>
          <w:vertAlign w:val="baseline"/>
        </w:rPr>
        <w:footnoteRef/>
      </w:r>
      <w:r>
        <w:rPr>
          <w:rFonts w:hint="cs"/>
          <w:rtl/>
        </w:rPr>
        <w:t>)</w:t>
      </w:r>
      <w:r>
        <w:rPr>
          <w:rFonts w:hint="cs"/>
        </w:rPr>
        <w:t xml:space="preserve"> </w:t>
      </w:r>
      <w:r w:rsidRPr="00631F2A">
        <w:rPr>
          <w:color w:val="000000"/>
          <w:rtl/>
        </w:rPr>
        <w:t>ואין לשאול למה צריך להתכיון בפירוש שלא להוציא הליפתן בברכת הפרי חדש כדי שיוכל לברך על הליפתן, הרי מנהג חב"ד הוא לאכול כשיעור מהפרי חדש ולברך עליו ב"א א"כ ממילא יתחייב לברך בורא פרי העץ על הליפתן שיאכל אח"כ? ונ"ל דגם ביין הבדלה יש לשאול הכי דיברך ב"א על יין הבדלה וממילא יתחייב לברך בורא פרי הגפן על היין שבסעודה? והביאור הוא כנ"ל (הע' 4).</w:t>
      </w:r>
    </w:p>
  </w:footnote>
  <w:footnote w:id="88">
    <w:p w14:paraId="2C4B62FA" w14:textId="2818E187"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color w:val="000000"/>
          <w:rtl/>
        </w:rPr>
        <w:t>ואולי הו"ל התפוח גרוע כלפי הליפתן, דהליפתן אוכלו לתענוג והתפוח הוא לסימן טוב, ומ"מ ע"י שמכוין בפירוש לפוטרו מהני, (סדר ברה"נ פ"ט ה"ו-ז).</w:t>
      </w:r>
    </w:p>
  </w:footnote>
  <w:footnote w:id="89">
    <w:p w14:paraId="6320D35B" w14:textId="5E899BD4" w:rsidR="00304B8E" w:rsidRPr="00631F2A" w:rsidRDefault="00304B8E" w:rsidP="00631F2A">
      <w:pPr>
        <w:pStyle w:val="FootnoteText"/>
        <w:rPr>
          <w:rtl/>
        </w:rPr>
      </w:pPr>
      <w:r w:rsidRPr="00631F2A">
        <w:rPr>
          <w:rStyle w:val="FootnoteReference"/>
          <w:vertAlign w:val="baseline"/>
        </w:rPr>
        <w:footnoteRef/>
      </w:r>
      <w:r>
        <w:rPr>
          <w:rFonts w:hint="cs"/>
          <w:rtl/>
        </w:rPr>
        <w:t xml:space="preserve">) </w:t>
      </w:r>
      <w:r w:rsidRPr="00631F2A">
        <w:rPr>
          <w:color w:val="000000"/>
          <w:rtl/>
        </w:rPr>
        <w:t>ויעויין אג"ק (ח"ג ע' קמג) במעלת התפוח ושייכותו לר"ה.</w:t>
      </w:r>
    </w:p>
  </w:footnote>
  <w:footnote w:id="90">
    <w:p w14:paraId="446A18E0" w14:textId="238B49E8" w:rsidR="00304B8E" w:rsidRPr="00341C90" w:rsidRDefault="00304B8E" w:rsidP="00341C90">
      <w:pPr>
        <w:pStyle w:val="FootnoteText"/>
        <w:rPr>
          <w:rtl/>
        </w:rPr>
      </w:pPr>
      <w:r w:rsidRPr="00631F2A">
        <w:rPr>
          <w:rStyle w:val="FootnoteReference"/>
          <w:sz w:val="22"/>
          <w:szCs w:val="22"/>
          <w:vertAlign w:val="baseline"/>
        </w:rPr>
        <w:footnoteRef/>
      </w:r>
      <w:r>
        <w:rPr>
          <w:rFonts w:hint="cs"/>
          <w:rtl/>
        </w:rPr>
        <w:t xml:space="preserve">) </w:t>
      </w:r>
      <w:r w:rsidRPr="00631F2A">
        <w:rPr>
          <w:rtl/>
        </w:rPr>
        <w:t xml:space="preserve">הא שפירט אדה"ז "או זה חצי יום וזה חצי יום או זה יום וזה יום" דלכאו' הוא יתור לשון, י"ל שכוונתו לשלול מה </w:t>
      </w:r>
      <w:r w:rsidRPr="00341C90">
        <w:rPr>
          <w:rtl/>
        </w:rPr>
        <w:t>שחילק הלבוש (</w:t>
      </w:r>
      <w:r w:rsidRPr="00341C90">
        <w:rPr>
          <w:rFonts w:hint="cs"/>
          <w:rtl/>
        </w:rPr>
        <w:t xml:space="preserve">הובא </w:t>
      </w:r>
      <w:r w:rsidRPr="00341C90">
        <w:rPr>
          <w:rtl/>
        </w:rPr>
        <w:t>לקמן אות ד) בין שותפים שמתעסקים יום כנגד יום לכששניהם עוסקים בכל יום בכל ימי החול.</w:t>
      </w:r>
    </w:p>
  </w:footnote>
  <w:footnote w:id="91">
    <w:p w14:paraId="35491A73" w14:textId="0194DC4B" w:rsidR="00304B8E" w:rsidRPr="00341C90" w:rsidRDefault="00304B8E" w:rsidP="00341C90">
      <w:pPr>
        <w:pStyle w:val="FootnoteText"/>
        <w:rPr>
          <w:rtl/>
        </w:rPr>
      </w:pPr>
      <w:r w:rsidRPr="00341C90">
        <w:rPr>
          <w:rStyle w:val="FootnoteReference"/>
          <w:vertAlign w:val="baseline"/>
        </w:rPr>
        <w:footnoteRef/>
      </w:r>
      <w:r w:rsidRPr="00341C90">
        <w:rPr>
          <w:rFonts w:hint="cs"/>
          <w:rtl/>
        </w:rPr>
        <w:t xml:space="preserve">) </w:t>
      </w:r>
      <w:r w:rsidRPr="00341C90">
        <w:rPr>
          <w:rtl/>
        </w:rPr>
        <w:t>המבואר בסימן רמג ס"ז ועוד.</w:t>
      </w:r>
    </w:p>
  </w:footnote>
  <w:footnote w:id="92">
    <w:p w14:paraId="508875C8" w14:textId="7BFAA102" w:rsidR="00304B8E" w:rsidRPr="00631F2A" w:rsidRDefault="00304B8E" w:rsidP="00341C90">
      <w:pPr>
        <w:pStyle w:val="FootnoteText"/>
        <w:rPr>
          <w:rtl/>
        </w:rPr>
      </w:pPr>
      <w:r w:rsidRPr="00341C90">
        <w:rPr>
          <w:rStyle w:val="FootnoteReference"/>
          <w:vertAlign w:val="baseline"/>
        </w:rPr>
        <w:footnoteRef/>
      </w:r>
      <w:r w:rsidRPr="00341C90">
        <w:rPr>
          <w:rFonts w:hint="cs"/>
          <w:rtl/>
        </w:rPr>
        <w:t xml:space="preserve">) </w:t>
      </w:r>
      <w:r w:rsidRPr="00341C90">
        <w:rPr>
          <w:rtl/>
        </w:rPr>
        <w:t>כמצויין על הגליון</w:t>
      </w:r>
      <w:r w:rsidRPr="00631F2A">
        <w:rPr>
          <w:rtl/>
        </w:rPr>
        <w:t xml:space="preserve"> בדפו"ר (הע' מג בהוצאה חדשה).</w:t>
      </w:r>
    </w:p>
  </w:footnote>
  <w:footnote w:id="93">
    <w:p w14:paraId="1E1B68DA" w14:textId="362EF781" w:rsidR="00304B8E" w:rsidRPr="00BE42E8" w:rsidRDefault="00304B8E" w:rsidP="00BE42E8">
      <w:pPr>
        <w:pStyle w:val="FootnoteText"/>
        <w:rPr>
          <w:rtl/>
        </w:rPr>
      </w:pPr>
      <w:r w:rsidRPr="00BE42E8">
        <w:footnoteRef/>
      </w:r>
      <w:r w:rsidRPr="00BE42E8">
        <w:rPr>
          <w:rFonts w:hint="cs"/>
          <w:rtl/>
        </w:rPr>
        <w:t xml:space="preserve">) </w:t>
      </w:r>
      <w:r w:rsidRPr="00BE42E8">
        <w:rPr>
          <w:rtl/>
        </w:rPr>
        <w:t>ולפום ריהטא היה נראה שיש לחלק בין קבלו שדה ללקחו בשותפות, ויש למצוא סימוכין לחילוק זה מהא דנקט הר"ן התוספתא דדמאי ולא הברייתא דע"ז כב ע"א, כיון שרצה לנקוט דוגמא דלקחו (ולא קיבלו באריסות כבגמ' שם).</w:t>
      </w:r>
    </w:p>
    <w:p w14:paraId="1C923BF4" w14:textId="77777777" w:rsidR="00304B8E" w:rsidRPr="00631F2A" w:rsidRDefault="00304B8E" w:rsidP="00BE42E8">
      <w:pPr>
        <w:pStyle w:val="FootnoteText"/>
        <w:rPr>
          <w:rtl/>
        </w:rPr>
      </w:pPr>
      <w:r w:rsidRPr="00BE42E8">
        <w:rPr>
          <w:rtl/>
        </w:rPr>
        <w:t xml:space="preserve">אלא דלכאו' אינו מבואר מה החילוק </w:t>
      </w:r>
      <w:r w:rsidRPr="00BE42E8">
        <w:rPr>
          <w:rFonts w:hint="cs"/>
          <w:rtl/>
        </w:rPr>
        <w:t>ביניה</w:t>
      </w:r>
      <w:r w:rsidRPr="00BE42E8">
        <w:rPr>
          <w:rFonts w:hint="eastAsia"/>
          <w:rtl/>
        </w:rPr>
        <w:t>ם</w:t>
      </w:r>
      <w:r w:rsidRPr="00BE42E8">
        <w:rPr>
          <w:rtl/>
        </w:rPr>
        <w:t>, סוכ"ס י"ל בשניהם המלאכה רמיא אישראל והגוי עושה אדעתי' דנפשי', ולא מצינו בפוסקים (לענין זה) חילוק בין לקחו שדה בשותפות לקבלו מלאכת עבודת ה</w:t>
      </w:r>
      <w:r w:rsidRPr="00631F2A">
        <w:rPr>
          <w:rtl/>
        </w:rPr>
        <w:t>שדה.</w:t>
      </w:r>
    </w:p>
    <w:p w14:paraId="3112C16E" w14:textId="77777777" w:rsidR="00304B8E" w:rsidRPr="00BE42E8" w:rsidRDefault="00304B8E" w:rsidP="00BE42E8">
      <w:pPr>
        <w:pStyle w:val="FootnoteText"/>
        <w:rPr>
          <w:rtl/>
        </w:rPr>
      </w:pPr>
      <w:r w:rsidRPr="00BE42E8">
        <w:rPr>
          <w:rtl/>
        </w:rPr>
        <w:t>ובנוגע הדיוק מהתוספתא דדמאי ראה ב"י שגרס בהר"ן "דתניא בדמאי ישראל ועכו״ם שלקחו שדה או מרחץ בשותפות לא יאמר לו טול חלקך בשבת", וא"כ י"ל שבדוקא נקט להו כיון שהוזכר מרחץ בפירוש.</w:t>
      </w:r>
    </w:p>
  </w:footnote>
  <w:footnote w:id="94">
    <w:p w14:paraId="37935EDF" w14:textId="1F5FC607" w:rsidR="00304B8E" w:rsidRPr="00631F2A" w:rsidRDefault="00304B8E" w:rsidP="00BE42E8">
      <w:pPr>
        <w:pStyle w:val="FootnoteText"/>
        <w:rPr>
          <w:rtl/>
        </w:rPr>
      </w:pPr>
      <w:r w:rsidRPr="00BE42E8">
        <w:rPr>
          <w:rStyle w:val="FootnoteReference"/>
          <w:vertAlign w:val="baseline"/>
        </w:rPr>
        <w:footnoteRef/>
      </w:r>
      <w:r>
        <w:rPr>
          <w:rFonts w:hint="cs"/>
          <w:rtl/>
        </w:rPr>
        <w:t xml:space="preserve">) </w:t>
      </w:r>
      <w:r w:rsidRPr="00BE42E8">
        <w:rPr>
          <w:rtl/>
        </w:rPr>
        <w:t>ויש לדון לפי דעת הלבוש במקרה דמצד תנאי השותפות מקפידין זה על זה, אלא שמצד איזה סיבה הנכרי מחל ולא תבע את הישראל לעבוד כנגדו ביום ראשון, אם כהאי גוונא מותר. דלפי פי' המשנ"ב (וכן לדעת אדה"ז דלהלן) פשיטא שמותר, כיון דהא גופא שלא תבעו הגוי לשלם חלקו מוכיח (ומגדיר) שמה שעשה הגוי הוא לצורך עצמו ולא לצורך הישראל. אבל לפי דעת הלבוש שנראה דאיכא תרי גווני שותפות, באופן זה שבאמת הישראל וגוי עובדים יום כנגד יום, רק בפועל לא כפהו הגוי, אולי באמת אסור.</w:t>
      </w:r>
    </w:p>
  </w:footnote>
  <w:footnote w:id="95">
    <w:p w14:paraId="2BAB568C" w14:textId="0A2B0D41" w:rsidR="00304B8E" w:rsidRPr="00BE42E8" w:rsidRDefault="00304B8E" w:rsidP="00BE42E8">
      <w:pPr>
        <w:pStyle w:val="FootnoteText"/>
        <w:rPr>
          <w:rtl/>
        </w:rPr>
      </w:pPr>
      <w:r w:rsidRPr="00BE42E8">
        <w:rPr>
          <w:rStyle w:val="FootnoteReference"/>
          <w:vertAlign w:val="baseline"/>
        </w:rPr>
        <w:footnoteRef/>
      </w:r>
      <w:r>
        <w:rPr>
          <w:rFonts w:hint="cs"/>
          <w:rtl/>
        </w:rPr>
        <w:t xml:space="preserve">) </w:t>
      </w:r>
      <w:r w:rsidRPr="00BE42E8">
        <w:rPr>
          <w:rtl/>
        </w:rPr>
        <w:t>ולפי זה כוונת המשנ"ב במה שכתב "ובשבת אין האינו יהודי יכול לכופו שיעסוק עמו", דכיון שלא עבד הישראל כנגד מה שעשה הנכרי מגדיר דמה שעשה – בשביל עצמו עשה, ובמילא לא היה יכול לכופו.</w:t>
      </w:r>
    </w:p>
  </w:footnote>
  <w:footnote w:id="96">
    <w:p w14:paraId="672401EA" w14:textId="6F611513" w:rsidR="00304B8E" w:rsidRPr="00BE42E8" w:rsidRDefault="00304B8E" w:rsidP="00BE42E8">
      <w:pPr>
        <w:pStyle w:val="FootnoteText"/>
      </w:pPr>
      <w:r w:rsidRPr="00BE42E8">
        <w:rPr>
          <w:rStyle w:val="FootnoteReference"/>
          <w:vertAlign w:val="baseline"/>
        </w:rPr>
        <w:footnoteRef/>
      </w:r>
      <w:r>
        <w:rPr>
          <w:rFonts w:hint="cs"/>
          <w:rtl/>
        </w:rPr>
        <w:t xml:space="preserve">) </w:t>
      </w:r>
      <w:r w:rsidRPr="00BE42E8">
        <w:rPr>
          <w:rtl/>
        </w:rPr>
        <w:t>וכ"מ לשון המג"א סק"ה "דהוה לי' כאריס וליכא משום שכר שבת כלל כמ"ש סימן רמ"ג דעכו"ם אדעתא דנפשי' קעביד", ומשמע שהא דעושה אדעתי' דנפשי' הוא ביאור בזה שהוה כאריס וכן הוא ביאור למה אין כאן שכר שבת כלל.</w:t>
      </w:r>
    </w:p>
  </w:footnote>
  <w:footnote w:id="97">
    <w:p w14:paraId="6B6A4BAA" w14:textId="4EF5BB76" w:rsidR="00304B8E" w:rsidRPr="00631F2A" w:rsidRDefault="00304B8E" w:rsidP="00BE42E8">
      <w:pPr>
        <w:pStyle w:val="FootnoteText"/>
        <w:rPr>
          <w:rtl/>
        </w:rPr>
      </w:pPr>
      <w:r w:rsidRPr="00631F2A">
        <w:rPr>
          <w:rStyle w:val="FootnoteReference"/>
          <w:sz w:val="22"/>
          <w:szCs w:val="22"/>
          <w:vertAlign w:val="baseline"/>
        </w:rPr>
        <w:footnoteRef/>
      </w:r>
      <w:r>
        <w:rPr>
          <w:rFonts w:hint="cs"/>
          <w:rtl/>
        </w:rPr>
        <w:t xml:space="preserve">) </w:t>
      </w:r>
      <w:r w:rsidRPr="00631F2A">
        <w:rPr>
          <w:rtl/>
        </w:rPr>
        <w:t>וכפי שאכן ציין בהגליון דדפו"ר ר"ן ו</w:t>
      </w:r>
      <w:r w:rsidRPr="00631F2A">
        <w:rPr>
          <w:b/>
          <w:bCs/>
          <w:rtl/>
        </w:rPr>
        <w:t>רמ"א</w:t>
      </w:r>
      <w:r w:rsidRPr="00631F2A">
        <w:rPr>
          <w:rtl/>
        </w:rPr>
        <w:t>.</w:t>
      </w:r>
    </w:p>
  </w:footnote>
  <w:footnote w:id="98">
    <w:p w14:paraId="67E5BAE8" w14:textId="0A6E93A8" w:rsidR="00304B8E" w:rsidRPr="00631F2A" w:rsidRDefault="00304B8E" w:rsidP="00BE42E8">
      <w:pPr>
        <w:pStyle w:val="FootnoteText"/>
        <w:rPr>
          <w:rtl/>
        </w:rPr>
      </w:pPr>
      <w:r w:rsidRPr="00631F2A">
        <w:rPr>
          <w:rStyle w:val="FootnoteReference"/>
          <w:sz w:val="22"/>
          <w:szCs w:val="22"/>
          <w:vertAlign w:val="baseline"/>
        </w:rPr>
        <w:footnoteRef/>
      </w:r>
      <w:r>
        <w:rPr>
          <w:rFonts w:hint="cs"/>
          <w:rtl/>
        </w:rPr>
        <w:t xml:space="preserve">) </w:t>
      </w:r>
      <w:r w:rsidRPr="00631F2A">
        <w:rPr>
          <w:rtl/>
        </w:rPr>
        <w:t>אבל עדיין קשה מש"כ הר"ן שיש כאן ההיתר דאריסות ולפי אדה"ז אינו ההיתר של אריסות אלא יתירה מזו שאין לישראל חלק כלל. וילע"ע. ואבקש מהקוראים להעיר בזה.</w:t>
      </w:r>
    </w:p>
    <w:p w14:paraId="734043C0" w14:textId="77777777" w:rsidR="00304B8E" w:rsidRPr="00631F2A" w:rsidRDefault="00304B8E" w:rsidP="00BE42E8">
      <w:pPr>
        <w:pStyle w:val="FootnoteText"/>
        <w:rPr>
          <w:rtl/>
        </w:rPr>
      </w:pPr>
      <w:r w:rsidRPr="00631F2A">
        <w:rPr>
          <w:rtl/>
        </w:rPr>
        <w:t>אבל מ"מ דברי אדה"ז מתאים עם כללות המכוון דהר"ן, דיסוד ההיתר הוא משום שאין הישראל עובד כנגד מה שהנכרי עושה, ומה שהקשינו לעיל בהפנים (סוף אות ג) בדעת הלבוש אינו רק מצד שאין כאן ההיתר של אריסות אלא יתירה מזו שלכאו' אינו מתאים עם כללות המכוון של הר"ן.</w:t>
      </w:r>
    </w:p>
  </w:footnote>
  <w:footnote w:id="99">
    <w:p w14:paraId="0374050E" w14:textId="6C1E7412" w:rsidR="00304B8E" w:rsidRPr="00631F2A" w:rsidRDefault="00304B8E" w:rsidP="00341C90">
      <w:pPr>
        <w:pStyle w:val="FootnoteText"/>
        <w:rPr>
          <w:rtl/>
        </w:rPr>
      </w:pPr>
      <w:r w:rsidRPr="00341C90">
        <w:footnoteRef/>
      </w:r>
      <w:r w:rsidRPr="00341C90">
        <w:rPr>
          <w:rFonts w:hint="cs"/>
          <w:rtl/>
        </w:rPr>
        <w:t xml:space="preserve">) </w:t>
      </w:r>
      <w:r w:rsidRPr="00341C90">
        <w:rPr>
          <w:rtl/>
        </w:rPr>
        <w:t>ולפי כל מה</w:t>
      </w:r>
      <w:r w:rsidRPr="00631F2A">
        <w:rPr>
          <w:rtl/>
        </w:rPr>
        <w:t xml:space="preserve"> שנתבאר מובן ד</w:t>
      </w:r>
      <w:r w:rsidRPr="00631F2A">
        <w:rPr>
          <w:rFonts w:hint="cs"/>
          <w:rtl/>
        </w:rPr>
        <w:t>טעות היא</w:t>
      </w:r>
      <w:r w:rsidRPr="00631F2A">
        <w:rPr>
          <w:rtl/>
        </w:rPr>
        <w:t xml:space="preserve"> בשו"ע הוצאת הדרת קודש הע' ד*, דמיכרך כרכי דברי אדה"ז בס"ט (!) עם דברי המשנ"ב ומאמר מרדכי.</w:t>
      </w:r>
    </w:p>
  </w:footnote>
  <w:footnote w:id="100">
    <w:p w14:paraId="67629083" w14:textId="125E1B8C" w:rsidR="00304B8E" w:rsidRPr="00631F2A" w:rsidRDefault="00304B8E" w:rsidP="00657259">
      <w:pPr>
        <w:pStyle w:val="FootnoteText"/>
      </w:pPr>
      <w:r w:rsidRPr="00631F2A">
        <w:rPr>
          <w:rStyle w:val="FootnoteReference"/>
          <w:vertAlign w:val="baseline"/>
        </w:rPr>
        <w:footnoteRef/>
      </w:r>
      <w:r>
        <w:rPr>
          <w:rFonts w:hint="cs"/>
          <w:b/>
          <w:bCs/>
          <w:rtl/>
        </w:rPr>
        <w:t>)</w:t>
      </w:r>
      <w:r w:rsidRPr="00631F2A">
        <w:rPr>
          <w:rtl/>
        </w:rPr>
        <w:t xml:space="preserve"> </w:t>
      </w:r>
      <w:r w:rsidRPr="00631F2A">
        <w:rPr>
          <w:b/>
          <w:bCs/>
          <w:rtl/>
        </w:rPr>
        <w:t>לעילוי נשמת אמי מורתי מרת הינדל קלויזנר ע"ה בת הגאון הק' רבי ישכר שלמה טייכטאל הי"ד בעל 'משנה שכיר' ו'אם הבנים שמחה' - שנלב"ע י"ד ניסן - שבת הגדול ברעוא דכל רעוין - ערב פסח - עת הקרבת קרבן פסח תשפ"א. תנצב"ה. ויה"ר מהשי"ת לקיום היעודים בלע המות לנצח וגו' והקיצו ורננו שוכני עפר וגו'. והיא בתוכם.</w:t>
      </w:r>
    </w:p>
  </w:footnote>
  <w:footnote w:id="101">
    <w:p w14:paraId="4B4EE25B" w14:textId="4095F062" w:rsidR="00304B8E" w:rsidRPr="00631F2A" w:rsidRDefault="00304B8E" w:rsidP="00657259">
      <w:pPr>
        <w:pStyle w:val="FootnoteText"/>
        <w:rPr>
          <w:b/>
          <w:bCs/>
          <w:rtl/>
        </w:rPr>
      </w:pPr>
      <w:r w:rsidRPr="00631F2A">
        <w:rPr>
          <w:rStyle w:val="FootnoteReference"/>
          <w:vertAlign w:val="baseline"/>
        </w:rPr>
        <w:footnoteRef/>
      </w:r>
      <w:r>
        <w:rPr>
          <w:rFonts w:hint="cs"/>
          <w:b/>
          <w:bCs/>
          <w:rtl/>
        </w:rPr>
        <w:t>)</w:t>
      </w:r>
      <w:r w:rsidRPr="00631F2A">
        <w:rPr>
          <w:b/>
          <w:bCs/>
          <w:rtl/>
        </w:rPr>
        <w:t xml:space="preserve"> </w:t>
      </w:r>
      <w:r w:rsidRPr="00631F2A">
        <w:rPr>
          <w:rtl/>
        </w:rPr>
        <w:t>ולפ"ז גם נרויח שלא צריכים להאריך כל כך:</w:t>
      </w:r>
      <w:r w:rsidRPr="00631F2A">
        <w:rPr>
          <w:b/>
          <w:bCs/>
          <w:rtl/>
        </w:rPr>
        <w:t xml:space="preserve"> "הוגה בתורה ועוסק במצות", </w:t>
      </w:r>
      <w:r w:rsidRPr="00631F2A">
        <w:rPr>
          <w:rtl/>
        </w:rPr>
        <w:t>אלא שבחדא מחתא קאי ה'עוסק' הן על 'תורה' והן על 'מצות'</w:t>
      </w:r>
      <w:r w:rsidRPr="00631F2A">
        <w:rPr>
          <w:b/>
          <w:bCs/>
          <w:rtl/>
        </w:rPr>
        <w:t xml:space="preserve"> - 'ועוסק בתורה ובמצות </w:t>
      </w:r>
      <w:r w:rsidRPr="00631F2A">
        <w:rPr>
          <w:rtl/>
        </w:rPr>
        <w:t>כדוד אביו'</w:t>
      </w:r>
      <w:r w:rsidRPr="00631F2A">
        <w:rPr>
          <w:b/>
          <w:b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6192" w:type="dxa"/>
      <w:tblInd w:w="11" w:type="dxa"/>
      <w:tblLook w:val="04A0" w:firstRow="1" w:lastRow="0" w:firstColumn="1" w:lastColumn="0" w:noHBand="0" w:noVBand="1"/>
    </w:tblPr>
    <w:tblGrid>
      <w:gridCol w:w="1008"/>
      <w:gridCol w:w="4176"/>
      <w:gridCol w:w="1008"/>
    </w:tblGrid>
    <w:tr w:rsidR="00304B8E" w:rsidRPr="00425748" w14:paraId="271D6388" w14:textId="77777777" w:rsidTr="00541E5D">
      <w:trPr>
        <w:trHeight w:val="80"/>
      </w:trPr>
      <w:tc>
        <w:tcPr>
          <w:tcW w:w="1008" w:type="dxa"/>
          <w:vAlign w:val="center"/>
        </w:tcPr>
        <w:p w14:paraId="17529372" w14:textId="77777777" w:rsidR="00304B8E" w:rsidRPr="002F63A9" w:rsidRDefault="00304B8E"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5EF4ADD" w14:textId="77777777" w:rsidR="00304B8E" w:rsidRPr="00D25874" w:rsidRDefault="00304B8E"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17E0F1" w14:textId="77777777" w:rsidR="00304B8E" w:rsidRPr="00425748" w:rsidRDefault="00304B8E"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2D80140D" w14:textId="77777777" w:rsidR="00304B8E" w:rsidRDefault="00304B8E"/>
  <w:p w14:paraId="258E00AE" w14:textId="77777777" w:rsidR="00304B8E" w:rsidRDefault="00304B8E"/>
  <w:p w14:paraId="53BCD167" w14:textId="77777777" w:rsidR="00304B8E" w:rsidRDefault="00304B8E"/>
  <w:p w14:paraId="0DBA2D1E" w14:textId="77777777" w:rsidR="00304B8E" w:rsidRDefault="00304B8E"/>
  <w:p w14:paraId="3A61A36D" w14:textId="77777777" w:rsidR="00304B8E" w:rsidRDefault="00304B8E"/>
  <w:p w14:paraId="4EC76A08" w14:textId="77777777" w:rsidR="00304B8E" w:rsidRDefault="00304B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04B8E" w:rsidRPr="00425748" w14:paraId="5E7C9646" w14:textId="77777777" w:rsidTr="00541E5D">
      <w:trPr>
        <w:trHeight w:val="80"/>
      </w:trPr>
      <w:tc>
        <w:tcPr>
          <w:tcW w:w="1008" w:type="dxa"/>
        </w:tcPr>
        <w:p w14:paraId="31C88590" w14:textId="77777777" w:rsidR="00304B8E" w:rsidRPr="00425748" w:rsidRDefault="00304B8E" w:rsidP="00541E5D">
          <w:pPr>
            <w:tabs>
              <w:tab w:val="center" w:pos="4680"/>
              <w:tab w:val="right" w:pos="9360"/>
            </w:tabs>
            <w:rPr>
              <w:rFonts w:ascii="FbSfaradi Medium" w:hAnsi="FbSfaradi Medium" w:cs="FbSfaradi Medium"/>
              <w:sz w:val="36"/>
              <w:szCs w:val="32"/>
              <w:rtl/>
            </w:rPr>
          </w:pPr>
        </w:p>
      </w:tc>
      <w:tc>
        <w:tcPr>
          <w:tcW w:w="4176" w:type="dxa"/>
        </w:tcPr>
        <w:p w14:paraId="74B8C584" w14:textId="27032297" w:rsidR="00304B8E" w:rsidRPr="00D25874" w:rsidRDefault="00304B8E"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ראש השנה ה</w:t>
          </w:r>
          <w:r w:rsidRPr="007135E1">
            <w:rPr>
              <w:rFonts w:ascii="FbVilna Bold" w:hAnsi="FbVilna Bold" w:cs="FbVilna Bold"/>
              <w:b/>
              <w:bCs/>
              <w:sz w:val="28"/>
              <w:szCs w:val="28"/>
              <w:rtl/>
              <w:lang w:bidi="he-IL"/>
            </w:rPr>
            <w:t>'</w:t>
          </w:r>
          <w:r>
            <w:rPr>
              <w:rFonts w:ascii="FbSfaradi Medium" w:hAnsi="FbSfaradi Medium" w:cs="AAd_LivornaB4" w:hint="cs"/>
              <w:b/>
              <w:bCs/>
              <w:sz w:val="28"/>
              <w:szCs w:val="28"/>
              <w:rtl/>
              <w:lang w:bidi="he-IL"/>
            </w:rPr>
            <w:t>תשפ"ב</w:t>
          </w:r>
        </w:p>
      </w:tc>
      <w:tc>
        <w:tcPr>
          <w:tcW w:w="1008" w:type="dxa"/>
          <w:vAlign w:val="bottom"/>
        </w:tcPr>
        <w:p w14:paraId="6F7E61D8" w14:textId="77777777" w:rsidR="00304B8E" w:rsidRPr="00425748" w:rsidRDefault="00304B8E"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C9DF08A" w14:textId="77777777" w:rsidR="00304B8E" w:rsidRDefault="00304B8E" w:rsidP="00541E5D">
    <w:pPr>
      <w:tabs>
        <w:tab w:val="left" w:pos="1327"/>
      </w:tabs>
    </w:pPr>
  </w:p>
  <w:p w14:paraId="0221DAAB" w14:textId="77777777" w:rsidR="00304B8E" w:rsidRDefault="00304B8E"/>
  <w:p w14:paraId="67CE8166" w14:textId="77777777" w:rsidR="00304B8E" w:rsidRDefault="00304B8E"/>
  <w:p w14:paraId="7847177F" w14:textId="77777777" w:rsidR="00304B8E" w:rsidRDefault="00304B8E"/>
  <w:p w14:paraId="5A5D5421" w14:textId="77777777" w:rsidR="00304B8E" w:rsidRDefault="00304B8E"/>
  <w:p w14:paraId="49714C88" w14:textId="77777777" w:rsidR="00304B8E" w:rsidRDefault="00304B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352" type="#_x0000_t75" style="width:261pt;height:69.75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15F4AA0"/>
    <w:multiLevelType w:val="hybridMultilevel"/>
    <w:tmpl w:val="5BC04022"/>
    <w:lvl w:ilvl="0" w:tplc="9528B29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2BD3FA4"/>
    <w:multiLevelType w:val="multilevel"/>
    <w:tmpl w:val="56B85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15:restartNumberingAfterBreak="0">
    <w:nsid w:val="07853B77"/>
    <w:multiLevelType w:val="hybridMultilevel"/>
    <w:tmpl w:val="1576A29A"/>
    <w:lvl w:ilvl="0" w:tplc="D916CE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A44EE0"/>
    <w:multiLevelType w:val="hybridMultilevel"/>
    <w:tmpl w:val="4888D67A"/>
    <w:lvl w:ilvl="0" w:tplc="D33EAD3C">
      <w:start w:val="7"/>
      <w:numFmt w:val="hebrew1"/>
      <w:lvlText w:val="%1."/>
      <w:lvlJc w:val="left"/>
      <w:pPr>
        <w:tabs>
          <w:tab w:val="num" w:pos="720"/>
        </w:tabs>
        <w:ind w:left="720" w:hanging="360"/>
      </w:pPr>
      <w:rPr>
        <w:rFonts w:cs="Times New Roman" w:hint="default"/>
        <w:sz w:val="2"/>
        <w:szCs w:val="2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9660921"/>
    <w:multiLevelType w:val="hybridMultilevel"/>
    <w:tmpl w:val="0652D0C4"/>
    <w:lvl w:ilvl="0" w:tplc="A94A1F5A">
      <w:start w:val="2"/>
      <w:numFmt w:val="hebrew1"/>
      <w:lvlText w:val="%1."/>
      <w:lvlJc w:val="left"/>
      <w:pPr>
        <w:tabs>
          <w:tab w:val="num" w:pos="720"/>
        </w:tabs>
        <w:ind w:left="720" w:hanging="360"/>
      </w:pPr>
      <w:rPr>
        <w:rFonts w:cs="David" w:hint="default"/>
        <w:b w:val="0"/>
        <w:bCs/>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F385749"/>
    <w:multiLevelType w:val="hybridMultilevel"/>
    <w:tmpl w:val="A6385C0C"/>
    <w:lvl w:ilvl="0" w:tplc="64962946">
      <w:start w:val="5"/>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BB27B4"/>
    <w:multiLevelType w:val="multilevel"/>
    <w:tmpl w:val="D1DC9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D4462"/>
    <w:multiLevelType w:val="hybridMultilevel"/>
    <w:tmpl w:val="92B0D678"/>
    <w:lvl w:ilvl="0" w:tplc="C64A7BF2">
      <w:start w:val="1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D482CE6"/>
    <w:multiLevelType w:val="hybridMultilevel"/>
    <w:tmpl w:val="5E36B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D61AA2"/>
    <w:multiLevelType w:val="hybridMultilevel"/>
    <w:tmpl w:val="BA444AEE"/>
    <w:lvl w:ilvl="0" w:tplc="04FC7D70">
      <w:start w:val="5"/>
      <w:numFmt w:val="hebrew1"/>
      <w:lvlText w:val="%1."/>
      <w:lvlJc w:val="left"/>
      <w:pPr>
        <w:tabs>
          <w:tab w:val="num" w:pos="1440"/>
        </w:tabs>
        <w:ind w:left="1440" w:hanging="360"/>
      </w:pPr>
      <w:rPr>
        <w:rFonts w:cs="David" w:hint="default"/>
        <w:b/>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8" w15:restartNumberingAfterBreak="0">
    <w:nsid w:val="47AC4C62"/>
    <w:multiLevelType w:val="hybridMultilevel"/>
    <w:tmpl w:val="609A647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3B768E"/>
    <w:multiLevelType w:val="multilevel"/>
    <w:tmpl w:val="BF8E3B72"/>
    <w:lvl w:ilvl="0">
      <w:start w:val="5"/>
      <w:numFmt w:val="hebrew1"/>
      <w:lvlText w:val="%1."/>
      <w:lvlJc w:val="left"/>
      <w:pPr>
        <w:tabs>
          <w:tab w:val="num" w:pos="720"/>
        </w:tabs>
        <w:ind w:left="720" w:hanging="360"/>
      </w:pPr>
      <w:rPr>
        <w:rFonts w:cs="Times New Roman" w:hint="default"/>
        <w:b/>
        <w:sz w:val="28"/>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E87B4F"/>
    <w:multiLevelType w:val="multilevel"/>
    <w:tmpl w:val="9ADC7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E55CB3"/>
    <w:multiLevelType w:val="hybridMultilevel"/>
    <w:tmpl w:val="0114CA00"/>
    <w:lvl w:ilvl="0" w:tplc="186C2FD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721FFA"/>
    <w:multiLevelType w:val="multilevel"/>
    <w:tmpl w:val="C52009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2" w15:restartNumberingAfterBreak="0">
    <w:nsid w:val="7A6677CC"/>
    <w:multiLevelType w:val="hybridMultilevel"/>
    <w:tmpl w:val="0E24CE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40"/>
  </w:num>
  <w:num w:numId="3">
    <w:abstractNumId w:val="18"/>
  </w:num>
  <w:num w:numId="4">
    <w:abstractNumId w:val="3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9"/>
  </w:num>
  <w:num w:numId="17">
    <w:abstractNumId w:val="24"/>
  </w:num>
  <w:num w:numId="18">
    <w:abstractNumId w:val="20"/>
  </w:num>
  <w:num w:numId="19">
    <w:abstractNumId w:val="22"/>
  </w:num>
  <w:num w:numId="20">
    <w:abstractNumId w:val="12"/>
  </w:num>
  <w:num w:numId="21">
    <w:abstractNumId w:val="29"/>
  </w:num>
  <w:num w:numId="22">
    <w:abstractNumId w:val="37"/>
  </w:num>
  <w:num w:numId="23">
    <w:abstractNumId w:val="34"/>
  </w:num>
  <w:num w:numId="24">
    <w:abstractNumId w:val="33"/>
  </w:num>
  <w:num w:numId="25">
    <w:abstractNumId w:val="23"/>
  </w:num>
  <w:num w:numId="26">
    <w:abstractNumId w:val="41"/>
  </w:num>
  <w:num w:numId="27">
    <w:abstractNumId w:val="14"/>
  </w:num>
  <w:num w:numId="28">
    <w:abstractNumId w:val="15"/>
  </w:num>
  <w:num w:numId="29">
    <w:abstractNumId w:val="17"/>
  </w:num>
  <w:num w:numId="30">
    <w:abstractNumId w:val="27"/>
  </w:num>
  <w:num w:numId="31">
    <w:abstractNumId w:val="31"/>
  </w:num>
  <w:num w:numId="32">
    <w:abstractNumId w:val="16"/>
  </w:num>
  <w:num w:numId="33">
    <w:abstractNumId w:val="19"/>
  </w:num>
  <w:num w:numId="34">
    <w:abstractNumId w:val="36"/>
  </w:num>
  <w:num w:numId="35">
    <w:abstractNumId w:val="21"/>
  </w:num>
  <w:num w:numId="36">
    <w:abstractNumId w:val="13"/>
    <w:lvlOverride w:ilvl="0">
      <w:lvl w:ilvl="0">
        <w:numFmt w:val="decimal"/>
        <w:lvlText w:val="%1."/>
        <w:lvlJc w:val="left"/>
      </w:lvl>
    </w:lvlOverride>
  </w:num>
  <w:num w:numId="37">
    <w:abstractNumId w:val="42"/>
  </w:num>
  <w:num w:numId="38">
    <w:abstractNumId w:val="26"/>
  </w:num>
  <w:num w:numId="39">
    <w:abstractNumId w:val="25"/>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1"/>
  </w:num>
  <w:num w:numId="43">
    <w:abstractNumId w:val="35"/>
  </w:num>
  <w:num w:numId="44">
    <w:abstractNumId w:val="38"/>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00C1F"/>
    <w:rsid w:val="00015005"/>
    <w:rsid w:val="00027A45"/>
    <w:rsid w:val="0003574A"/>
    <w:rsid w:val="00041686"/>
    <w:rsid w:val="000672B7"/>
    <w:rsid w:val="00090DBF"/>
    <w:rsid w:val="000A750B"/>
    <w:rsid w:val="000B59FC"/>
    <w:rsid w:val="000D0D37"/>
    <w:rsid w:val="000D1B68"/>
    <w:rsid w:val="000E7AEB"/>
    <w:rsid w:val="000F0D2A"/>
    <w:rsid w:val="00122C83"/>
    <w:rsid w:val="001237A9"/>
    <w:rsid w:val="001328CF"/>
    <w:rsid w:val="001664BA"/>
    <w:rsid w:val="0018162C"/>
    <w:rsid w:val="00184EB0"/>
    <w:rsid w:val="0019769E"/>
    <w:rsid w:val="001A6FED"/>
    <w:rsid w:val="001D4D40"/>
    <w:rsid w:val="001D6041"/>
    <w:rsid w:val="00206687"/>
    <w:rsid w:val="0021258F"/>
    <w:rsid w:val="0023626B"/>
    <w:rsid w:val="00240E70"/>
    <w:rsid w:val="002546C8"/>
    <w:rsid w:val="0025782C"/>
    <w:rsid w:val="00270B0C"/>
    <w:rsid w:val="002A7AD4"/>
    <w:rsid w:val="002B412C"/>
    <w:rsid w:val="002C5BF8"/>
    <w:rsid w:val="002D042A"/>
    <w:rsid w:val="002E0D71"/>
    <w:rsid w:val="00304B8E"/>
    <w:rsid w:val="003171FF"/>
    <w:rsid w:val="003201DC"/>
    <w:rsid w:val="00320B41"/>
    <w:rsid w:val="00333D84"/>
    <w:rsid w:val="003375CC"/>
    <w:rsid w:val="00341C90"/>
    <w:rsid w:val="003663E9"/>
    <w:rsid w:val="00377A2C"/>
    <w:rsid w:val="003A0DE5"/>
    <w:rsid w:val="003C2059"/>
    <w:rsid w:val="003D07F0"/>
    <w:rsid w:val="003D3409"/>
    <w:rsid w:val="00401B09"/>
    <w:rsid w:val="004062D5"/>
    <w:rsid w:val="004123E2"/>
    <w:rsid w:val="00415D4A"/>
    <w:rsid w:val="004370B7"/>
    <w:rsid w:val="00444D57"/>
    <w:rsid w:val="004555BB"/>
    <w:rsid w:val="0046124A"/>
    <w:rsid w:val="0047564A"/>
    <w:rsid w:val="0047645E"/>
    <w:rsid w:val="00483FC7"/>
    <w:rsid w:val="0049127C"/>
    <w:rsid w:val="00491B22"/>
    <w:rsid w:val="00492226"/>
    <w:rsid w:val="004C69E5"/>
    <w:rsid w:val="004D2470"/>
    <w:rsid w:val="004E3A96"/>
    <w:rsid w:val="004F5980"/>
    <w:rsid w:val="004F67E5"/>
    <w:rsid w:val="00501CB2"/>
    <w:rsid w:val="00506886"/>
    <w:rsid w:val="0051404B"/>
    <w:rsid w:val="00524909"/>
    <w:rsid w:val="00531DED"/>
    <w:rsid w:val="00532428"/>
    <w:rsid w:val="005330C9"/>
    <w:rsid w:val="005346F0"/>
    <w:rsid w:val="00535EA0"/>
    <w:rsid w:val="00541E5D"/>
    <w:rsid w:val="00544AFF"/>
    <w:rsid w:val="005668CA"/>
    <w:rsid w:val="00571ED9"/>
    <w:rsid w:val="005A2E08"/>
    <w:rsid w:val="005A451B"/>
    <w:rsid w:val="005A5D7E"/>
    <w:rsid w:val="005B5586"/>
    <w:rsid w:val="005B616F"/>
    <w:rsid w:val="005C73F9"/>
    <w:rsid w:val="005D78A4"/>
    <w:rsid w:val="0060746F"/>
    <w:rsid w:val="00631F2A"/>
    <w:rsid w:val="00643D80"/>
    <w:rsid w:val="00657259"/>
    <w:rsid w:val="00660B71"/>
    <w:rsid w:val="00662A6E"/>
    <w:rsid w:val="00666034"/>
    <w:rsid w:val="006670AA"/>
    <w:rsid w:val="00673C2A"/>
    <w:rsid w:val="0068208A"/>
    <w:rsid w:val="0068308E"/>
    <w:rsid w:val="00683E0C"/>
    <w:rsid w:val="00692811"/>
    <w:rsid w:val="006B2AF6"/>
    <w:rsid w:val="006C2026"/>
    <w:rsid w:val="006C57EC"/>
    <w:rsid w:val="006D006C"/>
    <w:rsid w:val="006D1164"/>
    <w:rsid w:val="006D2439"/>
    <w:rsid w:val="006D3E17"/>
    <w:rsid w:val="007135E1"/>
    <w:rsid w:val="00714C38"/>
    <w:rsid w:val="0072178A"/>
    <w:rsid w:val="00733A60"/>
    <w:rsid w:val="007553C2"/>
    <w:rsid w:val="00775036"/>
    <w:rsid w:val="0079326F"/>
    <w:rsid w:val="007B3DBE"/>
    <w:rsid w:val="007D73B5"/>
    <w:rsid w:val="00803F1D"/>
    <w:rsid w:val="00804C65"/>
    <w:rsid w:val="00805465"/>
    <w:rsid w:val="00812621"/>
    <w:rsid w:val="00817185"/>
    <w:rsid w:val="008330AF"/>
    <w:rsid w:val="00836335"/>
    <w:rsid w:val="008455AA"/>
    <w:rsid w:val="00846314"/>
    <w:rsid w:val="00854E67"/>
    <w:rsid w:val="0086745F"/>
    <w:rsid w:val="00882596"/>
    <w:rsid w:val="00884E26"/>
    <w:rsid w:val="00885958"/>
    <w:rsid w:val="008A1796"/>
    <w:rsid w:val="008A4157"/>
    <w:rsid w:val="008D2550"/>
    <w:rsid w:val="008D31EB"/>
    <w:rsid w:val="00900F12"/>
    <w:rsid w:val="00907CAD"/>
    <w:rsid w:val="00917DE7"/>
    <w:rsid w:val="00922E79"/>
    <w:rsid w:val="0092759E"/>
    <w:rsid w:val="00963D7D"/>
    <w:rsid w:val="00965EE2"/>
    <w:rsid w:val="0098164C"/>
    <w:rsid w:val="00A04A5F"/>
    <w:rsid w:val="00A17375"/>
    <w:rsid w:val="00A22519"/>
    <w:rsid w:val="00A33AB2"/>
    <w:rsid w:val="00A85FDC"/>
    <w:rsid w:val="00A92337"/>
    <w:rsid w:val="00AB1AB1"/>
    <w:rsid w:val="00AB2735"/>
    <w:rsid w:val="00AB3547"/>
    <w:rsid w:val="00AB4E4E"/>
    <w:rsid w:val="00AC28BB"/>
    <w:rsid w:val="00AC647C"/>
    <w:rsid w:val="00AD22CB"/>
    <w:rsid w:val="00AD2A5D"/>
    <w:rsid w:val="00AD2DB6"/>
    <w:rsid w:val="00AD46DD"/>
    <w:rsid w:val="00AD5DC7"/>
    <w:rsid w:val="00B02975"/>
    <w:rsid w:val="00B22573"/>
    <w:rsid w:val="00B30141"/>
    <w:rsid w:val="00B35586"/>
    <w:rsid w:val="00B36AD5"/>
    <w:rsid w:val="00B457FB"/>
    <w:rsid w:val="00B8787E"/>
    <w:rsid w:val="00B9754E"/>
    <w:rsid w:val="00B977B5"/>
    <w:rsid w:val="00BB4D2A"/>
    <w:rsid w:val="00BB5575"/>
    <w:rsid w:val="00BD1005"/>
    <w:rsid w:val="00BE42E8"/>
    <w:rsid w:val="00BF1DED"/>
    <w:rsid w:val="00BF295B"/>
    <w:rsid w:val="00BF3BFD"/>
    <w:rsid w:val="00C04AAB"/>
    <w:rsid w:val="00C148E9"/>
    <w:rsid w:val="00C379B5"/>
    <w:rsid w:val="00C65B1F"/>
    <w:rsid w:val="00C728AF"/>
    <w:rsid w:val="00C844AE"/>
    <w:rsid w:val="00C87279"/>
    <w:rsid w:val="00C951EE"/>
    <w:rsid w:val="00CA5B4F"/>
    <w:rsid w:val="00CB1301"/>
    <w:rsid w:val="00CD21ED"/>
    <w:rsid w:val="00CD3347"/>
    <w:rsid w:val="00CD4F2B"/>
    <w:rsid w:val="00CE3412"/>
    <w:rsid w:val="00CE58E8"/>
    <w:rsid w:val="00D17770"/>
    <w:rsid w:val="00D178C0"/>
    <w:rsid w:val="00D20817"/>
    <w:rsid w:val="00D422FF"/>
    <w:rsid w:val="00D458AB"/>
    <w:rsid w:val="00D655D8"/>
    <w:rsid w:val="00D74A6B"/>
    <w:rsid w:val="00D970AA"/>
    <w:rsid w:val="00D97446"/>
    <w:rsid w:val="00DA6C1B"/>
    <w:rsid w:val="00DF217A"/>
    <w:rsid w:val="00DF6813"/>
    <w:rsid w:val="00E216A6"/>
    <w:rsid w:val="00E238EA"/>
    <w:rsid w:val="00E246F9"/>
    <w:rsid w:val="00E31722"/>
    <w:rsid w:val="00E32776"/>
    <w:rsid w:val="00E35878"/>
    <w:rsid w:val="00E4160A"/>
    <w:rsid w:val="00E515BA"/>
    <w:rsid w:val="00E51BE8"/>
    <w:rsid w:val="00E60D97"/>
    <w:rsid w:val="00E856A8"/>
    <w:rsid w:val="00EA41E9"/>
    <w:rsid w:val="00EE61C1"/>
    <w:rsid w:val="00F07E00"/>
    <w:rsid w:val="00F264A3"/>
    <w:rsid w:val="00F33555"/>
    <w:rsid w:val="00F40F11"/>
    <w:rsid w:val="00F54E70"/>
    <w:rsid w:val="00F62C4C"/>
    <w:rsid w:val="00F65EB9"/>
    <w:rsid w:val="00F90D44"/>
    <w:rsid w:val="00F92C5B"/>
    <w:rsid w:val="00F97FE5"/>
    <w:rsid w:val="00FA1525"/>
    <w:rsid w:val="00FA575F"/>
    <w:rsid w:val="00FA7DE5"/>
    <w:rsid w:val="00FA7FC5"/>
    <w:rsid w:val="00FB4860"/>
    <w:rsid w:val="00FC0AD5"/>
    <w:rsid w:val="00FC6B6A"/>
    <w:rsid w:val="00FD043E"/>
    <w:rsid w:val="00FE03DC"/>
    <w:rsid w:val="00FE366A"/>
    <w:rsid w:val="00FF7A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15:chartTrackingRefBased/>
  <w15:docId w15:val="{5FF4BF9A-D620-47BC-976F-C7A07CE1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46124A"/>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46124A"/>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E60D97"/>
    <w:pPr>
      <w:widowControl w:val="0"/>
      <w:bidi/>
      <w:spacing w:after="120" w:line="276" w:lineRule="auto"/>
      <w:ind w:firstLine="288"/>
      <w:jc w:val="both"/>
    </w:pPr>
    <w:rPr>
      <w:rFonts w:ascii="FbFrankReal" w:eastAsia="Calibri" w:hAnsi="FbFrankReal" w:cs="FbFrankReal"/>
      <w:b/>
      <w:color w:val="000000"/>
      <w:sz w:val="24"/>
      <w:szCs w:val="24"/>
      <w:bdr w:val="nil"/>
      <w:lang w:val="bg-BG"/>
    </w:rPr>
  </w:style>
  <w:style w:type="character" w:customStyle="1" w:styleId="Char2">
    <w:name w:val="גוף Char"/>
    <w:basedOn w:val="DefaultParagraphFont"/>
    <w:link w:val="a3"/>
    <w:rsid w:val="00E60D97"/>
    <w:rPr>
      <w:rFonts w:ascii="FbFrankReal" w:eastAsia="Calibri" w:hAnsi="FbFrankReal" w:cs="FbFrankReal"/>
      <w:b/>
      <w:color w:val="000000"/>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341C90"/>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rsid w:val="006D006C"/>
  </w:style>
  <w:style w:type="paragraph" w:styleId="Footer">
    <w:name w:val="footer"/>
    <w:basedOn w:val="Normal"/>
    <w:link w:val="FooterChar"/>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semiHidden/>
    <w:unhideWhenUsed/>
    <w:rsid w:val="006D006C"/>
    <w:pPr>
      <w:spacing w:after="120"/>
    </w:pPr>
  </w:style>
  <w:style w:type="character" w:customStyle="1" w:styleId="BodyTextChar">
    <w:name w:val="Body Text Char"/>
    <w:basedOn w:val="DefaultParagraphFont"/>
    <w:link w:val="BodyText3"/>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aff1">
    <w:name w:val="כותב"/>
    <w:next w:val="Normal"/>
    <w:rsid w:val="00184EB0"/>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qFormat/>
    <w:rsid w:val="00184EB0"/>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184EB0"/>
    <w:rPr>
      <w:rFonts w:ascii="Times New Roman" w:eastAsia="Times New Roman" w:hAnsi="Times New Roman" w:cs="David"/>
      <w:sz w:val="20"/>
      <w:lang w:eastAsia="he-IL"/>
    </w:rPr>
  </w:style>
  <w:style w:type="character" w:customStyle="1" w:styleId="aff2">
    <w:name w:val="טקסט הערות שוליים"/>
    <w:aliases w:val="Footnote Text1 תו תו תו"/>
    <w:semiHidden/>
    <w:rsid w:val="00184EB0"/>
    <w:rPr>
      <w:rFonts w:cs="David"/>
      <w:szCs w:val="18"/>
      <w:lang w:val="en-US" w:eastAsia="he-IL" w:bidi="he-IL"/>
    </w:rPr>
  </w:style>
  <w:style w:type="character" w:customStyle="1" w:styleId="13">
    <w:name w:val="סוגריים תו1"/>
    <w:rsid w:val="00184EB0"/>
    <w:rPr>
      <w:rFonts w:cs="Narkisim"/>
      <w:szCs w:val="18"/>
      <w:lang w:val="en-US" w:eastAsia="en-US" w:bidi="he-IL"/>
    </w:rPr>
  </w:style>
  <w:style w:type="paragraph" w:customStyle="1" w:styleId="igroystext">
    <w:name w:val="igroys_text"/>
    <w:basedOn w:val="Normal"/>
    <w:rsid w:val="00FA7DE5"/>
    <w:pPr>
      <w:spacing w:before="100" w:beforeAutospacing="1" w:after="100" w:afterAutospacing="1" w:line="240" w:lineRule="auto"/>
    </w:pPr>
    <w:rPr>
      <w:rFonts w:ascii="Times New Roman" w:eastAsia="Times New Roman" w:hAnsi="Times New Roman" w:cs="Times New Roman"/>
      <w:sz w:val="24"/>
      <w:szCs w:val="24"/>
      <w:lang w:val="en-AU" w:eastAsia="zh-CN" w:bidi="ar-SA"/>
    </w:rPr>
  </w:style>
  <w:style w:type="character" w:styleId="HTMLCode">
    <w:name w:val="HTML Code"/>
    <w:uiPriority w:val="99"/>
    <w:semiHidden/>
    <w:unhideWhenUsed/>
    <w:rsid w:val="00FA7DE5"/>
    <w:rPr>
      <w:rFonts w:ascii="Courier New" w:eastAsia="Times New Roman" w:hAnsi="Courier New" w:cs="Courier New"/>
      <w:sz w:val="20"/>
      <w:szCs w:val="20"/>
    </w:rPr>
  </w:style>
  <w:style w:type="paragraph" w:customStyle="1" w:styleId="M">
    <w:name w:val="Mןגגךק"/>
    <w:basedOn w:val="a3"/>
    <w:link w:val="MChar"/>
    <w:qFormat/>
    <w:rsid w:val="00E60D97"/>
    <w:pPr>
      <w:jc w:val="center"/>
    </w:pPr>
  </w:style>
  <w:style w:type="character" w:customStyle="1" w:styleId="MChar">
    <w:name w:val="Mןגגךק Char"/>
    <w:basedOn w:val="Char2"/>
    <w:link w:val="M"/>
    <w:rsid w:val="00E60D97"/>
    <w:rPr>
      <w:rFonts w:ascii="FbFrankReal" w:eastAsia="Calibri" w:hAnsi="FbFrankReal" w:cs="FbFrankReal"/>
      <w:b/>
      <w:color w:val="000000"/>
      <w:sz w:val="24"/>
      <w:szCs w:val="24"/>
      <w:bdr w:val="nil"/>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2272">
      <w:bodyDiv w:val="1"/>
      <w:marLeft w:val="0"/>
      <w:marRight w:val="0"/>
      <w:marTop w:val="0"/>
      <w:marBottom w:val="0"/>
      <w:divBdr>
        <w:top w:val="none" w:sz="0" w:space="0" w:color="auto"/>
        <w:left w:val="none" w:sz="0" w:space="0" w:color="auto"/>
        <w:bottom w:val="none" w:sz="0" w:space="0" w:color="auto"/>
        <w:right w:val="none" w:sz="0" w:space="0" w:color="auto"/>
      </w:divBdr>
      <w:divsChild>
        <w:div w:id="1220241846">
          <w:marLeft w:val="0"/>
          <w:marRight w:val="0"/>
          <w:marTop w:val="0"/>
          <w:marBottom w:val="0"/>
          <w:divBdr>
            <w:top w:val="none" w:sz="0" w:space="0" w:color="auto"/>
            <w:left w:val="none" w:sz="0" w:space="0" w:color="auto"/>
            <w:bottom w:val="none" w:sz="0" w:space="0" w:color="auto"/>
            <w:right w:val="none" w:sz="0" w:space="0" w:color="auto"/>
          </w:divBdr>
          <w:divsChild>
            <w:div w:id="1379932327">
              <w:marLeft w:val="0"/>
              <w:marRight w:val="0"/>
              <w:marTop w:val="0"/>
              <w:marBottom w:val="0"/>
              <w:divBdr>
                <w:top w:val="none" w:sz="0" w:space="0" w:color="auto"/>
                <w:left w:val="none" w:sz="0" w:space="0" w:color="auto"/>
                <w:bottom w:val="none" w:sz="0" w:space="0" w:color="auto"/>
                <w:right w:val="none" w:sz="0" w:space="0" w:color="auto"/>
              </w:divBdr>
              <w:divsChild>
                <w:div w:id="22826161">
                  <w:marLeft w:val="0"/>
                  <w:marRight w:val="0"/>
                  <w:marTop w:val="120"/>
                  <w:marBottom w:val="0"/>
                  <w:divBdr>
                    <w:top w:val="none" w:sz="0" w:space="0" w:color="auto"/>
                    <w:left w:val="none" w:sz="0" w:space="0" w:color="auto"/>
                    <w:bottom w:val="none" w:sz="0" w:space="0" w:color="auto"/>
                    <w:right w:val="none" w:sz="0" w:space="0" w:color="auto"/>
                  </w:divBdr>
                  <w:divsChild>
                    <w:div w:id="1908301957">
                      <w:marLeft w:val="0"/>
                      <w:marRight w:val="0"/>
                      <w:marTop w:val="0"/>
                      <w:marBottom w:val="0"/>
                      <w:divBdr>
                        <w:top w:val="none" w:sz="0" w:space="0" w:color="auto"/>
                        <w:left w:val="none" w:sz="0" w:space="0" w:color="auto"/>
                        <w:bottom w:val="none" w:sz="0" w:space="0" w:color="auto"/>
                        <w:right w:val="none" w:sz="0" w:space="0" w:color="auto"/>
                      </w:divBdr>
                      <w:divsChild>
                        <w:div w:id="1490708483">
                          <w:marLeft w:val="0"/>
                          <w:marRight w:val="0"/>
                          <w:marTop w:val="0"/>
                          <w:marBottom w:val="0"/>
                          <w:divBdr>
                            <w:top w:val="none" w:sz="0" w:space="0" w:color="auto"/>
                            <w:left w:val="none" w:sz="0" w:space="0" w:color="auto"/>
                            <w:bottom w:val="none" w:sz="0" w:space="0" w:color="auto"/>
                            <w:right w:val="none" w:sz="0" w:space="0" w:color="auto"/>
                          </w:divBdr>
                          <w:divsChild>
                            <w:div w:id="705178203">
                              <w:marLeft w:val="0"/>
                              <w:marRight w:val="0"/>
                              <w:marTop w:val="0"/>
                              <w:marBottom w:val="0"/>
                              <w:divBdr>
                                <w:top w:val="none" w:sz="0" w:space="0" w:color="auto"/>
                                <w:left w:val="none" w:sz="0" w:space="0" w:color="auto"/>
                                <w:bottom w:val="none" w:sz="0" w:space="0" w:color="auto"/>
                                <w:right w:val="none" w:sz="0" w:space="0" w:color="auto"/>
                              </w:divBdr>
                              <w:divsChild>
                                <w:div w:id="517040080">
                                  <w:marLeft w:val="0"/>
                                  <w:marRight w:val="0"/>
                                  <w:marTop w:val="0"/>
                                  <w:marBottom w:val="0"/>
                                  <w:divBdr>
                                    <w:top w:val="none" w:sz="0" w:space="0" w:color="auto"/>
                                    <w:left w:val="none" w:sz="0" w:space="0" w:color="auto"/>
                                    <w:bottom w:val="none" w:sz="0" w:space="0" w:color="auto"/>
                                    <w:right w:val="none" w:sz="0" w:space="0" w:color="auto"/>
                                  </w:divBdr>
                                </w:div>
                                <w:div w:id="1021131507">
                                  <w:marLeft w:val="0"/>
                                  <w:marRight w:val="0"/>
                                  <w:marTop w:val="0"/>
                                  <w:marBottom w:val="0"/>
                                  <w:divBdr>
                                    <w:top w:val="none" w:sz="0" w:space="0" w:color="auto"/>
                                    <w:left w:val="none" w:sz="0" w:space="0" w:color="auto"/>
                                    <w:bottom w:val="none" w:sz="0" w:space="0" w:color="auto"/>
                                    <w:right w:val="none" w:sz="0" w:space="0" w:color="auto"/>
                                  </w:divBdr>
                                </w:div>
                                <w:div w:id="204292612">
                                  <w:marLeft w:val="0"/>
                                  <w:marRight w:val="0"/>
                                  <w:marTop w:val="0"/>
                                  <w:marBottom w:val="0"/>
                                  <w:divBdr>
                                    <w:top w:val="none" w:sz="0" w:space="0" w:color="auto"/>
                                    <w:left w:val="none" w:sz="0" w:space="0" w:color="auto"/>
                                    <w:bottom w:val="none" w:sz="0" w:space="0" w:color="auto"/>
                                    <w:right w:val="none" w:sz="0" w:space="0" w:color="auto"/>
                                  </w:divBdr>
                                </w:div>
                                <w:div w:id="707341283">
                                  <w:marLeft w:val="0"/>
                                  <w:marRight w:val="0"/>
                                  <w:marTop w:val="0"/>
                                  <w:marBottom w:val="0"/>
                                  <w:divBdr>
                                    <w:top w:val="none" w:sz="0" w:space="0" w:color="auto"/>
                                    <w:left w:val="none" w:sz="0" w:space="0" w:color="auto"/>
                                    <w:bottom w:val="none" w:sz="0" w:space="0" w:color="auto"/>
                                    <w:right w:val="none" w:sz="0" w:space="0" w:color="auto"/>
                                  </w:divBdr>
                                </w:div>
                                <w:div w:id="989403823">
                                  <w:marLeft w:val="0"/>
                                  <w:marRight w:val="0"/>
                                  <w:marTop w:val="0"/>
                                  <w:marBottom w:val="0"/>
                                  <w:divBdr>
                                    <w:top w:val="none" w:sz="0" w:space="0" w:color="auto"/>
                                    <w:left w:val="none" w:sz="0" w:space="0" w:color="auto"/>
                                    <w:bottom w:val="none" w:sz="0" w:space="0" w:color="auto"/>
                                    <w:right w:val="none" w:sz="0" w:space="0" w:color="auto"/>
                                  </w:divBdr>
                                </w:div>
                                <w:div w:id="800656152">
                                  <w:marLeft w:val="0"/>
                                  <w:marRight w:val="0"/>
                                  <w:marTop w:val="0"/>
                                  <w:marBottom w:val="0"/>
                                  <w:divBdr>
                                    <w:top w:val="none" w:sz="0" w:space="0" w:color="auto"/>
                                    <w:left w:val="none" w:sz="0" w:space="0" w:color="auto"/>
                                    <w:bottom w:val="none" w:sz="0" w:space="0" w:color="auto"/>
                                    <w:right w:val="none" w:sz="0" w:space="0" w:color="auto"/>
                                  </w:divBdr>
                                </w:div>
                                <w:div w:id="778453390">
                                  <w:marLeft w:val="0"/>
                                  <w:marRight w:val="0"/>
                                  <w:marTop w:val="0"/>
                                  <w:marBottom w:val="0"/>
                                  <w:divBdr>
                                    <w:top w:val="none" w:sz="0" w:space="0" w:color="auto"/>
                                    <w:left w:val="none" w:sz="0" w:space="0" w:color="auto"/>
                                    <w:bottom w:val="none" w:sz="0" w:space="0" w:color="auto"/>
                                    <w:right w:val="none" w:sz="0" w:space="0" w:color="auto"/>
                                  </w:divBdr>
                                </w:div>
                                <w:div w:id="220288640">
                                  <w:marLeft w:val="0"/>
                                  <w:marRight w:val="0"/>
                                  <w:marTop w:val="0"/>
                                  <w:marBottom w:val="0"/>
                                  <w:divBdr>
                                    <w:top w:val="none" w:sz="0" w:space="0" w:color="auto"/>
                                    <w:left w:val="none" w:sz="0" w:space="0" w:color="auto"/>
                                    <w:bottom w:val="none" w:sz="0" w:space="0" w:color="auto"/>
                                    <w:right w:val="none" w:sz="0" w:space="0" w:color="auto"/>
                                  </w:divBdr>
                                </w:div>
                                <w:div w:id="229274603">
                                  <w:marLeft w:val="0"/>
                                  <w:marRight w:val="0"/>
                                  <w:marTop w:val="0"/>
                                  <w:marBottom w:val="0"/>
                                  <w:divBdr>
                                    <w:top w:val="none" w:sz="0" w:space="0" w:color="auto"/>
                                    <w:left w:val="none" w:sz="0" w:space="0" w:color="auto"/>
                                    <w:bottom w:val="none" w:sz="0" w:space="0" w:color="auto"/>
                                    <w:right w:val="none" w:sz="0" w:space="0" w:color="auto"/>
                                  </w:divBdr>
                                </w:div>
                                <w:div w:id="645669660">
                                  <w:marLeft w:val="0"/>
                                  <w:marRight w:val="0"/>
                                  <w:marTop w:val="0"/>
                                  <w:marBottom w:val="0"/>
                                  <w:divBdr>
                                    <w:top w:val="none" w:sz="0" w:space="0" w:color="auto"/>
                                    <w:left w:val="none" w:sz="0" w:space="0" w:color="auto"/>
                                    <w:bottom w:val="none" w:sz="0" w:space="0" w:color="auto"/>
                                    <w:right w:val="none" w:sz="0" w:space="0" w:color="auto"/>
                                  </w:divBdr>
                                </w:div>
                                <w:div w:id="1957247254">
                                  <w:marLeft w:val="0"/>
                                  <w:marRight w:val="0"/>
                                  <w:marTop w:val="0"/>
                                  <w:marBottom w:val="0"/>
                                  <w:divBdr>
                                    <w:top w:val="none" w:sz="0" w:space="0" w:color="auto"/>
                                    <w:left w:val="none" w:sz="0" w:space="0" w:color="auto"/>
                                    <w:bottom w:val="none" w:sz="0" w:space="0" w:color="auto"/>
                                    <w:right w:val="none" w:sz="0" w:space="0" w:color="auto"/>
                                  </w:divBdr>
                                </w:div>
                              </w:divsChild>
                            </w:div>
                            <w:div w:id="1004357916">
                              <w:marLeft w:val="0"/>
                              <w:marRight w:val="0"/>
                              <w:marTop w:val="0"/>
                              <w:marBottom w:val="0"/>
                              <w:divBdr>
                                <w:top w:val="none" w:sz="0" w:space="0" w:color="auto"/>
                                <w:left w:val="none" w:sz="0" w:space="0" w:color="auto"/>
                                <w:bottom w:val="none" w:sz="0" w:space="0" w:color="auto"/>
                                <w:right w:val="none" w:sz="0" w:space="0" w:color="auto"/>
                              </w:divBdr>
                              <w:divsChild>
                                <w:div w:id="17540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6976">
      <w:bodyDiv w:val="1"/>
      <w:marLeft w:val="0"/>
      <w:marRight w:val="0"/>
      <w:marTop w:val="0"/>
      <w:marBottom w:val="0"/>
      <w:divBdr>
        <w:top w:val="none" w:sz="0" w:space="0" w:color="auto"/>
        <w:left w:val="none" w:sz="0" w:space="0" w:color="auto"/>
        <w:bottom w:val="none" w:sz="0" w:space="0" w:color="auto"/>
        <w:right w:val="none" w:sz="0" w:space="0" w:color="auto"/>
      </w:divBdr>
    </w:div>
    <w:div w:id="755595308">
      <w:bodyDiv w:val="1"/>
      <w:marLeft w:val="0"/>
      <w:marRight w:val="0"/>
      <w:marTop w:val="0"/>
      <w:marBottom w:val="0"/>
      <w:divBdr>
        <w:top w:val="none" w:sz="0" w:space="0" w:color="auto"/>
        <w:left w:val="none" w:sz="0" w:space="0" w:color="auto"/>
        <w:bottom w:val="none" w:sz="0" w:space="0" w:color="auto"/>
        <w:right w:val="none" w:sz="0" w:space="0" w:color="auto"/>
      </w:divBdr>
      <w:divsChild>
        <w:div w:id="620109219">
          <w:marLeft w:val="0"/>
          <w:marRight w:val="0"/>
          <w:marTop w:val="120"/>
          <w:marBottom w:val="0"/>
          <w:divBdr>
            <w:top w:val="none" w:sz="0" w:space="0" w:color="auto"/>
            <w:left w:val="none" w:sz="0" w:space="0" w:color="auto"/>
            <w:bottom w:val="none" w:sz="0" w:space="0" w:color="auto"/>
            <w:right w:val="none" w:sz="0" w:space="0" w:color="auto"/>
          </w:divBdr>
          <w:divsChild>
            <w:div w:id="1621716784">
              <w:marLeft w:val="0"/>
              <w:marRight w:val="0"/>
              <w:marTop w:val="0"/>
              <w:marBottom w:val="0"/>
              <w:divBdr>
                <w:top w:val="none" w:sz="0" w:space="0" w:color="auto"/>
                <w:left w:val="none" w:sz="0" w:space="0" w:color="auto"/>
                <w:bottom w:val="none" w:sz="0" w:space="0" w:color="auto"/>
                <w:right w:val="none" w:sz="0" w:space="0" w:color="auto"/>
              </w:divBdr>
              <w:divsChild>
                <w:div w:id="264046732">
                  <w:marLeft w:val="0"/>
                  <w:marRight w:val="0"/>
                  <w:marTop w:val="0"/>
                  <w:marBottom w:val="0"/>
                  <w:divBdr>
                    <w:top w:val="none" w:sz="0" w:space="0" w:color="auto"/>
                    <w:left w:val="none" w:sz="0" w:space="0" w:color="auto"/>
                    <w:bottom w:val="none" w:sz="0" w:space="0" w:color="auto"/>
                    <w:right w:val="none" w:sz="0" w:space="0" w:color="auto"/>
                  </w:divBdr>
                  <w:divsChild>
                    <w:div w:id="1691100426">
                      <w:marLeft w:val="0"/>
                      <w:marRight w:val="0"/>
                      <w:marTop w:val="0"/>
                      <w:marBottom w:val="0"/>
                      <w:divBdr>
                        <w:top w:val="none" w:sz="0" w:space="0" w:color="auto"/>
                        <w:left w:val="none" w:sz="0" w:space="0" w:color="auto"/>
                        <w:bottom w:val="none" w:sz="0" w:space="0" w:color="auto"/>
                        <w:right w:val="none" w:sz="0" w:space="0" w:color="auto"/>
                      </w:divBdr>
                      <w:divsChild>
                        <w:div w:id="1204366352">
                          <w:marLeft w:val="0"/>
                          <w:marRight w:val="0"/>
                          <w:marTop w:val="0"/>
                          <w:marBottom w:val="0"/>
                          <w:divBdr>
                            <w:top w:val="none" w:sz="0" w:space="0" w:color="auto"/>
                            <w:left w:val="none" w:sz="0" w:space="0" w:color="auto"/>
                            <w:bottom w:val="none" w:sz="0" w:space="0" w:color="auto"/>
                            <w:right w:val="none" w:sz="0" w:space="0" w:color="auto"/>
                          </w:divBdr>
                          <w:divsChild>
                            <w:div w:id="197651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430443">
      <w:bodyDiv w:val="1"/>
      <w:marLeft w:val="0"/>
      <w:marRight w:val="0"/>
      <w:marTop w:val="0"/>
      <w:marBottom w:val="0"/>
      <w:divBdr>
        <w:top w:val="none" w:sz="0" w:space="0" w:color="auto"/>
        <w:left w:val="none" w:sz="0" w:space="0" w:color="auto"/>
        <w:bottom w:val="none" w:sz="0" w:space="0" w:color="auto"/>
        <w:right w:val="none" w:sz="0" w:space="0" w:color="auto"/>
      </w:divBdr>
      <w:divsChild>
        <w:div w:id="665322556">
          <w:marLeft w:val="0"/>
          <w:marRight w:val="0"/>
          <w:marTop w:val="0"/>
          <w:marBottom w:val="0"/>
          <w:divBdr>
            <w:top w:val="none" w:sz="0" w:space="0" w:color="auto"/>
            <w:left w:val="none" w:sz="0" w:space="0" w:color="auto"/>
            <w:bottom w:val="none" w:sz="0" w:space="0" w:color="auto"/>
            <w:right w:val="none" w:sz="0" w:space="0" w:color="auto"/>
          </w:divBdr>
        </w:div>
        <w:div w:id="116339490">
          <w:marLeft w:val="0"/>
          <w:marRight w:val="0"/>
          <w:marTop w:val="0"/>
          <w:marBottom w:val="0"/>
          <w:divBdr>
            <w:top w:val="none" w:sz="0" w:space="0" w:color="auto"/>
            <w:left w:val="none" w:sz="0" w:space="0" w:color="auto"/>
            <w:bottom w:val="none" w:sz="0" w:space="0" w:color="auto"/>
            <w:right w:val="none" w:sz="0" w:space="0" w:color="auto"/>
          </w:divBdr>
        </w:div>
        <w:div w:id="1226527687">
          <w:marLeft w:val="0"/>
          <w:marRight w:val="0"/>
          <w:marTop w:val="0"/>
          <w:marBottom w:val="0"/>
          <w:divBdr>
            <w:top w:val="none" w:sz="0" w:space="0" w:color="auto"/>
            <w:left w:val="none" w:sz="0" w:space="0" w:color="auto"/>
            <w:bottom w:val="none" w:sz="0" w:space="0" w:color="auto"/>
            <w:right w:val="none" w:sz="0" w:space="0" w:color="auto"/>
          </w:divBdr>
        </w:div>
        <w:div w:id="129323936">
          <w:marLeft w:val="0"/>
          <w:marRight w:val="0"/>
          <w:marTop w:val="0"/>
          <w:marBottom w:val="0"/>
          <w:divBdr>
            <w:top w:val="none" w:sz="0" w:space="0" w:color="auto"/>
            <w:left w:val="none" w:sz="0" w:space="0" w:color="auto"/>
            <w:bottom w:val="none" w:sz="0" w:space="0" w:color="auto"/>
            <w:right w:val="none" w:sz="0" w:space="0" w:color="auto"/>
          </w:divBdr>
        </w:div>
        <w:div w:id="903954895">
          <w:marLeft w:val="0"/>
          <w:marRight w:val="0"/>
          <w:marTop w:val="0"/>
          <w:marBottom w:val="0"/>
          <w:divBdr>
            <w:top w:val="none" w:sz="0" w:space="0" w:color="auto"/>
            <w:left w:val="none" w:sz="0" w:space="0" w:color="auto"/>
            <w:bottom w:val="none" w:sz="0" w:space="0" w:color="auto"/>
            <w:right w:val="none" w:sz="0" w:space="0" w:color="auto"/>
          </w:divBdr>
        </w:div>
        <w:div w:id="929041940">
          <w:marLeft w:val="0"/>
          <w:marRight w:val="0"/>
          <w:marTop w:val="0"/>
          <w:marBottom w:val="0"/>
          <w:divBdr>
            <w:top w:val="none" w:sz="0" w:space="0" w:color="auto"/>
            <w:left w:val="none" w:sz="0" w:space="0" w:color="auto"/>
            <w:bottom w:val="none" w:sz="0" w:space="0" w:color="auto"/>
            <w:right w:val="none" w:sz="0" w:space="0" w:color="auto"/>
          </w:divBdr>
        </w:div>
        <w:div w:id="365375879">
          <w:marLeft w:val="0"/>
          <w:marRight w:val="0"/>
          <w:marTop w:val="0"/>
          <w:marBottom w:val="0"/>
          <w:divBdr>
            <w:top w:val="none" w:sz="0" w:space="0" w:color="auto"/>
            <w:left w:val="none" w:sz="0" w:space="0" w:color="auto"/>
            <w:bottom w:val="none" w:sz="0" w:space="0" w:color="auto"/>
            <w:right w:val="none" w:sz="0" w:space="0" w:color="auto"/>
          </w:divBdr>
        </w:div>
        <w:div w:id="551503021">
          <w:marLeft w:val="0"/>
          <w:marRight w:val="0"/>
          <w:marTop w:val="0"/>
          <w:marBottom w:val="0"/>
          <w:divBdr>
            <w:top w:val="none" w:sz="0" w:space="0" w:color="auto"/>
            <w:left w:val="none" w:sz="0" w:space="0" w:color="auto"/>
            <w:bottom w:val="none" w:sz="0" w:space="0" w:color="auto"/>
            <w:right w:val="none" w:sz="0" w:space="0" w:color="auto"/>
          </w:divBdr>
        </w:div>
        <w:div w:id="732655849">
          <w:marLeft w:val="0"/>
          <w:marRight w:val="0"/>
          <w:marTop w:val="0"/>
          <w:marBottom w:val="0"/>
          <w:divBdr>
            <w:top w:val="none" w:sz="0" w:space="0" w:color="auto"/>
            <w:left w:val="none" w:sz="0" w:space="0" w:color="auto"/>
            <w:bottom w:val="none" w:sz="0" w:space="0" w:color="auto"/>
            <w:right w:val="none" w:sz="0" w:space="0" w:color="auto"/>
          </w:divBdr>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026249170">
      <w:bodyDiv w:val="1"/>
      <w:marLeft w:val="0"/>
      <w:marRight w:val="0"/>
      <w:marTop w:val="0"/>
      <w:marBottom w:val="0"/>
      <w:divBdr>
        <w:top w:val="none" w:sz="0" w:space="0" w:color="auto"/>
        <w:left w:val="none" w:sz="0" w:space="0" w:color="auto"/>
        <w:bottom w:val="none" w:sz="0" w:space="0" w:color="auto"/>
        <w:right w:val="none" w:sz="0" w:space="0" w:color="auto"/>
      </w:divBdr>
      <w:divsChild>
        <w:div w:id="515581265">
          <w:marLeft w:val="0"/>
          <w:marRight w:val="0"/>
          <w:marTop w:val="120"/>
          <w:marBottom w:val="0"/>
          <w:divBdr>
            <w:top w:val="none" w:sz="0" w:space="0" w:color="auto"/>
            <w:left w:val="none" w:sz="0" w:space="0" w:color="auto"/>
            <w:bottom w:val="none" w:sz="0" w:space="0" w:color="auto"/>
            <w:right w:val="none" w:sz="0" w:space="0" w:color="auto"/>
          </w:divBdr>
          <w:divsChild>
            <w:div w:id="1051928373">
              <w:marLeft w:val="0"/>
              <w:marRight w:val="0"/>
              <w:marTop w:val="0"/>
              <w:marBottom w:val="0"/>
              <w:divBdr>
                <w:top w:val="none" w:sz="0" w:space="0" w:color="auto"/>
                <w:left w:val="none" w:sz="0" w:space="0" w:color="auto"/>
                <w:bottom w:val="none" w:sz="0" w:space="0" w:color="auto"/>
                <w:right w:val="none" w:sz="0" w:space="0" w:color="auto"/>
              </w:divBdr>
              <w:divsChild>
                <w:div w:id="1178470265">
                  <w:marLeft w:val="0"/>
                  <w:marRight w:val="0"/>
                  <w:marTop w:val="0"/>
                  <w:marBottom w:val="0"/>
                  <w:divBdr>
                    <w:top w:val="none" w:sz="0" w:space="0" w:color="auto"/>
                    <w:left w:val="none" w:sz="0" w:space="0" w:color="auto"/>
                    <w:bottom w:val="none" w:sz="0" w:space="0" w:color="auto"/>
                    <w:right w:val="none" w:sz="0" w:space="0" w:color="auto"/>
                  </w:divBdr>
                  <w:divsChild>
                    <w:div w:id="1232279072">
                      <w:marLeft w:val="0"/>
                      <w:marRight w:val="0"/>
                      <w:marTop w:val="0"/>
                      <w:marBottom w:val="0"/>
                      <w:divBdr>
                        <w:top w:val="none" w:sz="0" w:space="0" w:color="auto"/>
                        <w:left w:val="none" w:sz="0" w:space="0" w:color="auto"/>
                        <w:bottom w:val="none" w:sz="0" w:space="0" w:color="auto"/>
                        <w:right w:val="none" w:sz="0" w:space="0" w:color="auto"/>
                      </w:divBdr>
                      <w:divsChild>
                        <w:div w:id="1398744572">
                          <w:marLeft w:val="0"/>
                          <w:marRight w:val="0"/>
                          <w:marTop w:val="0"/>
                          <w:marBottom w:val="0"/>
                          <w:divBdr>
                            <w:top w:val="none" w:sz="0" w:space="0" w:color="auto"/>
                            <w:left w:val="none" w:sz="0" w:space="0" w:color="auto"/>
                            <w:bottom w:val="none" w:sz="0" w:space="0" w:color="auto"/>
                            <w:right w:val="none" w:sz="0" w:space="0" w:color="auto"/>
                          </w:divBdr>
                          <w:divsChild>
                            <w:div w:id="21090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706">
      <w:bodyDiv w:val="1"/>
      <w:marLeft w:val="0"/>
      <w:marRight w:val="0"/>
      <w:marTop w:val="0"/>
      <w:marBottom w:val="0"/>
      <w:divBdr>
        <w:top w:val="none" w:sz="0" w:space="0" w:color="auto"/>
        <w:left w:val="none" w:sz="0" w:space="0" w:color="auto"/>
        <w:bottom w:val="none" w:sz="0" w:space="0" w:color="auto"/>
        <w:right w:val="none" w:sz="0" w:space="0" w:color="auto"/>
      </w:divBdr>
      <w:divsChild>
        <w:div w:id="334845710">
          <w:marLeft w:val="0"/>
          <w:marRight w:val="0"/>
          <w:marTop w:val="0"/>
          <w:marBottom w:val="0"/>
          <w:divBdr>
            <w:top w:val="none" w:sz="0" w:space="0" w:color="auto"/>
            <w:left w:val="none" w:sz="0" w:space="0" w:color="auto"/>
            <w:bottom w:val="none" w:sz="0" w:space="0" w:color="auto"/>
            <w:right w:val="none" w:sz="0" w:space="0" w:color="auto"/>
          </w:divBdr>
        </w:div>
        <w:div w:id="1574393828">
          <w:marLeft w:val="0"/>
          <w:marRight w:val="0"/>
          <w:marTop w:val="0"/>
          <w:marBottom w:val="0"/>
          <w:divBdr>
            <w:top w:val="none" w:sz="0" w:space="0" w:color="auto"/>
            <w:left w:val="none" w:sz="0" w:space="0" w:color="auto"/>
            <w:bottom w:val="none" w:sz="0" w:space="0" w:color="auto"/>
            <w:right w:val="none" w:sz="0" w:space="0" w:color="auto"/>
          </w:divBdr>
        </w:div>
        <w:div w:id="1724405873">
          <w:marLeft w:val="0"/>
          <w:marRight w:val="0"/>
          <w:marTop w:val="0"/>
          <w:marBottom w:val="0"/>
          <w:divBdr>
            <w:top w:val="none" w:sz="0" w:space="0" w:color="auto"/>
            <w:left w:val="none" w:sz="0" w:space="0" w:color="auto"/>
            <w:bottom w:val="none" w:sz="0" w:space="0" w:color="auto"/>
            <w:right w:val="none" w:sz="0" w:space="0" w:color="auto"/>
          </w:divBdr>
        </w:div>
        <w:div w:id="2051681510">
          <w:marLeft w:val="0"/>
          <w:marRight w:val="0"/>
          <w:marTop w:val="0"/>
          <w:marBottom w:val="0"/>
          <w:divBdr>
            <w:top w:val="none" w:sz="0" w:space="0" w:color="auto"/>
            <w:left w:val="none" w:sz="0" w:space="0" w:color="auto"/>
            <w:bottom w:val="none" w:sz="0" w:space="0" w:color="auto"/>
            <w:right w:val="none" w:sz="0" w:space="0" w:color="auto"/>
          </w:divBdr>
        </w:div>
        <w:div w:id="332220565">
          <w:marLeft w:val="0"/>
          <w:marRight w:val="0"/>
          <w:marTop w:val="0"/>
          <w:marBottom w:val="0"/>
          <w:divBdr>
            <w:top w:val="none" w:sz="0" w:space="0" w:color="auto"/>
            <w:left w:val="none" w:sz="0" w:space="0" w:color="auto"/>
            <w:bottom w:val="none" w:sz="0" w:space="0" w:color="auto"/>
            <w:right w:val="none" w:sz="0" w:space="0" w:color="auto"/>
          </w:divBdr>
        </w:div>
        <w:div w:id="650522376">
          <w:marLeft w:val="0"/>
          <w:marRight w:val="0"/>
          <w:marTop w:val="0"/>
          <w:marBottom w:val="0"/>
          <w:divBdr>
            <w:top w:val="none" w:sz="0" w:space="0" w:color="auto"/>
            <w:left w:val="none" w:sz="0" w:space="0" w:color="auto"/>
            <w:bottom w:val="none" w:sz="0" w:space="0" w:color="auto"/>
            <w:right w:val="none" w:sz="0" w:space="0" w:color="auto"/>
          </w:divBdr>
        </w:div>
        <w:div w:id="1637876698">
          <w:marLeft w:val="0"/>
          <w:marRight w:val="0"/>
          <w:marTop w:val="0"/>
          <w:marBottom w:val="0"/>
          <w:divBdr>
            <w:top w:val="none" w:sz="0" w:space="0" w:color="auto"/>
            <w:left w:val="none" w:sz="0" w:space="0" w:color="auto"/>
            <w:bottom w:val="none" w:sz="0" w:space="0" w:color="auto"/>
            <w:right w:val="none" w:sz="0" w:space="0" w:color="auto"/>
          </w:divBdr>
        </w:div>
        <w:div w:id="1392382162">
          <w:marLeft w:val="0"/>
          <w:marRight w:val="0"/>
          <w:marTop w:val="0"/>
          <w:marBottom w:val="0"/>
          <w:divBdr>
            <w:top w:val="none" w:sz="0" w:space="0" w:color="auto"/>
            <w:left w:val="none" w:sz="0" w:space="0" w:color="auto"/>
            <w:bottom w:val="none" w:sz="0" w:space="0" w:color="auto"/>
            <w:right w:val="none" w:sz="0" w:space="0" w:color="auto"/>
          </w:divBdr>
        </w:div>
        <w:div w:id="1256983772">
          <w:marLeft w:val="0"/>
          <w:marRight w:val="0"/>
          <w:marTop w:val="0"/>
          <w:marBottom w:val="0"/>
          <w:divBdr>
            <w:top w:val="none" w:sz="0" w:space="0" w:color="auto"/>
            <w:left w:val="none" w:sz="0" w:space="0" w:color="auto"/>
            <w:bottom w:val="none" w:sz="0" w:space="0" w:color="auto"/>
            <w:right w:val="none" w:sz="0" w:space="0" w:color="auto"/>
          </w:divBdr>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1775978656">
      <w:bodyDiv w:val="1"/>
      <w:marLeft w:val="0"/>
      <w:marRight w:val="0"/>
      <w:marTop w:val="0"/>
      <w:marBottom w:val="0"/>
      <w:divBdr>
        <w:top w:val="none" w:sz="0" w:space="0" w:color="auto"/>
        <w:left w:val="none" w:sz="0" w:space="0" w:color="auto"/>
        <w:bottom w:val="none" w:sz="0" w:space="0" w:color="auto"/>
        <w:right w:val="none" w:sz="0" w:space="0" w:color="auto"/>
      </w:divBdr>
    </w:div>
    <w:div w:id="1886063322">
      <w:bodyDiv w:val="1"/>
      <w:marLeft w:val="0"/>
      <w:marRight w:val="0"/>
      <w:marTop w:val="0"/>
      <w:marBottom w:val="0"/>
      <w:divBdr>
        <w:top w:val="none" w:sz="0" w:space="0" w:color="auto"/>
        <w:left w:val="none" w:sz="0" w:space="0" w:color="auto"/>
        <w:bottom w:val="none" w:sz="0" w:space="0" w:color="auto"/>
        <w:right w:val="none" w:sz="0" w:space="0" w:color="auto"/>
      </w:divBdr>
      <w:divsChild>
        <w:div w:id="667096734">
          <w:marLeft w:val="0"/>
          <w:marRight w:val="0"/>
          <w:marTop w:val="0"/>
          <w:marBottom w:val="0"/>
          <w:divBdr>
            <w:top w:val="none" w:sz="0" w:space="0" w:color="auto"/>
            <w:left w:val="none" w:sz="0" w:space="0" w:color="auto"/>
            <w:bottom w:val="none" w:sz="0" w:space="0" w:color="auto"/>
            <w:right w:val="none" w:sz="0" w:space="0" w:color="auto"/>
          </w:divBdr>
        </w:div>
        <w:div w:id="1265922946">
          <w:marLeft w:val="0"/>
          <w:marRight w:val="0"/>
          <w:marTop w:val="0"/>
          <w:marBottom w:val="0"/>
          <w:divBdr>
            <w:top w:val="none" w:sz="0" w:space="0" w:color="auto"/>
            <w:left w:val="none" w:sz="0" w:space="0" w:color="auto"/>
            <w:bottom w:val="none" w:sz="0" w:space="0" w:color="auto"/>
            <w:right w:val="none" w:sz="0" w:space="0" w:color="auto"/>
          </w:divBdr>
        </w:div>
      </w:divsChild>
    </w:div>
    <w:div w:id="1986160583">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 w:id="2069181993">
      <w:bodyDiv w:val="1"/>
      <w:marLeft w:val="0"/>
      <w:marRight w:val="0"/>
      <w:marTop w:val="0"/>
      <w:marBottom w:val="0"/>
      <w:divBdr>
        <w:top w:val="none" w:sz="0" w:space="0" w:color="auto"/>
        <w:left w:val="none" w:sz="0" w:space="0" w:color="auto"/>
        <w:bottom w:val="none" w:sz="0" w:space="0" w:color="auto"/>
        <w:right w:val="none" w:sz="0" w:space="0" w:color="auto"/>
      </w:divBdr>
      <w:divsChild>
        <w:div w:id="1699505612">
          <w:marLeft w:val="0"/>
          <w:marRight w:val="0"/>
          <w:marTop w:val="0"/>
          <w:marBottom w:val="0"/>
          <w:divBdr>
            <w:top w:val="none" w:sz="0" w:space="0" w:color="auto"/>
            <w:left w:val="none" w:sz="0" w:space="0" w:color="auto"/>
            <w:bottom w:val="none" w:sz="0" w:space="0" w:color="auto"/>
            <w:right w:val="none" w:sz="0" w:space="0" w:color="auto"/>
          </w:divBdr>
          <w:divsChild>
            <w:div w:id="964390919">
              <w:marLeft w:val="0"/>
              <w:marRight w:val="0"/>
              <w:marTop w:val="0"/>
              <w:marBottom w:val="0"/>
              <w:divBdr>
                <w:top w:val="none" w:sz="0" w:space="0" w:color="auto"/>
                <w:left w:val="none" w:sz="0" w:space="0" w:color="auto"/>
                <w:bottom w:val="none" w:sz="0" w:space="0" w:color="auto"/>
                <w:right w:val="none" w:sz="0" w:space="0" w:color="auto"/>
              </w:divBdr>
              <w:divsChild>
                <w:div w:id="948439466">
                  <w:marLeft w:val="0"/>
                  <w:marRight w:val="0"/>
                  <w:marTop w:val="120"/>
                  <w:marBottom w:val="0"/>
                  <w:divBdr>
                    <w:top w:val="none" w:sz="0" w:space="0" w:color="auto"/>
                    <w:left w:val="none" w:sz="0" w:space="0" w:color="auto"/>
                    <w:bottom w:val="none" w:sz="0" w:space="0" w:color="auto"/>
                    <w:right w:val="none" w:sz="0" w:space="0" w:color="auto"/>
                  </w:divBdr>
                  <w:divsChild>
                    <w:div w:id="1178233898">
                      <w:marLeft w:val="0"/>
                      <w:marRight w:val="0"/>
                      <w:marTop w:val="0"/>
                      <w:marBottom w:val="0"/>
                      <w:divBdr>
                        <w:top w:val="none" w:sz="0" w:space="0" w:color="auto"/>
                        <w:left w:val="none" w:sz="0" w:space="0" w:color="auto"/>
                        <w:bottom w:val="none" w:sz="0" w:space="0" w:color="auto"/>
                        <w:right w:val="none" w:sz="0" w:space="0" w:color="auto"/>
                      </w:divBdr>
                      <w:divsChild>
                        <w:div w:id="1684629980">
                          <w:marLeft w:val="0"/>
                          <w:marRight w:val="0"/>
                          <w:marTop w:val="0"/>
                          <w:marBottom w:val="0"/>
                          <w:divBdr>
                            <w:top w:val="none" w:sz="0" w:space="0" w:color="auto"/>
                            <w:left w:val="none" w:sz="0" w:space="0" w:color="auto"/>
                            <w:bottom w:val="none" w:sz="0" w:space="0" w:color="auto"/>
                            <w:right w:val="none" w:sz="0" w:space="0" w:color="auto"/>
                          </w:divBdr>
                          <w:divsChild>
                            <w:div w:id="110251683">
                              <w:marLeft w:val="0"/>
                              <w:marRight w:val="0"/>
                              <w:marTop w:val="0"/>
                              <w:marBottom w:val="0"/>
                              <w:divBdr>
                                <w:top w:val="none" w:sz="0" w:space="0" w:color="auto"/>
                                <w:left w:val="none" w:sz="0" w:space="0" w:color="auto"/>
                                <w:bottom w:val="none" w:sz="0" w:space="0" w:color="auto"/>
                                <w:right w:val="none" w:sz="0" w:space="0" w:color="auto"/>
                              </w:divBdr>
                              <w:divsChild>
                                <w:div w:id="343214344">
                                  <w:marLeft w:val="0"/>
                                  <w:marRight w:val="0"/>
                                  <w:marTop w:val="0"/>
                                  <w:marBottom w:val="0"/>
                                  <w:divBdr>
                                    <w:top w:val="none" w:sz="0" w:space="0" w:color="auto"/>
                                    <w:left w:val="none" w:sz="0" w:space="0" w:color="auto"/>
                                    <w:bottom w:val="none" w:sz="0" w:space="0" w:color="auto"/>
                                    <w:right w:val="none" w:sz="0" w:space="0" w:color="auto"/>
                                  </w:divBdr>
                                  <w:divsChild>
                                    <w:div w:id="252519123">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120"/>
                                          <w:marBottom w:val="0"/>
                                          <w:divBdr>
                                            <w:top w:val="none" w:sz="0" w:space="0" w:color="auto"/>
                                            <w:left w:val="none" w:sz="0" w:space="0" w:color="auto"/>
                                            <w:bottom w:val="none" w:sz="0" w:space="0" w:color="auto"/>
                                            <w:right w:val="none" w:sz="0" w:space="0" w:color="auto"/>
                                          </w:divBdr>
                                          <w:divsChild>
                                            <w:div w:id="1678458830">
                                              <w:marLeft w:val="0"/>
                                              <w:marRight w:val="0"/>
                                              <w:marTop w:val="0"/>
                                              <w:marBottom w:val="0"/>
                                              <w:divBdr>
                                                <w:top w:val="none" w:sz="0" w:space="0" w:color="auto"/>
                                                <w:left w:val="none" w:sz="0" w:space="0" w:color="auto"/>
                                                <w:bottom w:val="none" w:sz="0" w:space="0" w:color="auto"/>
                                                <w:right w:val="none" w:sz="0" w:space="0" w:color="auto"/>
                                              </w:divBdr>
                                              <w:divsChild>
                                                <w:div w:id="772211975">
                                                  <w:marLeft w:val="0"/>
                                                  <w:marRight w:val="0"/>
                                                  <w:marTop w:val="0"/>
                                                  <w:marBottom w:val="0"/>
                                                  <w:divBdr>
                                                    <w:top w:val="none" w:sz="0" w:space="0" w:color="auto"/>
                                                    <w:left w:val="none" w:sz="0" w:space="0" w:color="auto"/>
                                                    <w:bottom w:val="none" w:sz="0" w:space="0" w:color="auto"/>
                                                    <w:right w:val="none" w:sz="0" w:space="0" w:color="auto"/>
                                                  </w:divBdr>
                                                  <w:divsChild>
                                                    <w:div w:id="559484800">
                                                      <w:marLeft w:val="0"/>
                                                      <w:marRight w:val="0"/>
                                                      <w:marTop w:val="0"/>
                                                      <w:marBottom w:val="0"/>
                                                      <w:divBdr>
                                                        <w:top w:val="none" w:sz="0" w:space="0" w:color="auto"/>
                                                        <w:left w:val="none" w:sz="0" w:space="0" w:color="auto"/>
                                                        <w:bottom w:val="none" w:sz="0" w:space="0" w:color="auto"/>
                                                        <w:right w:val="none" w:sz="0" w:space="0" w:color="auto"/>
                                                      </w:divBdr>
                                                      <w:divsChild>
                                                        <w:div w:id="1673532495">
                                                          <w:marLeft w:val="0"/>
                                                          <w:marRight w:val="0"/>
                                                          <w:marTop w:val="0"/>
                                                          <w:marBottom w:val="0"/>
                                                          <w:divBdr>
                                                            <w:top w:val="none" w:sz="0" w:space="0" w:color="auto"/>
                                                            <w:left w:val="none" w:sz="0" w:space="0" w:color="auto"/>
                                                            <w:bottom w:val="none" w:sz="0" w:space="0" w:color="auto"/>
                                                            <w:right w:val="none" w:sz="0" w:space="0" w:color="auto"/>
                                                          </w:divBdr>
                                                          <w:divsChild>
                                                            <w:div w:id="161049723">
                                                              <w:marLeft w:val="0"/>
                                                              <w:marRight w:val="0"/>
                                                              <w:marTop w:val="0"/>
                                                              <w:marBottom w:val="0"/>
                                                              <w:divBdr>
                                                                <w:top w:val="none" w:sz="0" w:space="0" w:color="auto"/>
                                                                <w:left w:val="none" w:sz="0" w:space="0" w:color="auto"/>
                                                                <w:bottom w:val="none" w:sz="0" w:space="0" w:color="auto"/>
                                                                <w:right w:val="none" w:sz="0" w:space="0" w:color="auto"/>
                                                              </w:divBdr>
                                                              <w:divsChild>
                                                                <w:div w:id="217938959">
                                                                  <w:marLeft w:val="0"/>
                                                                  <w:marRight w:val="0"/>
                                                                  <w:marTop w:val="0"/>
                                                                  <w:marBottom w:val="0"/>
                                                                  <w:divBdr>
                                                                    <w:top w:val="none" w:sz="0" w:space="0" w:color="auto"/>
                                                                    <w:left w:val="none" w:sz="0" w:space="0" w:color="auto"/>
                                                                    <w:bottom w:val="none" w:sz="0" w:space="0" w:color="auto"/>
                                                                    <w:right w:val="none" w:sz="0" w:space="0" w:color="auto"/>
                                                                  </w:divBdr>
                                                                  <w:divsChild>
                                                                    <w:div w:id="2007201670">
                                                                      <w:marLeft w:val="0"/>
                                                                      <w:marRight w:val="0"/>
                                                                      <w:marTop w:val="0"/>
                                                                      <w:marBottom w:val="0"/>
                                                                      <w:divBdr>
                                                                        <w:top w:val="none" w:sz="0" w:space="0" w:color="auto"/>
                                                                        <w:left w:val="none" w:sz="0" w:space="0" w:color="auto"/>
                                                                        <w:bottom w:val="none" w:sz="0" w:space="0" w:color="auto"/>
                                                                        <w:right w:val="none" w:sz="0" w:space="0" w:color="auto"/>
                                                                      </w:divBdr>
                                                                      <w:divsChild>
                                                                        <w:div w:id="95096439">
                                                                          <w:marLeft w:val="0"/>
                                                                          <w:marRight w:val="0"/>
                                                                          <w:marTop w:val="0"/>
                                                                          <w:marBottom w:val="0"/>
                                                                          <w:divBdr>
                                                                            <w:top w:val="none" w:sz="0" w:space="0" w:color="auto"/>
                                                                            <w:left w:val="none" w:sz="0" w:space="0" w:color="auto"/>
                                                                            <w:bottom w:val="none" w:sz="0" w:space="0" w:color="auto"/>
                                                                            <w:right w:val="none" w:sz="0" w:space="0" w:color="auto"/>
                                                                          </w:divBdr>
                                                                          <w:divsChild>
                                                                            <w:div w:id="24869173">
                                                                              <w:marLeft w:val="0"/>
                                                                              <w:marRight w:val="0"/>
                                                                              <w:marTop w:val="0"/>
                                                                              <w:marBottom w:val="0"/>
                                                                              <w:divBdr>
                                                                                <w:top w:val="none" w:sz="0" w:space="0" w:color="auto"/>
                                                                                <w:left w:val="none" w:sz="0" w:space="0" w:color="auto"/>
                                                                                <w:bottom w:val="none" w:sz="0" w:space="0" w:color="auto"/>
                                                                                <w:right w:val="none" w:sz="0" w:space="0" w:color="auto"/>
                                                                              </w:divBdr>
                                                                              <w:divsChild>
                                                                                <w:div w:id="1491748512">
                                                                                  <w:marLeft w:val="0"/>
                                                                                  <w:marRight w:val="0"/>
                                                                                  <w:marTop w:val="0"/>
                                                                                  <w:marBottom w:val="0"/>
                                                                                  <w:divBdr>
                                                                                    <w:top w:val="none" w:sz="0" w:space="0" w:color="auto"/>
                                                                                    <w:left w:val="none" w:sz="0" w:space="0" w:color="auto"/>
                                                                                    <w:bottom w:val="none" w:sz="0" w:space="0" w:color="auto"/>
                                                                                    <w:right w:val="none" w:sz="0" w:space="0" w:color="auto"/>
                                                                                  </w:divBdr>
                                                                                  <w:divsChild>
                                                                                    <w:div w:id="2113279146">
                                                                                      <w:marLeft w:val="0"/>
                                                                                      <w:marRight w:val="0"/>
                                                                                      <w:marTop w:val="0"/>
                                                                                      <w:marBottom w:val="0"/>
                                                                                      <w:divBdr>
                                                                                        <w:top w:val="none" w:sz="0" w:space="0" w:color="auto"/>
                                                                                        <w:left w:val="none" w:sz="0" w:space="0" w:color="auto"/>
                                                                                        <w:bottom w:val="none" w:sz="0" w:space="0" w:color="auto"/>
                                                                                        <w:right w:val="none" w:sz="0" w:space="0" w:color="auto"/>
                                                                                      </w:divBdr>
                                                                                      <w:divsChild>
                                                                                        <w:div w:id="19542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797000">
                              <w:marLeft w:val="0"/>
                              <w:marRight w:val="0"/>
                              <w:marTop w:val="0"/>
                              <w:marBottom w:val="0"/>
                              <w:divBdr>
                                <w:top w:val="none" w:sz="0" w:space="0" w:color="auto"/>
                                <w:left w:val="none" w:sz="0" w:space="0" w:color="auto"/>
                                <w:bottom w:val="none" w:sz="0" w:space="0" w:color="auto"/>
                                <w:right w:val="none" w:sz="0" w:space="0" w:color="auto"/>
                              </w:divBdr>
                              <w:divsChild>
                                <w:div w:id="1316639138">
                                  <w:marLeft w:val="0"/>
                                  <w:marRight w:val="0"/>
                                  <w:marTop w:val="0"/>
                                  <w:marBottom w:val="0"/>
                                  <w:divBdr>
                                    <w:top w:val="none" w:sz="0" w:space="0" w:color="auto"/>
                                    <w:left w:val="none" w:sz="0" w:space="0" w:color="auto"/>
                                    <w:bottom w:val="none" w:sz="0" w:space="0" w:color="auto"/>
                                    <w:right w:val="none" w:sz="0" w:space="0" w:color="auto"/>
                                  </w:divBdr>
                                  <w:divsChild>
                                    <w:div w:id="420832235">
                                      <w:marLeft w:val="0"/>
                                      <w:marRight w:val="0"/>
                                      <w:marTop w:val="0"/>
                                      <w:marBottom w:val="0"/>
                                      <w:divBdr>
                                        <w:top w:val="none" w:sz="0" w:space="0" w:color="auto"/>
                                        <w:left w:val="none" w:sz="0" w:space="0" w:color="auto"/>
                                        <w:bottom w:val="none" w:sz="0" w:space="0" w:color="auto"/>
                                        <w:right w:val="none" w:sz="0" w:space="0" w:color="auto"/>
                                      </w:divBdr>
                                      <w:divsChild>
                                        <w:div w:id="873495097">
                                          <w:marLeft w:val="0"/>
                                          <w:marRight w:val="0"/>
                                          <w:marTop w:val="0"/>
                                          <w:marBottom w:val="0"/>
                                          <w:divBdr>
                                            <w:top w:val="none" w:sz="0" w:space="0" w:color="auto"/>
                                            <w:left w:val="none" w:sz="0" w:space="0" w:color="auto"/>
                                            <w:bottom w:val="none" w:sz="0" w:space="0" w:color="auto"/>
                                            <w:right w:val="none" w:sz="0" w:space="0" w:color="auto"/>
                                          </w:divBdr>
                                          <w:divsChild>
                                            <w:div w:id="403911538">
                                              <w:marLeft w:val="0"/>
                                              <w:marRight w:val="0"/>
                                              <w:marTop w:val="0"/>
                                              <w:marBottom w:val="0"/>
                                              <w:divBdr>
                                                <w:top w:val="none" w:sz="0" w:space="0" w:color="auto"/>
                                                <w:left w:val="none" w:sz="0" w:space="0" w:color="auto"/>
                                                <w:bottom w:val="none" w:sz="0" w:space="0" w:color="auto"/>
                                                <w:right w:val="none" w:sz="0" w:space="0" w:color="auto"/>
                                              </w:divBdr>
                                              <w:divsChild>
                                                <w:div w:id="1068646675">
                                                  <w:marLeft w:val="0"/>
                                                  <w:marRight w:val="0"/>
                                                  <w:marTop w:val="0"/>
                                                  <w:marBottom w:val="0"/>
                                                  <w:divBdr>
                                                    <w:top w:val="none" w:sz="0" w:space="0" w:color="auto"/>
                                                    <w:left w:val="none" w:sz="0" w:space="0" w:color="auto"/>
                                                    <w:bottom w:val="none" w:sz="0" w:space="0" w:color="auto"/>
                                                    <w:right w:val="none" w:sz="0" w:space="0" w:color="auto"/>
                                                  </w:divBdr>
                                                  <w:divsChild>
                                                    <w:div w:id="663053641">
                                                      <w:marLeft w:val="0"/>
                                                      <w:marRight w:val="0"/>
                                                      <w:marTop w:val="0"/>
                                                      <w:marBottom w:val="0"/>
                                                      <w:divBdr>
                                                        <w:top w:val="none" w:sz="0" w:space="0" w:color="auto"/>
                                                        <w:left w:val="none" w:sz="0" w:space="0" w:color="auto"/>
                                                        <w:bottom w:val="none" w:sz="0" w:space="0" w:color="auto"/>
                                                        <w:right w:val="none" w:sz="0" w:space="0" w:color="auto"/>
                                                      </w:divBdr>
                                                      <w:divsChild>
                                                        <w:div w:id="126238922">
                                                          <w:marLeft w:val="0"/>
                                                          <w:marRight w:val="0"/>
                                                          <w:marTop w:val="0"/>
                                                          <w:marBottom w:val="0"/>
                                                          <w:divBdr>
                                                            <w:top w:val="none" w:sz="0" w:space="0" w:color="auto"/>
                                                            <w:left w:val="none" w:sz="0" w:space="0" w:color="auto"/>
                                                            <w:bottom w:val="none" w:sz="0" w:space="0" w:color="auto"/>
                                                            <w:right w:val="none" w:sz="0" w:space="0" w:color="auto"/>
                                                          </w:divBdr>
                                                          <w:divsChild>
                                                            <w:div w:id="1378122691">
                                                              <w:marLeft w:val="0"/>
                                                              <w:marRight w:val="0"/>
                                                              <w:marTop w:val="0"/>
                                                              <w:marBottom w:val="0"/>
                                                              <w:divBdr>
                                                                <w:top w:val="none" w:sz="0" w:space="0" w:color="auto"/>
                                                                <w:left w:val="none" w:sz="0" w:space="0" w:color="auto"/>
                                                                <w:bottom w:val="none" w:sz="0" w:space="0" w:color="auto"/>
                                                                <w:right w:val="none" w:sz="0" w:space="0" w:color="auto"/>
                                                              </w:divBdr>
                                                              <w:divsChild>
                                                                <w:div w:id="1605454017">
                                                                  <w:marLeft w:val="0"/>
                                                                  <w:marRight w:val="0"/>
                                                                  <w:marTop w:val="0"/>
                                                                  <w:marBottom w:val="0"/>
                                                                  <w:divBdr>
                                                                    <w:top w:val="none" w:sz="0" w:space="0" w:color="auto"/>
                                                                    <w:left w:val="none" w:sz="0" w:space="0" w:color="auto"/>
                                                                    <w:bottom w:val="none" w:sz="0" w:space="0" w:color="auto"/>
                                                                    <w:right w:val="none" w:sz="0" w:space="0" w:color="auto"/>
                                                                  </w:divBdr>
                                                                </w:div>
                                                                <w:div w:id="903301469">
                                                                  <w:marLeft w:val="0"/>
                                                                  <w:marRight w:val="0"/>
                                                                  <w:marTop w:val="0"/>
                                                                  <w:marBottom w:val="0"/>
                                                                  <w:divBdr>
                                                                    <w:top w:val="none" w:sz="0" w:space="0" w:color="auto"/>
                                                                    <w:left w:val="none" w:sz="0" w:space="0" w:color="auto"/>
                                                                    <w:bottom w:val="none" w:sz="0" w:space="0" w:color="auto"/>
                                                                    <w:right w:val="none" w:sz="0" w:space="0" w:color="auto"/>
                                                                  </w:divBdr>
                                                                </w:div>
                                                                <w:div w:id="422071486">
                                                                  <w:marLeft w:val="0"/>
                                                                  <w:marRight w:val="0"/>
                                                                  <w:marTop w:val="0"/>
                                                                  <w:marBottom w:val="0"/>
                                                                  <w:divBdr>
                                                                    <w:top w:val="none" w:sz="0" w:space="0" w:color="auto"/>
                                                                    <w:left w:val="none" w:sz="0" w:space="0" w:color="auto"/>
                                                                    <w:bottom w:val="none" w:sz="0" w:space="0" w:color="auto"/>
                                                                    <w:right w:val="none" w:sz="0" w:space="0" w:color="auto"/>
                                                                  </w:divBdr>
                                                                </w:div>
                                                                <w:div w:id="1503861320">
                                                                  <w:marLeft w:val="0"/>
                                                                  <w:marRight w:val="0"/>
                                                                  <w:marTop w:val="30"/>
                                                                  <w:marBottom w:val="0"/>
                                                                  <w:divBdr>
                                                                    <w:top w:val="none" w:sz="0" w:space="0" w:color="auto"/>
                                                                    <w:left w:val="none" w:sz="0" w:space="0" w:color="auto"/>
                                                                    <w:bottom w:val="none" w:sz="0" w:space="0" w:color="auto"/>
                                                                    <w:right w:val="none" w:sz="0" w:space="0" w:color="auto"/>
                                                                  </w:divBdr>
                                                                  <w:divsChild>
                                                                    <w:div w:id="1148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12622194">
      <w:bodyDiv w:val="1"/>
      <w:marLeft w:val="0"/>
      <w:marRight w:val="0"/>
      <w:marTop w:val="0"/>
      <w:marBottom w:val="0"/>
      <w:divBdr>
        <w:top w:val="none" w:sz="0" w:space="0" w:color="auto"/>
        <w:left w:val="none" w:sz="0" w:space="0" w:color="auto"/>
        <w:bottom w:val="none" w:sz="0" w:space="0" w:color="auto"/>
        <w:right w:val="none" w:sz="0" w:space="0" w:color="auto"/>
      </w:divBdr>
      <w:divsChild>
        <w:div w:id="400376210">
          <w:marLeft w:val="0"/>
          <w:marRight w:val="0"/>
          <w:marTop w:val="0"/>
          <w:marBottom w:val="0"/>
          <w:divBdr>
            <w:top w:val="none" w:sz="0" w:space="0" w:color="auto"/>
            <w:left w:val="none" w:sz="0" w:space="0" w:color="auto"/>
            <w:bottom w:val="none" w:sz="0" w:space="0" w:color="auto"/>
            <w:right w:val="none" w:sz="0" w:space="0" w:color="auto"/>
          </w:divBdr>
        </w:div>
        <w:div w:id="568345591">
          <w:marLeft w:val="0"/>
          <w:marRight w:val="0"/>
          <w:marTop w:val="0"/>
          <w:marBottom w:val="0"/>
          <w:divBdr>
            <w:top w:val="none" w:sz="0" w:space="0" w:color="auto"/>
            <w:left w:val="none" w:sz="0" w:space="0" w:color="auto"/>
            <w:bottom w:val="none" w:sz="0" w:space="0" w:color="auto"/>
            <w:right w:val="none" w:sz="0" w:space="0" w:color="auto"/>
          </w:divBdr>
        </w:div>
        <w:div w:id="1834645232">
          <w:marLeft w:val="0"/>
          <w:marRight w:val="0"/>
          <w:marTop w:val="0"/>
          <w:marBottom w:val="0"/>
          <w:divBdr>
            <w:top w:val="none" w:sz="0" w:space="0" w:color="auto"/>
            <w:left w:val="none" w:sz="0" w:space="0" w:color="auto"/>
            <w:bottom w:val="none" w:sz="0" w:space="0" w:color="auto"/>
            <w:right w:val="none" w:sz="0" w:space="0" w:color="auto"/>
          </w:divBdr>
        </w:div>
        <w:div w:id="1900895832">
          <w:marLeft w:val="0"/>
          <w:marRight w:val="0"/>
          <w:marTop w:val="0"/>
          <w:marBottom w:val="0"/>
          <w:divBdr>
            <w:top w:val="none" w:sz="0" w:space="0" w:color="auto"/>
            <w:left w:val="none" w:sz="0" w:space="0" w:color="auto"/>
            <w:bottom w:val="none" w:sz="0" w:space="0" w:color="auto"/>
            <w:right w:val="none" w:sz="0" w:space="0" w:color="auto"/>
          </w:divBdr>
        </w:div>
        <w:div w:id="165943387">
          <w:marLeft w:val="0"/>
          <w:marRight w:val="0"/>
          <w:marTop w:val="0"/>
          <w:marBottom w:val="0"/>
          <w:divBdr>
            <w:top w:val="none" w:sz="0" w:space="0" w:color="auto"/>
            <w:left w:val="none" w:sz="0" w:space="0" w:color="auto"/>
            <w:bottom w:val="none" w:sz="0" w:space="0" w:color="auto"/>
            <w:right w:val="none" w:sz="0" w:space="0" w:color="auto"/>
          </w:divBdr>
        </w:div>
        <w:div w:id="2042171855">
          <w:marLeft w:val="0"/>
          <w:marRight w:val="0"/>
          <w:marTop w:val="0"/>
          <w:marBottom w:val="0"/>
          <w:divBdr>
            <w:top w:val="none" w:sz="0" w:space="0" w:color="auto"/>
            <w:left w:val="none" w:sz="0" w:space="0" w:color="auto"/>
            <w:bottom w:val="none" w:sz="0" w:space="0" w:color="auto"/>
            <w:right w:val="none" w:sz="0" w:space="0" w:color="auto"/>
          </w:divBdr>
        </w:div>
        <w:div w:id="1330139439">
          <w:marLeft w:val="0"/>
          <w:marRight w:val="0"/>
          <w:marTop w:val="0"/>
          <w:marBottom w:val="0"/>
          <w:divBdr>
            <w:top w:val="none" w:sz="0" w:space="0" w:color="auto"/>
            <w:left w:val="none" w:sz="0" w:space="0" w:color="auto"/>
            <w:bottom w:val="none" w:sz="0" w:space="0" w:color="auto"/>
            <w:right w:val="none" w:sz="0" w:space="0" w:color="auto"/>
          </w:divBdr>
        </w:div>
        <w:div w:id="663125827">
          <w:marLeft w:val="0"/>
          <w:marRight w:val="0"/>
          <w:marTop w:val="0"/>
          <w:marBottom w:val="0"/>
          <w:divBdr>
            <w:top w:val="none" w:sz="0" w:space="0" w:color="auto"/>
            <w:left w:val="none" w:sz="0" w:space="0" w:color="auto"/>
            <w:bottom w:val="none" w:sz="0" w:space="0" w:color="auto"/>
            <w:right w:val="none" w:sz="0" w:space="0" w:color="auto"/>
          </w:divBdr>
        </w:div>
        <w:div w:id="158237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96</Pages>
  <Words>22945</Words>
  <Characters>130793</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6</cp:revision>
  <cp:lastPrinted>2021-09-03T09:54:00Z</cp:lastPrinted>
  <dcterms:created xsi:type="dcterms:W3CDTF">2021-09-03T02:29:00Z</dcterms:created>
  <dcterms:modified xsi:type="dcterms:W3CDTF">2021-09-03T09:55:00Z</dcterms:modified>
</cp:coreProperties>
</file>